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8"/>
        </w:rPr>
        <w:t>Machine Planning</w:t>
        <w:br/>
        <w:t>Read-only findings and design brief</w:t>
      </w:r>
    </w:p>
    <w:p>
      <w:pPr>
        <w:jc w:val="center"/>
      </w:pPr>
      <w:r>
        <w:rPr>
          <w:color w:val="5B677A"/>
          <w:sz w:val="22"/>
        </w:rPr>
        <w:t>Plumbing · prayag-plant.com scheduler · September 2026</w:t>
      </w:r>
    </w:p>
    <w:p>
      <w:pPr>
        <w:jc w:val="center"/>
      </w:pPr>
      <w:r>
        <w:rPr>
          <w:color w:val="6B7280"/>
          <w:sz w:val="18"/>
        </w:rPr>
        <w:t>Prepared 9 September 2026</w:t>
      </w:r>
    </w:p>
    <w:tbl>
      <w:tblPr>
        <w:tblStyle w:val="TableGrid"/>
        <w:tblW w:type="auto" w:w="0"/>
        <w:jc w:val="center"/>
        <w:tblLook w:firstColumn="1" w:firstRow="1" w:lastColumn="0" w:lastRow="0" w:noHBand="0" w:noVBand="1" w:val="04A0"/>
      </w:tblPr>
      <w:tblGrid>
        <w:gridCol w:w="10224"/>
      </w:tblGrid>
      <w:tr>
        <w:tc>
          <w:tcPr>
            <w:tcW w:type="dxa" w:w="10224"/>
            <w:shd w:fill="EAF2F8"/>
            <w:vAlign w:val="center"/>
          </w:tcPr>
          <w:p>
            <w:pPr>
              <w:pStyle w:val="TableText"/>
            </w:pPr>
            <w:r/>
            <w:r>
              <w:rPr>
                <w:b/>
                <w:color w:val="17365D"/>
              </w:rPr>
              <w:t>STATUS  ·  MP.0 probe completed. MP.1 remains design-only. No page or automatic finalize/recompute integration was built.</w:t>
            </w:r>
          </w:p>
        </w:tc>
      </w:tr>
    </w:tbl>
    <w:p/>
    <w:p>
      <w:pPr>
        <w:pStyle w:val="Heading1"/>
      </w:pPr>
      <w:r>
        <w:t>Executive summary</w:t>
      </w:r>
    </w:p>
    <w:p>
      <w:pPr>
        <w:spacing w:after="100"/>
      </w:pPr>
      <w:r>
        <w:t>A bounded five-code probe was sent to the non-persistent Plumbing scheduler using frozen Temporary Plan #2574 quantities. It made one pipe call and one fitting call, did not persist anything, and did not modify a plan run.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pStyle w:val="TableText"/>
            </w:pPr>
            <w:r/>
            <w:r>
              <w:rPr>
                <w:b/>
                <w:color w:val="FFFFFF"/>
              </w:rPr>
              <w:t>Finding</w:t>
            </w:r>
          </w:p>
        </w:tc>
        <w:tc>
          <w:tcPr>
            <w:tcW w:type="dxa" w:w="5112"/>
            <w:vAlign w:val="center"/>
            <w:shd w:fill="17365D"/>
          </w:tcPr>
          <w:p>
            <w:pPr>
              <w:pStyle w:val="TableText"/>
            </w:pPr>
            <w:r/>
            <w:r>
              <w:rPr>
                <w:b/>
                <w:color w:val="FFFFFF"/>
              </w:rPr>
              <w:t>Value</w:t>
            </w:r>
          </w:p>
        </w:tc>
      </w:tr>
      <w:tr>
        <w:tc>
          <w:tcPr>
            <w:tcW w:type="dxa" w:w="5112"/>
            <w:vAlign w:val="center"/>
          </w:tcPr>
          <w:p>
            <w:pPr>
              <w:pStyle w:val="TableText"/>
            </w:pPr>
            <w:r/>
            <w:r>
              <w:rPr>
                <w:b w:val="0"/>
              </w:rPr>
              <w:t>Submitted demand</w:t>
            </w:r>
          </w:p>
        </w:tc>
        <w:tc>
          <w:tcPr>
            <w:tcW w:type="dxa" w:w="5112"/>
            <w:vAlign w:val="center"/>
          </w:tcPr>
          <w:p>
            <w:pPr>
              <w:pStyle w:val="TableText"/>
            </w:pPr>
            <w:r/>
            <w:r>
              <w:rPr>
                <w:b w:val="0"/>
              </w:rPr>
              <w:t>70,117 pieces</w:t>
            </w:r>
          </w:p>
        </w:tc>
      </w:tr>
      <w:tr>
        <w:tc>
          <w:tcPr>
            <w:tcW w:type="dxa" w:w="5112"/>
            <w:vAlign w:val="center"/>
          </w:tcPr>
          <w:p>
            <w:pPr>
              <w:pStyle w:val="TableText"/>
            </w:pPr>
            <w:r/>
            <w:r>
              <w:rPr>
                <w:b w:val="0"/>
              </w:rPr>
              <w:t>Schedulable / modelled response</w:t>
            </w:r>
          </w:p>
        </w:tc>
        <w:tc>
          <w:tcPr>
            <w:tcW w:type="dxa" w:w="5112"/>
            <w:vAlign w:val="center"/>
          </w:tcPr>
          <w:p>
            <w:pPr>
              <w:pStyle w:val="TableText"/>
            </w:pPr>
            <w:r/>
            <w:r>
              <w:rPr>
                <w:b w:val="0"/>
              </w:rPr>
              <w:t>67,601 pieces</w:t>
            </w:r>
          </w:p>
        </w:tc>
      </w:tr>
      <w:tr>
        <w:tc>
          <w:tcPr>
            <w:tcW w:type="dxa" w:w="5112"/>
            <w:vAlign w:val="center"/>
          </w:tcPr>
          <w:p>
            <w:pPr>
              <w:pStyle w:val="TableText"/>
            </w:pPr>
            <w:r/>
            <w:r>
              <w:rPr>
                <w:b w:val="0"/>
              </w:rPr>
              <w:t>Data-limited response</w:t>
            </w:r>
          </w:p>
        </w:tc>
        <w:tc>
          <w:tcPr>
            <w:tcW w:type="dxa" w:w="5112"/>
            <w:vAlign w:val="center"/>
          </w:tcPr>
          <w:p>
            <w:pPr>
              <w:pStyle w:val="TableText"/>
            </w:pPr>
            <w:r/>
            <w:r>
              <w:rPr>
                <w:b w:val="0"/>
              </w:rPr>
              <w:t>2,516 pieces</w:t>
            </w:r>
          </w:p>
        </w:tc>
      </w:tr>
      <w:tr>
        <w:tc>
          <w:tcPr>
            <w:tcW w:type="dxa" w:w="5112"/>
            <w:vAlign w:val="center"/>
          </w:tcPr>
          <w:p>
            <w:pPr>
              <w:pStyle w:val="TableText"/>
            </w:pPr>
            <w:r/>
            <w:r>
              <w:rPr>
                <w:b w:val="0"/>
              </w:rPr>
              <w:t>Unfinished response</w:t>
            </w:r>
          </w:p>
        </w:tc>
        <w:tc>
          <w:tcPr>
            <w:tcW w:type="dxa" w:w="5112"/>
            <w:vAlign w:val="center"/>
          </w:tcPr>
          <w:p>
            <w:pPr>
              <w:pStyle w:val="TableText"/>
            </w:pPr>
            <w:r/>
            <w:r>
              <w:rPr>
                <w:b w:val="0"/>
              </w:rPr>
              <w:t>0 pieces</w:t>
            </w:r>
          </w:p>
        </w:tc>
      </w:tr>
      <w:tr>
        <w:tc>
          <w:tcPr>
            <w:tcW w:type="dxa" w:w="5112"/>
            <w:vAlign w:val="center"/>
          </w:tcPr>
          <w:p>
            <w:pPr>
              <w:pStyle w:val="TableText"/>
            </w:pPr>
            <w:r/>
            <w:r>
              <w:rPr>
                <w:b w:val="0"/>
              </w:rPr>
              <w:t>Unroutable response</w:t>
            </w:r>
          </w:p>
        </w:tc>
        <w:tc>
          <w:tcPr>
            <w:tcW w:type="dxa" w:w="5112"/>
            <w:vAlign w:val="center"/>
          </w:tcPr>
          <w:p>
            <w:pPr>
              <w:pStyle w:val="TableText"/>
            </w:pPr>
            <w:r/>
            <w:r>
              <w:rPr>
                <w:b w:val="0"/>
              </w:rPr>
              <w:t>0 items</w:t>
            </w:r>
          </w:p>
        </w:tc>
      </w:tr>
      <w:tr>
        <w:tc>
          <w:tcPr>
            <w:tcW w:type="dxa" w:w="5112"/>
            <w:vAlign w:val="center"/>
          </w:tcPr>
          <w:p>
            <w:pPr>
              <w:pStyle w:val="TableText"/>
            </w:pPr>
            <w:r/>
            <w:r>
              <w:rPr>
                <w:b w:val="0"/>
              </w:rPr>
              <w:t>Page scope if built</w:t>
            </w:r>
          </w:p>
        </w:tc>
        <w:tc>
          <w:tcPr>
            <w:tcW w:type="dxa" w:w="5112"/>
            <w:vAlign w:val="center"/>
          </w:tcPr>
          <w:p>
            <w:pPr>
              <w:pStyle w:val="TableText"/>
            </w:pPr>
            <w:r/>
            <w:r>
              <w:rPr>
                <w:b w:val="0"/>
              </w:rPr>
              <w:t>Plumbing only</w:t>
            </w:r>
          </w:p>
        </w:tc>
      </w:tr>
    </w:tbl>
    <w:p>
      <w:pPr>
        <w:spacing w:after="40"/>
      </w:pPr>
    </w:p>
    <w:p>
      <w:pPr>
        <w:spacing w:after="100"/>
      </w:pPr>
      <w:r>
        <w:t>PW11 and PW71 were returned as schedulable despite having local weightKg = 0. A-464 was returned as partial but included in schedulable demand. CH72F and PC22 were explicitly data-limited because Prayag also reported missing BOM weight.</w:t>
      </w:r>
    </w:p>
    <w:p>
      <w:pPr>
        <w:pStyle w:val="Heading1"/>
      </w:pPr>
      <w:r>
        <w:t>MP.0.1 · Does Prayag cover the local BOM gap?</w:t>
      </w:r>
    </w:p>
    <w:p>
      <w:pPr>
        <w:spacing w:after="100"/>
      </w:pPr>
      <w:r>
        <w:t>The five probe inputs came from frozen Temporary Plan #2574 and were rounded the same way as the existing schedule adapter. The September calendar sent was [6, 6, 6, 8].</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pStyle w:val="TableText"/>
            </w:pPr>
            <w:r/>
            <w:r>
              <w:rPr>
                <w:b/>
                <w:color w:val="FFFFFF"/>
              </w:rPr>
              <w:t>Code</w:t>
            </w:r>
          </w:p>
        </w:tc>
        <w:tc>
          <w:tcPr>
            <w:tcW w:type="dxa" w:w="2045"/>
            <w:vAlign w:val="center"/>
            <w:shd w:fill="17365D"/>
          </w:tcPr>
          <w:p>
            <w:pPr>
              <w:pStyle w:val="TableText"/>
            </w:pPr>
            <w:r/>
            <w:r>
              <w:rPr>
                <w:b/>
                <w:color w:val="FFFFFF"/>
              </w:rPr>
              <w:t>Kind</w:t>
            </w:r>
          </w:p>
        </w:tc>
        <w:tc>
          <w:tcPr>
            <w:tcW w:type="dxa" w:w="2045"/>
            <w:vAlign w:val="center"/>
            <w:shd w:fill="17365D"/>
          </w:tcPr>
          <w:p>
            <w:pPr>
              <w:pStyle w:val="TableText"/>
            </w:pPr>
            <w:r/>
            <w:r>
              <w:rPr>
                <w:b/>
                <w:color w:val="FFFFFF"/>
              </w:rPr>
              <w:t>Sent pieces</w:t>
            </w:r>
          </w:p>
        </w:tc>
        <w:tc>
          <w:tcPr>
            <w:tcW w:type="dxa" w:w="2045"/>
            <w:vAlign w:val="center"/>
            <w:shd w:fill="17365D"/>
          </w:tcPr>
          <w:p>
            <w:pPr>
              <w:pStyle w:val="TableText"/>
            </w:pPr>
            <w:r/>
            <w:r>
              <w:rPr>
                <w:b/>
                <w:color w:val="FFFFFF"/>
              </w:rPr>
              <w:t>Coverage</w:t>
            </w:r>
          </w:p>
        </w:tc>
        <w:tc>
          <w:tcPr>
            <w:tcW w:type="dxa" w:w="2045"/>
            <w:vAlign w:val="center"/>
            <w:shd w:fill="17365D"/>
          </w:tcPr>
          <w:p>
            <w:pPr>
              <w:pStyle w:val="TableText"/>
            </w:pPr>
            <w:r/>
            <w:r>
              <w:rPr>
                <w:b/>
                <w:color w:val="FFFFFF"/>
              </w:rPr>
              <w:t>Scheduler result</w:t>
            </w:r>
          </w:p>
        </w:tc>
      </w:tr>
      <w:tr>
        <w:tc>
          <w:tcPr>
            <w:tcW w:type="dxa" w:w="2045"/>
            <w:vAlign w:val="center"/>
          </w:tcPr>
          <w:p>
            <w:pPr>
              <w:pStyle w:val="TableText"/>
            </w:pPr>
            <w:r/>
            <w:r>
              <w:rPr>
                <w:b w:val="0"/>
              </w:rPr>
              <w:t>PW11</w:t>
            </w:r>
          </w:p>
        </w:tc>
        <w:tc>
          <w:tcPr>
            <w:tcW w:type="dxa" w:w="2045"/>
            <w:vAlign w:val="center"/>
          </w:tcPr>
          <w:p>
            <w:pPr>
              <w:pStyle w:val="TableText"/>
            </w:pPr>
            <w:r/>
            <w:r>
              <w:rPr>
                <w:b w:val="0"/>
              </w:rPr>
              <w:t>pipe</w:t>
            </w:r>
          </w:p>
        </w:tc>
        <w:tc>
          <w:tcPr>
            <w:tcW w:type="dxa" w:w="2045"/>
            <w:vAlign w:val="center"/>
          </w:tcPr>
          <w:p>
            <w:pPr>
              <w:pStyle w:val="TableText"/>
            </w:pPr>
            <w:r/>
            <w:r>
              <w:rPr>
                <w:b w:val="0"/>
              </w:rPr>
              <w:t>35,028</w:t>
            </w:r>
          </w:p>
        </w:tc>
        <w:tc>
          <w:tcPr>
            <w:tcW w:type="dxa" w:w="2045"/>
            <w:vAlign w:val="center"/>
          </w:tcPr>
          <w:p>
            <w:pPr>
              <w:pStyle w:val="TableText"/>
            </w:pPr>
            <w:r/>
            <w:r>
              <w:rPr>
                <w:b w:val="0"/>
              </w:rPr>
              <w:t>schedulable</w:t>
            </w:r>
          </w:p>
        </w:tc>
        <w:tc>
          <w:tcPr>
            <w:tcW w:type="dxa" w:w="2045"/>
            <w:vAlign w:val="center"/>
          </w:tcPr>
          <w:p>
            <w:pPr>
              <w:pStyle w:val="TableText"/>
            </w:pPr>
            <w:r/>
            <w:r>
              <w:rPr>
                <w:b w:val="0"/>
              </w:rPr>
              <w:t>Accepted by Prayag</w:t>
            </w:r>
          </w:p>
        </w:tc>
      </w:tr>
      <w:tr>
        <w:tc>
          <w:tcPr>
            <w:tcW w:type="dxa" w:w="2045"/>
            <w:vAlign w:val="center"/>
          </w:tcPr>
          <w:p>
            <w:pPr>
              <w:pStyle w:val="TableText"/>
            </w:pPr>
            <w:r/>
            <w:r>
              <w:rPr>
                <w:b w:val="0"/>
              </w:rPr>
              <w:t>PW71</w:t>
            </w:r>
          </w:p>
        </w:tc>
        <w:tc>
          <w:tcPr>
            <w:tcW w:type="dxa" w:w="2045"/>
            <w:vAlign w:val="center"/>
          </w:tcPr>
          <w:p>
            <w:pPr>
              <w:pStyle w:val="TableText"/>
            </w:pPr>
            <w:r/>
            <w:r>
              <w:rPr>
                <w:b w:val="0"/>
              </w:rPr>
              <w:t>pipe</w:t>
            </w:r>
          </w:p>
        </w:tc>
        <w:tc>
          <w:tcPr>
            <w:tcW w:type="dxa" w:w="2045"/>
            <w:vAlign w:val="center"/>
          </w:tcPr>
          <w:p>
            <w:pPr>
              <w:pStyle w:val="TableText"/>
            </w:pPr>
            <w:r/>
            <w:r>
              <w:rPr>
                <w:b w:val="0"/>
              </w:rPr>
              <w:t>22,572</w:t>
            </w:r>
          </w:p>
        </w:tc>
        <w:tc>
          <w:tcPr>
            <w:tcW w:type="dxa" w:w="2045"/>
            <w:vAlign w:val="center"/>
          </w:tcPr>
          <w:p>
            <w:pPr>
              <w:pStyle w:val="TableText"/>
            </w:pPr>
            <w:r/>
            <w:r>
              <w:rPr>
                <w:b w:val="0"/>
              </w:rPr>
              <w:t>schedulable</w:t>
            </w:r>
          </w:p>
        </w:tc>
        <w:tc>
          <w:tcPr>
            <w:tcW w:type="dxa" w:w="2045"/>
            <w:vAlign w:val="center"/>
          </w:tcPr>
          <w:p>
            <w:pPr>
              <w:pStyle w:val="TableText"/>
            </w:pPr>
            <w:r/>
            <w:r>
              <w:rPr>
                <w:b w:val="0"/>
              </w:rPr>
              <w:t>Accepted by Prayag</w:t>
            </w:r>
          </w:p>
        </w:tc>
      </w:tr>
      <w:tr>
        <w:tc>
          <w:tcPr>
            <w:tcW w:type="dxa" w:w="2045"/>
            <w:vAlign w:val="center"/>
          </w:tcPr>
          <w:p>
            <w:pPr>
              <w:pStyle w:val="TableText"/>
            </w:pPr>
            <w:r/>
            <w:r>
              <w:rPr>
                <w:b w:val="0"/>
              </w:rPr>
              <w:t>A-464</w:t>
            </w:r>
          </w:p>
        </w:tc>
        <w:tc>
          <w:tcPr>
            <w:tcW w:type="dxa" w:w="2045"/>
            <w:vAlign w:val="center"/>
          </w:tcPr>
          <w:p>
            <w:pPr>
              <w:pStyle w:val="TableText"/>
            </w:pPr>
            <w:r/>
            <w:r>
              <w:rPr>
                <w:b w:val="0"/>
              </w:rPr>
              <w:t>fitting</w:t>
            </w:r>
          </w:p>
        </w:tc>
        <w:tc>
          <w:tcPr>
            <w:tcW w:type="dxa" w:w="2045"/>
            <w:vAlign w:val="center"/>
          </w:tcPr>
          <w:p>
            <w:pPr>
              <w:pStyle w:val="TableText"/>
            </w:pPr>
            <w:r/>
            <w:r>
              <w:rPr>
                <w:b w:val="0"/>
              </w:rPr>
              <w:t>10,001</w:t>
            </w:r>
          </w:p>
        </w:tc>
        <w:tc>
          <w:tcPr>
            <w:tcW w:type="dxa" w:w="2045"/>
            <w:vAlign w:val="center"/>
          </w:tcPr>
          <w:p>
            <w:pPr>
              <w:pStyle w:val="TableText"/>
            </w:pPr>
            <w:r/>
            <w:r>
              <w:rPr>
                <w:b w:val="0"/>
              </w:rPr>
              <w:t>partial</w:t>
            </w:r>
          </w:p>
        </w:tc>
        <w:tc>
          <w:tcPr>
            <w:tcW w:type="dxa" w:w="2045"/>
            <w:vAlign w:val="center"/>
          </w:tcPr>
          <w:p>
            <w:pPr>
              <w:pStyle w:val="TableText"/>
            </w:pPr>
            <w:r/>
            <w:r>
              <w:rPr>
                <w:b w:val="0"/>
              </w:rPr>
              <w:t>Included in schedulable demand</w:t>
            </w:r>
          </w:p>
        </w:tc>
      </w:tr>
      <w:tr>
        <w:tc>
          <w:tcPr>
            <w:tcW w:type="dxa" w:w="2045"/>
            <w:vAlign w:val="center"/>
          </w:tcPr>
          <w:p>
            <w:pPr>
              <w:pStyle w:val="TableText"/>
            </w:pPr>
            <w:r/>
            <w:r>
              <w:rPr>
                <w:b w:val="0"/>
              </w:rPr>
              <w:t>CH72F</w:t>
            </w:r>
          </w:p>
        </w:tc>
        <w:tc>
          <w:tcPr>
            <w:tcW w:type="dxa" w:w="2045"/>
            <w:vAlign w:val="center"/>
          </w:tcPr>
          <w:p>
            <w:pPr>
              <w:pStyle w:val="TableText"/>
            </w:pPr>
            <w:r/>
            <w:r>
              <w:rPr>
                <w:b w:val="0"/>
              </w:rPr>
              <w:t>fitting</w:t>
            </w:r>
          </w:p>
        </w:tc>
        <w:tc>
          <w:tcPr>
            <w:tcW w:type="dxa" w:w="2045"/>
            <w:vAlign w:val="center"/>
          </w:tcPr>
          <w:p>
            <w:pPr>
              <w:pStyle w:val="TableText"/>
            </w:pPr>
            <w:r/>
            <w:r>
              <w:rPr>
                <w:b w:val="0"/>
              </w:rPr>
              <w:t>1,400</w:t>
            </w:r>
          </w:p>
        </w:tc>
        <w:tc>
          <w:tcPr>
            <w:tcW w:type="dxa" w:w="2045"/>
            <w:vAlign w:val="center"/>
          </w:tcPr>
          <w:p>
            <w:pPr>
              <w:pStyle w:val="TableText"/>
            </w:pPr>
            <w:r/>
            <w:r>
              <w:rPr>
                <w:b w:val="0"/>
              </w:rPr>
              <w:t>not_modellable</w:t>
            </w:r>
          </w:p>
        </w:tc>
        <w:tc>
          <w:tcPr>
            <w:tcW w:type="dxa" w:w="2045"/>
            <w:vAlign w:val="center"/>
          </w:tcPr>
          <w:p>
            <w:pPr>
              <w:pStyle w:val="TableText"/>
            </w:pPr>
            <w:r/>
            <w:r>
              <w:rPr>
                <w:b w:val="0"/>
              </w:rPr>
              <w:t>missing_bom</w:t>
            </w:r>
          </w:p>
        </w:tc>
      </w:tr>
      <w:tr>
        <w:tc>
          <w:tcPr>
            <w:tcW w:type="dxa" w:w="2045"/>
            <w:vAlign w:val="center"/>
          </w:tcPr>
          <w:p>
            <w:pPr>
              <w:pStyle w:val="TableText"/>
            </w:pPr>
            <w:r/>
            <w:r>
              <w:rPr>
                <w:b w:val="0"/>
              </w:rPr>
              <w:t>PC22</w:t>
            </w:r>
          </w:p>
        </w:tc>
        <w:tc>
          <w:tcPr>
            <w:tcW w:type="dxa" w:w="2045"/>
            <w:vAlign w:val="center"/>
          </w:tcPr>
          <w:p>
            <w:pPr>
              <w:pStyle w:val="TableText"/>
            </w:pPr>
            <w:r/>
            <w:r>
              <w:rPr>
                <w:b w:val="0"/>
              </w:rPr>
              <w:t>fitting</w:t>
            </w:r>
          </w:p>
        </w:tc>
        <w:tc>
          <w:tcPr>
            <w:tcW w:type="dxa" w:w="2045"/>
            <w:vAlign w:val="center"/>
          </w:tcPr>
          <w:p>
            <w:pPr>
              <w:pStyle w:val="TableText"/>
            </w:pPr>
            <w:r/>
            <w:r>
              <w:rPr>
                <w:b w:val="0"/>
              </w:rPr>
              <w:t>1,116</w:t>
            </w:r>
          </w:p>
        </w:tc>
        <w:tc>
          <w:tcPr>
            <w:tcW w:type="dxa" w:w="2045"/>
            <w:vAlign w:val="center"/>
          </w:tcPr>
          <w:p>
            <w:pPr>
              <w:pStyle w:val="TableText"/>
            </w:pPr>
            <w:r/>
            <w:r>
              <w:rPr>
                <w:b w:val="0"/>
              </w:rPr>
              <w:t>not_modellable</w:t>
            </w:r>
          </w:p>
        </w:tc>
        <w:tc>
          <w:tcPr>
            <w:tcW w:type="dxa" w:w="2045"/>
            <w:vAlign w:val="center"/>
          </w:tcPr>
          <w:p>
            <w:pPr>
              <w:pStyle w:val="TableText"/>
            </w:pPr>
            <w:r/>
            <w:r>
              <w:rPr>
                <w:b w:val="0"/>
              </w:rPr>
              <w:t>missing_bom</w:t>
            </w:r>
          </w:p>
        </w:tc>
      </w:tr>
    </w:tbl>
    <w:p>
      <w:pPr>
        <w:spacing w:after="40"/>
      </w:pPr>
    </w:p>
    <w:p>
      <w:pPr>
        <w:spacing w:after="100"/>
      </w:pPr>
      <w:r>
        <w:t>The upstream response does not expose BOM weight values directly. Therefore, the two pipe items and A-464 are evidence that Prayag can model or route them, but they are not a direct weight-value comparison.</w:t>
      </w:r>
    </w:p>
    <w:p>
      <w:pPr>
        <w:spacing w:after="100"/>
      </w:pPr>
      <w:r>
        <w:t>The two data-limited rows returned the reason: “missing_bom; No BOM weight is available.”</w:t>
      </w:r>
    </w:p>
    <w:p>
      <w:pPr>
        <w:pStyle w:val="Heading2"/>
      </w:pPr>
      <w:r>
        <w:t>Probe reconciliation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pStyle w:val="TableText"/>
            </w:pPr>
            <w:r/>
            <w:r>
              <w:rPr>
                <w:b/>
                <w:color w:val="FFFFFF"/>
              </w:rPr>
              <w:t>Kind</w:t>
            </w:r>
          </w:p>
        </w:tc>
        <w:tc>
          <w:tcPr>
            <w:tcW w:type="dxa" w:w="2045"/>
            <w:vAlign w:val="center"/>
            <w:shd w:fill="17365D"/>
          </w:tcPr>
          <w:p>
            <w:pPr>
              <w:pStyle w:val="TableText"/>
            </w:pPr>
            <w:r/>
            <w:r>
              <w:rPr>
                <w:b/>
                <w:color w:val="FFFFFF"/>
              </w:rPr>
              <w:t>Submitted</w:t>
            </w:r>
          </w:p>
        </w:tc>
        <w:tc>
          <w:tcPr>
            <w:tcW w:type="dxa" w:w="2045"/>
            <w:vAlign w:val="center"/>
            <w:shd w:fill="17365D"/>
          </w:tcPr>
          <w:p>
            <w:pPr>
              <w:pStyle w:val="TableText"/>
            </w:pPr>
            <w:r/>
            <w:r>
              <w:rPr>
                <w:b/>
                <w:color w:val="FFFFFF"/>
              </w:rPr>
              <w:t>Schedulable requested</w:t>
            </w:r>
          </w:p>
        </w:tc>
        <w:tc>
          <w:tcPr>
            <w:tcW w:type="dxa" w:w="2045"/>
            <w:vAlign w:val="center"/>
            <w:shd w:fill="17365D"/>
          </w:tcPr>
          <w:p>
            <w:pPr>
              <w:pStyle w:val="TableText"/>
            </w:pPr>
            <w:r/>
            <w:r>
              <w:rPr>
                <w:b/>
                <w:color w:val="FFFFFF"/>
              </w:rPr>
              <w:t>Data-limited</w:t>
            </w:r>
          </w:p>
        </w:tc>
        <w:tc>
          <w:tcPr>
            <w:tcW w:type="dxa" w:w="2045"/>
            <w:vAlign w:val="center"/>
            <w:shd w:fill="17365D"/>
          </w:tcPr>
          <w:p>
            <w:pPr>
              <w:pStyle w:val="TableText"/>
            </w:pPr>
            <w:r/>
            <w:r>
              <w:rPr>
                <w:b/>
                <w:color w:val="FFFFFF"/>
              </w:rPr>
              <w:t>Scheduled gross</w:t>
            </w:r>
          </w:p>
        </w:tc>
      </w:tr>
      <w:tr>
        <w:tc>
          <w:tcPr>
            <w:tcW w:type="dxa" w:w="2045"/>
            <w:vAlign w:val="center"/>
          </w:tcPr>
          <w:p>
            <w:pPr>
              <w:pStyle w:val="TableText"/>
            </w:pPr>
            <w:r/>
            <w:r>
              <w:rPr>
                <w:b w:val="0"/>
              </w:rPr>
              <w:t>pipe</w:t>
            </w:r>
          </w:p>
        </w:tc>
        <w:tc>
          <w:tcPr>
            <w:tcW w:type="dxa" w:w="2045"/>
            <w:vAlign w:val="center"/>
          </w:tcPr>
          <w:p>
            <w:pPr>
              <w:pStyle w:val="TableText"/>
            </w:pPr>
            <w:r/>
            <w:r>
              <w:rPr>
                <w:b w:val="0"/>
              </w:rPr>
              <w:t>57,600</w:t>
            </w:r>
          </w:p>
        </w:tc>
        <w:tc>
          <w:tcPr>
            <w:tcW w:type="dxa" w:w="2045"/>
            <w:vAlign w:val="center"/>
          </w:tcPr>
          <w:p>
            <w:pPr>
              <w:pStyle w:val="TableText"/>
            </w:pPr>
            <w:r/>
            <w:r>
              <w:rPr>
                <w:b w:val="0"/>
              </w:rPr>
              <w:t>57,600</w:t>
            </w:r>
          </w:p>
        </w:tc>
        <w:tc>
          <w:tcPr>
            <w:tcW w:type="dxa" w:w="2045"/>
            <w:vAlign w:val="center"/>
          </w:tcPr>
          <w:p>
            <w:pPr>
              <w:pStyle w:val="TableText"/>
            </w:pPr>
            <w:r/>
            <w:r>
              <w:rPr>
                <w:b w:val="0"/>
              </w:rPr>
              <w:t>0</w:t>
            </w:r>
          </w:p>
        </w:tc>
        <w:tc>
          <w:tcPr>
            <w:tcW w:type="dxa" w:w="2045"/>
            <w:vAlign w:val="center"/>
          </w:tcPr>
          <w:p>
            <w:pPr>
              <w:pStyle w:val="TableText"/>
            </w:pPr>
            <w:r/>
            <w:r>
              <w:rPr>
                <w:b w:val="0"/>
              </w:rPr>
              <w:t>63,886.9831</w:t>
            </w:r>
          </w:p>
        </w:tc>
      </w:tr>
      <w:tr>
        <w:tc>
          <w:tcPr>
            <w:tcW w:type="dxa" w:w="2045"/>
            <w:vAlign w:val="center"/>
          </w:tcPr>
          <w:p>
            <w:pPr>
              <w:pStyle w:val="TableText"/>
            </w:pPr>
            <w:r/>
            <w:r>
              <w:rPr>
                <w:b w:val="0"/>
              </w:rPr>
              <w:t>fitting</w:t>
            </w:r>
          </w:p>
        </w:tc>
        <w:tc>
          <w:tcPr>
            <w:tcW w:type="dxa" w:w="2045"/>
            <w:vAlign w:val="center"/>
          </w:tcPr>
          <w:p>
            <w:pPr>
              <w:pStyle w:val="TableText"/>
            </w:pPr>
            <w:r/>
            <w:r>
              <w:rPr>
                <w:b w:val="0"/>
              </w:rPr>
              <w:t>12,517</w:t>
            </w:r>
          </w:p>
        </w:tc>
        <w:tc>
          <w:tcPr>
            <w:tcW w:type="dxa" w:w="2045"/>
            <w:vAlign w:val="center"/>
          </w:tcPr>
          <w:p>
            <w:pPr>
              <w:pStyle w:val="TableText"/>
            </w:pPr>
            <w:r/>
            <w:r>
              <w:rPr>
                <w:b w:val="0"/>
              </w:rPr>
              <w:t>10,001</w:t>
            </w:r>
          </w:p>
        </w:tc>
        <w:tc>
          <w:tcPr>
            <w:tcW w:type="dxa" w:w="2045"/>
            <w:vAlign w:val="center"/>
          </w:tcPr>
          <w:p>
            <w:pPr>
              <w:pStyle w:val="TableText"/>
            </w:pPr>
            <w:r/>
            <w:r>
              <w:rPr>
                <w:b w:val="0"/>
              </w:rPr>
              <w:t>2,516</w:t>
            </w:r>
          </w:p>
        </w:tc>
        <w:tc>
          <w:tcPr>
            <w:tcW w:type="dxa" w:w="2045"/>
            <w:vAlign w:val="center"/>
          </w:tcPr>
          <w:p>
            <w:pPr>
              <w:pStyle w:val="TableText"/>
            </w:pPr>
            <w:r/>
            <w:r>
              <w:rPr>
                <w:b w:val="0"/>
              </w:rPr>
              <w:t>10,106.9252</w:t>
            </w:r>
          </w:p>
        </w:tc>
      </w:tr>
    </w:tbl>
    <w:p>
      <w:pPr>
        <w:spacing w:after="40"/>
      </w:pPr>
    </w:p>
    <w:p>
      <w:pPr>
        <w:spacing w:after="100"/>
      </w:pPr>
      <w:r>
        <w:t>The scheduler labels scheduled/modelled quantities as gross pieces after rejection uplift in its reconciliation units. They should not be compared directly to net submitted pieces without applying those unit labels.</w:t>
      </w:r>
    </w:p>
    <w:p>
      <w:pPr>
        <w:pStyle w:val="Heading1"/>
      </w:pPr>
      <w:r>
        <w:t>MP.0.2 · Local versus Prayag machine data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65D"/>
          </w:tcPr>
          <w:p>
            <w:pPr>
              <w:pStyle w:val="TableText"/>
            </w:pPr>
            <w:r/>
            <w:r>
              <w:rPr>
                <w:b/>
                <w:color w:val="FFFFFF"/>
              </w:rPr>
              <w:t>Source</w:t>
            </w:r>
          </w:p>
        </w:tc>
        <w:tc>
          <w:tcPr>
            <w:tcW w:type="dxa" w:w="2556"/>
            <w:vAlign w:val="center"/>
            <w:shd w:fill="17365D"/>
          </w:tcPr>
          <w:p>
            <w:pPr>
              <w:pStyle w:val="TableText"/>
            </w:pPr>
            <w:r/>
            <w:r>
              <w:rPr>
                <w:b/>
                <w:color w:val="FFFFFF"/>
              </w:rPr>
              <w:t>Machine count</w:t>
            </w:r>
          </w:p>
        </w:tc>
        <w:tc>
          <w:tcPr>
            <w:tcW w:type="dxa" w:w="2556"/>
            <w:vAlign w:val="center"/>
            <w:shd w:fill="17365D"/>
          </w:tcPr>
          <w:p>
            <w:pPr>
              <w:pStyle w:val="TableText"/>
            </w:pPr>
            <w:r/>
            <w:r>
              <w:rPr>
                <w:b/>
                <w:color w:val="FFFFFF"/>
              </w:rPr>
              <w:t>Routing grain</w:t>
            </w:r>
          </w:p>
        </w:tc>
        <w:tc>
          <w:tcPr>
            <w:tcW w:type="dxa" w:w="2556"/>
            <w:vAlign w:val="center"/>
            <w:shd w:fill="17365D"/>
          </w:tcPr>
          <w:p>
            <w:pPr>
              <w:pStyle w:val="TableText"/>
            </w:pPr>
            <w:r/>
            <w:r>
              <w:rPr>
                <w:b/>
                <w:color w:val="FFFFFF"/>
              </w:rPr>
              <w:t>Known status</w:t>
            </w:r>
          </w:p>
        </w:tc>
      </w:tr>
      <w:tr>
        <w:tc>
          <w:tcPr>
            <w:tcW w:type="dxa" w:w="2556"/>
            <w:vAlign w:val="center"/>
          </w:tcPr>
          <w:p>
            <w:pPr>
              <w:pStyle w:val="TableText"/>
            </w:pPr>
            <w:r/>
            <w:r>
              <w:rPr>
                <w:b w:val="0"/>
              </w:rPr>
              <w:t>Local application</w:t>
            </w:r>
          </w:p>
        </w:tc>
        <w:tc>
          <w:tcPr>
            <w:tcW w:type="dxa" w:w="2556"/>
            <w:vAlign w:val="center"/>
          </w:tcPr>
          <w:p>
            <w:pPr>
              <w:pStyle w:val="TableText"/>
            </w:pPr>
            <w:r/>
            <w:r>
              <w:rPr>
                <w:b w:val="0"/>
              </w:rPr>
              <w:t>33 rows / 31 active</w:t>
            </w:r>
          </w:p>
        </w:tc>
        <w:tc>
          <w:tcPr>
            <w:tcW w:type="dxa" w:w="2556"/>
            <w:vAlign w:val="center"/>
          </w:tcPr>
          <w:p>
            <w:pPr>
              <w:pStyle w:val="TableText"/>
            </w:pPr>
            <w:r/>
            <w:r>
              <w:rPr>
                <w:b w:val="0"/>
              </w:rPr>
              <w:t>Machine/material-rate configuration</w:t>
            </w:r>
          </w:p>
        </w:tc>
        <w:tc>
          <w:tcPr>
            <w:tcW w:type="dxa" w:w="2556"/>
            <w:vAlign w:val="center"/>
          </w:tcPr>
          <w:p>
            <w:pPr>
              <w:pStyle w:val="TableText"/>
            </w:pPr>
            <w:r/>
            <w:r>
              <w:rPr>
                <w:b w:val="0"/>
              </w:rPr>
              <w:t>MC7 and MC8 locked out</w:t>
            </w:r>
          </w:p>
        </w:tc>
      </w:tr>
      <w:tr>
        <w:tc>
          <w:tcPr>
            <w:tcW w:type="dxa" w:w="2556"/>
            <w:vAlign w:val="center"/>
          </w:tcPr>
          <w:p>
            <w:pPr>
              <w:pStyle w:val="TableText"/>
            </w:pPr>
            <w:r/>
            <w:r>
              <w:rPr>
                <w:b w:val="0"/>
              </w:rPr>
              <w:t>Prayag scheduler</w:t>
            </w:r>
          </w:p>
        </w:tc>
        <w:tc>
          <w:tcPr>
            <w:tcW w:type="dxa" w:w="2556"/>
            <w:vAlign w:val="center"/>
          </w:tcPr>
          <w:p>
            <w:pPr>
              <w:pStyle w:val="TableText"/>
            </w:pPr>
            <w:r/>
            <w:r>
              <w:rPr>
                <w:b w:val="0"/>
              </w:rPr>
              <w:t>33 machines</w:t>
            </w:r>
          </w:p>
        </w:tc>
        <w:tc>
          <w:tcPr>
            <w:tcW w:type="dxa" w:w="2556"/>
            <w:vAlign w:val="center"/>
          </w:tcPr>
          <w:p>
            <w:pPr>
              <w:pStyle w:val="TableText"/>
            </w:pPr>
            <w:r/>
            <w:r>
              <w:rPr>
                <w:b w:val="0"/>
              </w:rPr>
              <w:t>Item-level routing</w:t>
            </w:r>
          </w:p>
        </w:tc>
        <w:tc>
          <w:tcPr>
            <w:tcW w:type="dxa" w:w="2556"/>
            <w:vAlign w:val="center"/>
          </w:tcPr>
          <w:p>
            <w:pPr>
              <w:pStyle w:val="TableText"/>
            </w:pPr>
            <w:r/>
            <w:r>
              <w:rPr>
                <w:b w:val="0"/>
              </w:rPr>
              <w:t>831 routing rows; 566 routed items reported in the brief</w:t>
            </w:r>
          </w:p>
        </w:tc>
      </w:tr>
    </w:tbl>
    <w:p>
      <w:pPr>
        <w:spacing w:after="40"/>
      </w:pPr>
    </w:p>
    <w:p>
      <w:pPr>
        <w:spacing w:after="100"/>
      </w:pPr>
      <w:r>
        <w:t>The two sides are not seeded at the same data grain. The local database has 38 configured material-rate entries, while Prayag’s reported 831 routing rows are item-level routing data. They should not be treated as interchangeable machine masters.</w:t>
      </w:r>
    </w:p>
    <w:p>
      <w:pPr>
        <w:pStyle w:val="ListBullet"/>
        <w:spacing w:after="40"/>
      </w:pPr>
      <w:r>
        <w:t>Known divergence: local MC8 is locked out with empty rates; Prayag reports MC8 as active with one AGRI route.</w:t>
      </w:r>
    </w:p>
    <w:p>
      <w:pPr>
        <w:pStyle w:val="ListBullet"/>
        <w:spacing w:after="40"/>
      </w:pPr>
      <w:r>
        <w:t>Local MC7 is also locked out with empty rates.</w:t>
      </w:r>
    </w:p>
    <w:p>
      <w:pPr>
        <w:pStyle w:val="ListBullet"/>
        <w:spacing w:after="40"/>
      </w:pPr>
      <w:r>
        <w:t>The five-code probe cannot identify every other machine-master difference. That requires a Prayag machine/routing export or equivalent read-only source.</w:t>
      </w:r>
    </w:p>
    <w:p>
      <w:pPr>
        <w:pStyle w:val="Heading2"/>
      </w:pPr>
      <w:r>
        <w:t>Authority decision for a future page</w:t>
      </w:r>
    </w:p>
    <w:p>
      <w:pPr>
        <w:spacing w:after="100"/>
      </w:pPr>
      <w:r>
        <w:t>For a finalized Plumbing machine plan, Prayag should be the authoritative executable machine plan because it is the plant scheduler. The local cascade can remain as an explicitly labelled local estimate or sanity check, but it must not silently substitute for a missing Prayag result or appear as a second equivalent plan.</w:t>
      </w:r>
    </w:p>
    <w:p>
      <w:pPr>
        <w:spacing w:after="100"/>
      </w:pPr>
      <w:r>
        <w:t>The current POST /api/plan/runs/:id/schedule route calls Prayag, persists responses, and then updates plan_run_results by promoting scheduled quantities. A future Machine Planning workflow should separate external response storage from changes to frozen plan quantities.</w:t>
      </w:r>
    </w:p>
    <w:p>
      <w:pPr>
        <w:pStyle w:val="Heading1"/>
      </w:pPr>
      <w:r>
        <w:t>MP.0.3 · Scheduler contract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pStyle w:val="TableText"/>
            </w:pPr>
            <w:r/>
            <w:r>
              <w:rPr>
                <w:b/>
                <w:color w:val="FFFFFF"/>
              </w:rPr>
              <w:t>Question</w:t>
            </w:r>
          </w:p>
        </w:tc>
        <w:tc>
          <w:tcPr>
            <w:tcW w:type="dxa" w:w="5112"/>
            <w:vAlign w:val="center"/>
            <w:shd w:fill="17365D"/>
          </w:tcPr>
          <w:p>
            <w:pPr>
              <w:pStyle w:val="TableText"/>
            </w:pPr>
            <w:r/>
            <w:r>
              <w:rPr>
                <w:b/>
                <w:color w:val="FFFFFF"/>
              </w:rPr>
              <w:t>Finding</w:t>
            </w:r>
          </w:p>
        </w:tc>
      </w:tr>
      <w:tr>
        <w:tc>
          <w:tcPr>
            <w:tcW w:type="dxa" w:w="5112"/>
            <w:vAlign w:val="center"/>
          </w:tcPr>
          <w:p>
            <w:pPr>
              <w:pStyle w:val="TableText"/>
            </w:pPr>
            <w:r/>
            <w:r>
              <w:rPr>
                <w:b w:val="0"/>
              </w:rPr>
              <w:t>Persistent upstream result?</w:t>
            </w:r>
          </w:p>
        </w:tc>
        <w:tc>
          <w:tcPr>
            <w:tcW w:type="dxa" w:w="5112"/>
            <w:vAlign w:val="center"/>
          </w:tcPr>
          <w:p>
            <w:pPr>
              <w:pStyle w:val="TableText"/>
            </w:pPr>
            <w:r/>
            <w:r>
              <w:rPr>
                <w:b w:val="0"/>
              </w:rPr>
              <w:t>No. Prayag returns a preview; the local application must store the request and response.</w:t>
            </w:r>
          </w:p>
        </w:tc>
      </w:tr>
      <w:tr>
        <w:tc>
          <w:tcPr>
            <w:tcW w:type="dxa" w:w="5112"/>
            <w:vAlign w:val="center"/>
          </w:tcPr>
          <w:p>
            <w:pPr>
              <w:pStyle w:val="TableText"/>
            </w:pPr>
            <w:r/>
            <w:r>
              <w:rPr>
                <w:b w:val="0"/>
              </w:rPr>
              <w:t>One call or two?</w:t>
            </w:r>
          </w:p>
        </w:tc>
        <w:tc>
          <w:tcPr>
            <w:tcW w:type="dxa" w:w="5112"/>
            <w:vAlign w:val="center"/>
          </w:tcPr>
          <w:p>
            <w:pPr>
              <w:pStyle w:val="TableText"/>
            </w:pPr>
            <w:r/>
            <w:r>
              <w:rPr>
                <w:b w:val="0"/>
              </w:rPr>
              <w:t>Two calls: kind = pipe and kind = fitting.</w:t>
            </w:r>
          </w:p>
        </w:tc>
      </w:tr>
      <w:tr>
        <w:tc>
          <w:tcPr>
            <w:tcW w:type="dxa" w:w="5112"/>
            <w:vAlign w:val="center"/>
          </w:tcPr>
          <w:p>
            <w:pPr>
              <w:pStyle w:val="TableText"/>
            </w:pPr>
            <w:r/>
            <w:r>
              <w:rPr>
                <w:b w:val="0"/>
              </w:rPr>
              <w:t>Both required?</w:t>
            </w:r>
          </w:p>
        </w:tc>
        <w:tc>
          <w:tcPr>
            <w:tcW w:type="dxa" w:w="5112"/>
            <w:vAlign w:val="center"/>
          </w:tcPr>
          <w:p>
            <w:pPr>
              <w:pStyle w:val="TableText"/>
            </w:pPr>
            <w:r/>
            <w:r>
              <w:rPr>
                <w:b w:val="0"/>
              </w:rPr>
              <w:t>Yes. A complete machine plan requires both successful results.</w:t>
            </w:r>
          </w:p>
        </w:tc>
      </w:tr>
      <w:tr>
        <w:tc>
          <w:tcPr>
            <w:tcW w:type="dxa" w:w="5112"/>
            <w:vAlign w:val="center"/>
          </w:tcPr>
          <w:p>
            <w:pPr>
              <w:pStyle w:val="TableText"/>
            </w:pPr>
            <w:r/>
            <w:r>
              <w:rPr>
                <w:b w:val="0"/>
              </w:rPr>
              <w:t>Timeout envelope</w:t>
            </w:r>
          </w:p>
        </w:tc>
        <w:tc>
          <w:tcPr>
            <w:tcW w:type="dxa" w:w="5112"/>
            <w:vAlign w:val="center"/>
          </w:tcPr>
          <w:p>
            <w:pPr>
              <w:pStyle w:val="TableText"/>
            </w:pPr>
            <w:r/>
            <w:r>
              <w:rPr>
                <w:b w:val="0"/>
              </w:rPr>
              <w:t>20 seconds per upstream call in the current adapter; two sequential calls allow roughly 40 seconds of upstream timeout envelope.</w:t>
            </w:r>
          </w:p>
        </w:tc>
      </w:tr>
      <w:tr>
        <w:tc>
          <w:tcPr>
            <w:tcW w:type="dxa" w:w="5112"/>
            <w:vAlign w:val="center"/>
          </w:tcPr>
          <w:p>
            <w:pPr>
              <w:pStyle w:val="TableText"/>
            </w:pPr>
            <w:r/>
            <w:r>
              <w:rPr>
                <w:b w:val="0"/>
              </w:rPr>
              <w:t>Rate / array-size limit</w:t>
            </w:r>
          </w:p>
        </w:tc>
        <w:tc>
          <w:tcPr>
            <w:tcW w:type="dxa" w:w="5112"/>
            <w:vAlign w:val="center"/>
          </w:tcPr>
          <w:p>
            <w:pPr>
              <w:pStyle w:val="TableText"/>
            </w:pPr>
            <w:r/>
            <w:r>
              <w:rPr>
                <w:b w:val="0"/>
              </w:rPr>
              <w:t>Not documented in the current code or probe response; the adapter sends one request per kind without chunking.</w:t>
            </w:r>
          </w:p>
        </w:tc>
      </w:tr>
    </w:tbl>
    <w:p>
      <w:pPr>
        <w:spacing w:after="40"/>
      </w:pPr>
    </w:p>
    <w:p>
      <w:pPr>
        <w:spacing w:after="100"/>
      </w:pPr>
      <w:r>
        <w:t>No full 356-item timing benchmark was run. The available evidence is insufficient to promise a reliable synchronous response time for a full plan; background execution is safer.</w:t>
      </w:r>
    </w:p>
    <w:p>
      <w:pPr>
        <w:pStyle w:val="Heading1"/>
      </w:pPr>
      <w:r>
        <w:t>MP.1 · Design brief</w:t>
      </w:r>
    </w:p>
    <w:p>
      <w:pPr>
        <w:pStyle w:val="Heading2"/>
      </w:pPr>
      <w:r>
        <w:t>When it runs</w:t>
      </w:r>
    </w:p>
    <w:p>
      <w:pPr>
        <w:pStyle w:val="ListBullet"/>
        <w:spacing w:after="40"/>
      </w:pPr>
      <w:r>
        <w:t>On FINALIZE of a Plumbing Production Plan.</w:t>
      </w:r>
    </w:p>
    <w:p>
      <w:pPr>
        <w:pStyle w:val="ListBullet"/>
        <w:spacing w:after="40"/>
      </w:pPr>
      <w:r>
        <w:t>On RECOMPUTE.</w:t>
      </w:r>
    </w:p>
    <w:p>
      <w:pPr>
        <w:pStyle w:val="ListBullet"/>
        <w:spacing w:after="40"/>
      </w:pPr>
      <w:r>
        <w:t>Finalization should succeed independently; create a persistent machine-plan job in pending state.</w:t>
      </w:r>
    </w:p>
    <w:p>
      <w:pPr>
        <w:pStyle w:val="ListBullet"/>
        <w:spacing w:after="40"/>
      </w:pPr>
      <w:r>
        <w:t>A background worker performs the pipe and fitting calls and retries transient failures.</w:t>
      </w:r>
    </w:p>
    <w:p>
      <w:pPr>
        <w:pStyle w:val="ListBullet"/>
        <w:spacing w:after="40"/>
      </w:pPr>
      <w:r>
        <w:t>The page initially shows “Not yet generated”.</w:t>
      </w:r>
    </w:p>
    <w:p>
      <w:pPr>
        <w:pStyle w:val="ListBullet"/>
        <w:spacing w:after="40"/>
      </w:pPr>
      <w:r>
        <w:t>Only after both calls succeed is the machine plan Complete.</w:t>
      </w:r>
    </w:p>
    <w:p>
      <w:pPr>
        <w:pStyle w:val="ListBullet"/>
        <w:spacing w:after="40"/>
      </w:pPr>
      <w:r>
        <w:t>If Prayag is unavailable, the plan remains finalized while the machine plan is marked failed or retrying; the local cascade is not silently substituted.</w:t>
      </w:r>
    </w:p>
    <w:p>
      <w:pPr>
        <w:pStyle w:val="Heading2"/>
      </w:pPr>
      <w:r>
        <w:t>What must be stored</w:t>
      </w:r>
    </w:p>
    <w:p>
      <w:pPr>
        <w:spacing w:after="100"/>
      </w:pPr>
      <w:r>
        <w:t>The existing plan_schedule_results table already stores per-kind request JSON, full result JSON, week_days, totals, batch ID, plan-run link, and created_at. A plan-level status/header is still needed to group both calls and represent lifecycle state.</w:t>
      </w:r>
    </w:p>
    <w:p>
      <w:pPr>
        <w:pStyle w:val="ListBullet"/>
        <w:spacing w:after="40"/>
      </w:pPr>
      <w:r>
        <w:t>pending, running, partial, complete, failed, and stale status</w:t>
      </w:r>
    </w:p>
    <w:p>
      <w:pPr>
        <w:pStyle w:val="ListBullet"/>
        <w:spacing w:after="40"/>
      </w:pPr>
      <w:r>
        <w:t>requested and completed timestamps</w:t>
      </w:r>
    </w:p>
    <w:p>
      <w:pPr>
        <w:pStyle w:val="ListBullet"/>
        <w:spacing w:after="40"/>
      </w:pPr>
      <w:r>
        <w:t>retry count and last error</w:t>
      </w:r>
    </w:p>
    <w:p>
      <w:pPr>
        <w:pStyle w:val="ListBullet"/>
        <w:spacing w:after="40"/>
      </w:pPr>
      <w:r>
        <w:t>upstream version or commit when available</w:t>
      </w:r>
    </w:p>
    <w:p>
      <w:pPr>
        <w:pStyle w:val="ListBullet"/>
        <w:spacing w:after="40"/>
      </w:pPr>
      <w:r>
        <w:t>the exact week_days and demand sent</w:t>
      </w:r>
    </w:p>
    <w:p>
      <w:pPr>
        <w:pStyle w:val="ListBullet"/>
        <w:spacing w:after="40"/>
      </w:pPr>
      <w:r>
        <w:t>both complete raw responses, including coverage, data_limited, unfinished, blocks, weekly_fill, demand_reconciliation, and params_used</w:t>
      </w:r>
    </w:p>
    <w:p>
      <w:pPr>
        <w:pStyle w:val="Heading2"/>
      </w:pPr>
      <w:r>
        <w:t>Machine Planning page</w:t>
      </w:r>
    </w:p>
    <w:p>
      <w:pPr>
        <w:pStyle w:val="ListBullet"/>
        <w:spacing w:after="40"/>
      </w:pPr>
      <w:r>
        <w:t>Plumbing only; no empty PTMT tab.</w:t>
      </w:r>
    </w:p>
    <w:p>
      <w:pPr>
        <w:pStyle w:val="ListBullet"/>
        <w:spacing w:after="40"/>
      </w:pPr>
      <w:r>
        <w:t>Plan run identity and generation timestamp.</w:t>
      </w:r>
    </w:p>
    <w:p>
      <w:pPr>
        <w:pStyle w:val="ListBullet"/>
        <w:spacing w:after="40"/>
      </w:pPr>
      <w:r>
        <w:t>Week days sent to Prayag.</w:t>
      </w:r>
    </w:p>
    <w:p>
      <w:pPr>
        <w:pStyle w:val="ListBullet"/>
        <w:spacing w:after="40"/>
      </w:pPr>
      <w:r>
        <w:t>Headline totals: scheduled, unfinished, and data-limited.</w:t>
      </w:r>
    </w:p>
    <w:p>
      <w:pPr>
        <w:pStyle w:val="ListBullet"/>
        <w:spacing w:after="40"/>
      </w:pPr>
      <w:r>
        <w:t>Current, stale, partial, failed, or not-yet-generated state.</w:t>
      </w:r>
    </w:p>
    <w:p>
      <w:pPr>
        <w:pStyle w:val="ListBullet"/>
        <w:spacing w:after="40"/>
      </w:pPr>
      <w:r>
        <w:t>Excel download button.</w:t>
      </w:r>
    </w:p>
    <w:p>
      <w:pPr>
        <w:pStyle w:val="ListBullet"/>
        <w:spacing w:after="40"/>
      </w:pPr>
      <w:r>
        <w:t>No full plan table in the page, consistent with the Excel-only requirement.</w:t>
      </w:r>
    </w:p>
    <w:p>
      <w:pPr>
        <w:pStyle w:val="Heading2"/>
      </w:pPr>
      <w:r>
        <w:t>Excel workbook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pStyle w:val="TableText"/>
            </w:pPr>
            <w:r/>
            <w:r>
              <w:rPr>
                <w:b/>
                <w:color w:val="FFFFFF"/>
              </w:rPr>
              <w:t>Sheet</w:t>
            </w:r>
          </w:p>
        </w:tc>
        <w:tc>
          <w:tcPr>
            <w:tcW w:type="dxa" w:w="5112"/>
            <w:vAlign w:val="center"/>
            <w:shd w:fill="17365D"/>
          </w:tcPr>
          <w:p>
            <w:pPr>
              <w:pStyle w:val="TableText"/>
            </w:pPr>
            <w:r/>
            <w:r>
              <w:rPr>
                <w:b/>
                <w:color w:val="FFFFFF"/>
              </w:rPr>
              <w:t>Content</w:t>
            </w:r>
          </w:p>
        </w:tc>
      </w:tr>
      <w:tr>
        <w:tc>
          <w:tcPr>
            <w:tcW w:type="dxa" w:w="5112"/>
            <w:vAlign w:val="center"/>
          </w:tcPr>
          <w:p>
            <w:pPr>
              <w:pStyle w:val="TableText"/>
            </w:pPr>
            <w:r/>
            <w:r>
              <w:rPr>
                <w:b w:val="0"/>
              </w:rPr>
              <w:t>Machine load by week</w:t>
            </w:r>
          </w:p>
        </w:tc>
        <w:tc>
          <w:tcPr>
            <w:tcW w:type="dxa" w:w="5112"/>
            <w:vAlign w:val="center"/>
          </w:tcPr>
          <w:p>
            <w:pPr>
              <w:pStyle w:val="TableText"/>
            </w:pPr>
            <w:r/>
            <w:r>
              <w:rPr>
                <w:b w:val="0"/>
              </w:rPr>
              <w:t>Machine-level weekly capacity, scheduled, idle, and downtime information.</w:t>
            </w:r>
          </w:p>
        </w:tc>
      </w:tr>
      <w:tr>
        <w:tc>
          <w:tcPr>
            <w:tcW w:type="dxa" w:w="5112"/>
            <w:vAlign w:val="center"/>
          </w:tcPr>
          <w:p>
            <w:pPr>
              <w:pStyle w:val="TableText"/>
            </w:pPr>
            <w:r/>
            <w:r>
              <w:rPr>
                <w:b w:val="0"/>
              </w:rPr>
              <w:t>Allocations per machine</w:t>
            </w:r>
          </w:p>
        </w:tc>
        <w:tc>
          <w:tcPr>
            <w:tcW w:type="dxa" w:w="5112"/>
            <w:vAlign w:val="center"/>
          </w:tcPr>
          <w:p>
            <w:pPr>
              <w:pStyle w:val="TableText"/>
            </w:pPr>
            <w:r/>
            <w:r>
              <w:rPr>
                <w:b w:val="0"/>
              </w:rPr>
              <w:t>Machine allocation details from both scheduler responses.</w:t>
            </w:r>
          </w:p>
        </w:tc>
      </w:tr>
      <w:tr>
        <w:tc>
          <w:tcPr>
            <w:tcW w:type="dxa" w:w="5112"/>
            <w:vAlign w:val="center"/>
          </w:tcPr>
          <w:p>
            <w:pPr>
              <w:pStyle w:val="TableText"/>
            </w:pPr>
            <w:r/>
            <w:r>
              <w:rPr>
                <w:b w:val="0"/>
              </w:rPr>
              <w:t>Unfinished</w:t>
            </w:r>
          </w:p>
        </w:tc>
        <w:tc>
          <w:tcPr>
            <w:tcW w:type="dxa" w:w="5112"/>
            <w:vAlign w:val="center"/>
          </w:tcPr>
          <w:p>
            <w:pPr>
              <w:pStyle w:val="TableText"/>
            </w:pPr>
            <w:r/>
            <w:r>
              <w:rPr>
                <w:b w:val="0"/>
              </w:rPr>
              <w:t>Demand not scheduled, with reasons.</w:t>
            </w:r>
          </w:p>
        </w:tc>
      </w:tr>
      <w:tr>
        <w:tc>
          <w:tcPr>
            <w:tcW w:type="dxa" w:w="5112"/>
            <w:vAlign w:val="center"/>
          </w:tcPr>
          <w:p>
            <w:pPr>
              <w:pStyle w:val="TableText"/>
            </w:pPr>
            <w:r/>
            <w:r>
              <w:rPr>
                <w:b w:val="0"/>
              </w:rPr>
              <w:t>Data limited</w:t>
            </w:r>
          </w:p>
        </w:tc>
        <w:tc>
          <w:tcPr>
            <w:tcW w:type="dxa" w:w="5112"/>
            <w:vAlign w:val="center"/>
          </w:tcPr>
          <w:p>
            <w:pPr>
              <w:pStyle w:val="TableText"/>
            </w:pPr>
            <w:r/>
            <w:r>
              <w:rPr>
                <w:b w:val="0"/>
              </w:rPr>
              <w:t>Demand Prayag could not model, with reasons.</w:t>
            </w:r>
          </w:p>
        </w:tc>
      </w:tr>
      <w:tr>
        <w:tc>
          <w:tcPr>
            <w:tcW w:type="dxa" w:w="5112"/>
            <w:vAlign w:val="center"/>
          </w:tcPr>
          <w:p>
            <w:pPr>
              <w:pStyle w:val="TableText"/>
            </w:pPr>
            <w:r/>
            <w:r>
              <w:rPr>
                <w:b w:val="0"/>
              </w:rPr>
              <w:t>Demand reconciliation</w:t>
            </w:r>
          </w:p>
        </w:tc>
        <w:tc>
          <w:tcPr>
            <w:tcW w:type="dxa" w:w="5112"/>
            <w:vAlign w:val="center"/>
          </w:tcPr>
          <w:p>
            <w:pPr>
              <w:pStyle w:val="TableText"/>
            </w:pPr>
            <w:r/>
            <w:r>
              <w:rPr>
                <w:b w:val="0"/>
              </w:rPr>
              <w:t>Submitted demand versus scheduled/modelled demand and unit assertions.</w:t>
            </w:r>
          </w:p>
        </w:tc>
      </w:tr>
    </w:tbl>
    <w:p>
      <w:pPr>
        <w:spacing w:after="40"/>
      </w:pPr>
    </w:p>
    <w:p>
      <w:pPr>
        <w:spacing w:after="100"/>
      </w:pPr>
      <w:r>
        <w:t>The export must assert that demand_reconciliation.submitted_requested_pcs equals the exact demand sent by the application. A mismatch must fail the workbook rather than silently publishing a partial result.</w:t>
      </w:r>
    </w:p>
    <w:p>
      <w:pPr>
        <w:spacing w:after="100"/>
      </w:pPr>
      <w:r>
        <w:t>If one kind succeeds and the other fails, retain the successful response for diagnostics but mark the plan Partial and do not present a half-complete workbook as a finished machine plan.</w:t>
      </w:r>
    </w:p>
    <w:p>
      <w:pPr>
        <w:pStyle w:val="Heading1"/>
      </w:pPr>
      <w:r>
        <w:t>Rough implementation cost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pStyle w:val="TableText"/>
            </w:pPr>
            <w:r/>
            <w:r>
              <w:rPr>
                <w:b/>
                <w:color w:val="FFFFFF"/>
              </w:rPr>
              <w:t>Area</w:t>
            </w:r>
          </w:p>
        </w:tc>
        <w:tc>
          <w:tcPr>
            <w:tcW w:type="dxa" w:w="5112"/>
            <w:vAlign w:val="center"/>
            <w:shd w:fill="17365D"/>
          </w:tcPr>
          <w:p>
            <w:pPr>
              <w:pStyle w:val="TableText"/>
            </w:pPr>
            <w:r/>
            <w:r>
              <w:rPr>
                <w:b/>
                <w:color w:val="FFFFFF"/>
              </w:rPr>
              <w:t>Estimate</w:t>
            </w:r>
          </w:p>
        </w:tc>
      </w:tr>
      <w:tr>
        <w:tc>
          <w:tcPr>
            <w:tcW w:type="dxa" w:w="5112"/>
            <w:vAlign w:val="center"/>
          </w:tcPr>
          <w:p>
            <w:pPr>
              <w:pStyle w:val="TableText"/>
            </w:pPr>
            <w:r/>
            <w:r>
              <w:rPr>
                <w:b w:val="0"/>
              </w:rPr>
              <w:t>Background job, status, finalize/recompute integration</w:t>
            </w:r>
          </w:p>
        </w:tc>
        <w:tc>
          <w:tcPr>
            <w:tcW w:type="dxa" w:w="5112"/>
            <w:vAlign w:val="center"/>
          </w:tcPr>
          <w:p>
            <w:pPr>
              <w:pStyle w:val="TableText"/>
            </w:pPr>
            <w:r/>
            <w:r>
              <w:rPr>
                <w:b w:val="0"/>
              </w:rPr>
              <w:t>3–4 days</w:t>
            </w:r>
          </w:p>
        </w:tc>
      </w:tr>
      <w:tr>
        <w:tc>
          <w:tcPr>
            <w:tcW w:type="dxa" w:w="5112"/>
            <w:vAlign w:val="center"/>
          </w:tcPr>
          <w:p>
            <w:pPr>
              <w:pStyle w:val="TableText"/>
            </w:pPr>
            <w:r/>
            <w:r>
              <w:rPr>
                <w:b w:val="0"/>
              </w:rPr>
              <w:t>Persistence hardening and stale/partial handling</w:t>
            </w:r>
          </w:p>
        </w:tc>
        <w:tc>
          <w:tcPr>
            <w:tcW w:type="dxa" w:w="5112"/>
            <w:vAlign w:val="center"/>
          </w:tcPr>
          <w:p>
            <w:pPr>
              <w:pStyle w:val="TableText"/>
            </w:pPr>
            <w:r/>
            <w:r>
              <w:rPr>
                <w:b w:val="0"/>
              </w:rPr>
              <w:t>2–3 days</w:t>
            </w:r>
          </w:p>
        </w:tc>
      </w:tr>
      <w:tr>
        <w:tc>
          <w:tcPr>
            <w:tcW w:type="dxa" w:w="5112"/>
            <w:vAlign w:val="center"/>
          </w:tcPr>
          <w:p>
            <w:pPr>
              <w:pStyle w:val="TableText"/>
            </w:pPr>
            <w:r/>
            <w:r>
              <w:rPr>
                <w:b w:val="0"/>
              </w:rPr>
              <w:t>Plumbing-only Machine Planning page</w:t>
            </w:r>
          </w:p>
        </w:tc>
        <w:tc>
          <w:tcPr>
            <w:tcW w:type="dxa" w:w="5112"/>
            <w:vAlign w:val="center"/>
          </w:tcPr>
          <w:p>
            <w:pPr>
              <w:pStyle w:val="TableText"/>
            </w:pPr>
            <w:r/>
            <w:r>
              <w:rPr>
                <w:b w:val="0"/>
              </w:rPr>
              <w:t>2–3 days</w:t>
            </w:r>
          </w:p>
        </w:tc>
      </w:tr>
      <w:tr>
        <w:tc>
          <w:tcPr>
            <w:tcW w:type="dxa" w:w="5112"/>
            <w:vAlign w:val="center"/>
          </w:tcPr>
          <w:p>
            <w:pPr>
              <w:pStyle w:val="TableText"/>
            </w:pPr>
            <w:r/>
            <w:r>
              <w:rPr>
                <w:b w:val="0"/>
              </w:rPr>
              <w:t>Excel workbook and reconciliation assertions</w:t>
            </w:r>
          </w:p>
        </w:tc>
        <w:tc>
          <w:tcPr>
            <w:tcW w:type="dxa" w:w="5112"/>
            <w:vAlign w:val="center"/>
          </w:tcPr>
          <w:p>
            <w:pPr>
              <w:pStyle w:val="TableText"/>
            </w:pPr>
            <w:r/>
            <w:r>
              <w:rPr>
                <w:b w:val="0"/>
              </w:rPr>
              <w:t>2–3 days</w:t>
            </w:r>
          </w:p>
        </w:tc>
      </w:tr>
      <w:tr>
        <w:tc>
          <w:tcPr>
            <w:tcW w:type="dxa" w:w="5112"/>
            <w:vAlign w:val="center"/>
          </w:tcPr>
          <w:p>
            <w:pPr>
              <w:pStyle w:val="TableText"/>
            </w:pPr>
            <w:r/>
            <w:r>
              <w:rPr>
                <w:b w:val="0"/>
              </w:rPr>
              <w:t>Failure handling and tests</w:t>
            </w:r>
          </w:p>
        </w:tc>
        <w:tc>
          <w:tcPr>
            <w:tcW w:type="dxa" w:w="5112"/>
            <w:vAlign w:val="center"/>
          </w:tcPr>
          <w:p>
            <w:pPr>
              <w:pStyle w:val="TableText"/>
            </w:pPr>
            <w:r/>
            <w:r>
              <w:rPr>
                <w:b w:val="0"/>
              </w:rPr>
              <w:t>2–3 days</w:t>
            </w:r>
          </w:p>
        </w:tc>
      </w:tr>
      <w:tr>
        <w:tc>
          <w:tcPr>
            <w:tcW w:type="dxa" w:w="5112"/>
            <w:vAlign w:val="center"/>
          </w:tcPr>
          <w:p>
            <w:pPr>
              <w:pStyle w:val="TableText"/>
            </w:pPr>
            <w:r/>
            <w:r>
              <w:rPr>
                <w:b w:val="0"/>
              </w:rPr>
              <w:t>Total</w:t>
            </w:r>
          </w:p>
        </w:tc>
        <w:tc>
          <w:tcPr>
            <w:tcW w:type="dxa" w:w="5112"/>
            <w:vAlign w:val="center"/>
          </w:tcPr>
          <w:p>
            <w:pPr>
              <w:pStyle w:val="TableText"/>
            </w:pPr>
            <w:r/>
            <w:r>
              <w:rPr>
                <w:b w:val="0"/>
              </w:rPr>
              <w:t>11–16 engineering days</w:t>
            </w:r>
          </w:p>
        </w:tc>
      </w:tr>
    </w:tbl>
    <w:p>
      <w:pPr>
        <w:spacing w:after="40"/>
      </w:pPr>
    </w:p>
    <w:p>
      <w:pPr>
        <w:spacing w:after="100"/>
      </w:pPr>
      <w:r>
        <w:t>This estimate benefits from the existing scheduler adapter and per-kind persistence. It excludes PTMT machine planning and any Prayag-side machine-master export or rate-limit investigation.</w:t>
      </w:r>
    </w:p>
    <w:p>
      <w:pPr>
        <w:pStyle w:val="Heading1"/>
      </w:pPr>
      <w:r>
        <w:t>Scope boundary</w:t>
      </w:r>
    </w:p>
    <w:p>
      <w:pPr>
        <w:spacing w:after="100"/>
      </w:pPr>
      <w:r>
        <w:t>This report is design-only. No Machine Planning page was built, no automatic finalize/recompute trigger was added, no plan was fitted or finalized, and protected runs #28, #30, and #32 were not touched. No deployment or publication was performed.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Prayag Machine Planning · Read-only MP.0 / MP.1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PRAYAG MACHINE PLANNING · MP.0 / MP.1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