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September 2026 PTMT</w:t>
        <w:br/>
        <w:t>Roster Forensic Report</w:t>
      </w:r>
    </w:p>
    <w:p>
      <w:pPr>
        <w:jc w:val="center"/>
      </w:pPr>
      <w:r>
        <w:rPr>
          <w:i/>
          <w:color w:val="5B6573"/>
          <w:sz w:val="22"/>
        </w:rPr>
        <w:t>REPORT 1–9 fallback, roster variance, source joins, and multiplier checks</w:t>
      </w:r>
    </w:p>
    <w:p>
      <w:pPr>
        <w:jc w:val="center"/>
      </w:pPr>
      <w:r>
        <w:rPr>
          <w:sz w:val="20"/>
        </w:rPr>
        <w:t>Prepared 10 September 2026 • Read-only investigation</w:t>
      </w:r>
    </w:p>
    <w:tbl>
      <w:tblPr>
        <w:tblStyle w:val="TableGrid"/>
        <w:tblW w:type="auto" w:w="0"/>
        <w:tblLook w:firstColumn="1" w:firstRow="1" w:lastColumn="0" w:lastRow="0" w:noHBand="0" w:noVBand="1" w:val="04A0"/>
      </w:tblPr>
      <w:tblGrid>
        <w:gridCol w:w="10080"/>
      </w:tblGrid>
      <w:tr>
        <w:tc>
          <w:tcPr>
            <w:tcW w:type="dxa" w:w="10080"/>
            <w:shd w:fill="D9EAF7"/>
          </w:tcPr>
          <w:p>
            <w:r>
              <w:rPr>
                <w:b/>
              </w:rPr>
              <w:t>Executive conclusion: the reported +158 is not currently a recoverable list of 158 rows absent from REPORT 1–9. The authoritative REPORT 1–9 read failed, and the application populated a legacy fallback roster of 3,584 rows. PTMT must not be re-baselined from this fallback result.</w:t>
            </w:r>
          </w:p>
        </w:tc>
      </w:tr>
    </w:tbl>
    <w:p>
      <w:pPr>
        <w:spacing w:after="40"/>
      </w:pPr>
    </w:p>
    <w:p>
      <w:pPr>
        <w:pStyle w:val="Heading1"/>
      </w:pPr>
      <w:r>
        <w:t>Scope and investigation boundary</w:t>
      </w:r>
    </w:p>
    <w:p>
      <w:r>
        <w:t>This document records the latest read-only forensic review of the September 2026 PTMT roster discrepancy. It covers the reported 3,584 → 6,574 → 3,584 history, the claimed 158 extra rows, punctuation-variant checks, the 121-O / WHITE and 144-O / WHITE figures, source-entry paths, cache behavior, and the seven multiplier failures.</w:t>
      </w:r>
    </w:p>
    <w:p>
      <w:r>
        <w:t>No PTMT Temporary Plan was created, rerun, finalized, published, or deployed. No reviewed exclusion policy, multiplier policy, or protected run was changed. Runs #28, #30, and #32 were not touched.</w:t>
      </w:r>
    </w:p>
    <w:p>
      <w:pPr>
        <w:pStyle w:val="Heading1"/>
      </w:pPr>
      <w:r>
        <w:t>1. Authoritative REPORT 1–9 read status</w:t>
      </w:r>
    </w:p>
    <w:p>
      <w:r>
        <w:t>The current application attempt to read the configured PTMT REPORT 1–9 source failed with:</w:t>
      </w:r>
    </w:p>
    <w:tbl>
      <w:tblPr>
        <w:tblStyle w:val="TableGrid"/>
        <w:tblW w:type="auto" w:w="0"/>
        <w:tblLook w:firstColumn="1" w:firstRow="1" w:lastColumn="0" w:lastRow="0" w:noHBand="0" w:noVBand="1" w:val="04A0"/>
      </w:tblPr>
      <w:tblGrid>
        <w:gridCol w:w="10080"/>
      </w:tblGrid>
      <w:tr>
        <w:tc>
          <w:tcPr>
            <w:tcW w:type="dxa" w:w="10080"/>
            <w:shd w:fill="FFF2CC"/>
          </w:tcPr>
          <w:p>
            <w:r>
              <w:rPr>
                <w:b/>
              </w:rPr>
              <w:t>PTMT REPORT 1-9 roster has no recognised item rows</w:t>
            </w:r>
          </w:p>
        </w:tc>
      </w:tr>
    </w:tbl>
    <w:p>
      <w:pPr>
        <w:spacing w:after="40"/>
      </w:pPr>
    </w:p>
    <w:p>
      <w:r>
        <w:t>The configured workbook source was:</w:t>
      </w:r>
    </w:p>
    <w:p>
      <w:r>
        <w:rPr>
          <w:rFonts w:ascii="Consolas" w:hAnsi="Consolas"/>
        </w:rPr>
        <w:t>1AGmksx4gn6w0Wb9EF__yAV5v89IyAfX_f75ouW2c7Yw</w:t>
      </w:r>
    </w:p>
    <w:p>
      <w:r>
        <w:t>Because the authoritative report read failed, getEffectivePtmtRoster() used the legacy reference-data recovery path. That path combines available rate-list, workbook/item-master, catalogue, and explicit MRP bridge evidence. The resulting roster is populated, but it is not a successfully captured REPORT 1–9 roster.</w:t>
      </w:r>
    </w:p>
    <w:p>
      <w:pPr>
        <w:pStyle w:val="Heading1"/>
      </w:pPr>
      <w:r>
        <w:t>2. The reported +158 difference</w:t>
      </w:r>
    </w:p>
    <w:p>
      <w:r>
        <w:t>The observed arithmetic is 3,584 effective rows minus a 3,426-row REPORT 1–9 target, giving +158. However, the +158 is a net row-count difference against targets, not an identity-level set difference.</w:t>
      </w:r>
    </w:p>
    <w:tbl>
      <w:tblPr>
        <w:tblStyle w:val="TableGrid"/>
        <w:tblW w:type="auto" w:w="0"/>
        <w:jc w:val="center"/>
        <w:tblLook w:firstColumn="1" w:firstRow="1" w:lastColumn="0" w:lastRow="0" w:noHBand="0" w:noVBand="1" w:val="04A0"/>
      </w:tblPr>
      <w:tblGrid>
        <w:gridCol w:w="5040"/>
        <w:gridCol w:w="5040"/>
      </w:tblGrid>
      <w:tr>
        <w:tc>
          <w:tcPr>
            <w:tcW w:type="dxa" w:w="5472"/>
            <w:vAlign w:val="center"/>
            <w:shd w:fill="17365D"/>
          </w:tcPr>
          <w:p>
            <w:r/>
            <w:r>
              <w:rPr>
                <w:b/>
                <w:color w:val="FFFFFF"/>
              </w:rPr>
              <w:t>Fallback roster source</w:t>
            </w:r>
          </w:p>
        </w:tc>
        <w:tc>
          <w:tcPr>
            <w:tcW w:type="dxa" w:w="1872"/>
            <w:vAlign w:val="center"/>
            <w:shd w:fill="17365D"/>
          </w:tcPr>
          <w:p>
            <w:r/>
            <w:r>
              <w:rPr>
                <w:b/>
                <w:color w:val="FFFFFF"/>
              </w:rPr>
              <w:t>Rows</w:t>
            </w:r>
          </w:p>
        </w:tc>
      </w:tr>
      <w:tr>
        <w:tc>
          <w:tcPr>
            <w:tcW w:type="dxa" w:w="5472"/>
            <w:vAlign w:val="center"/>
            <w:shd w:fill="F2F6FA"/>
          </w:tcPr>
          <w:p>
            <w:r/>
            <w:r>
              <w:rPr>
                <w:b w:val="0"/>
              </w:rPr>
              <w:t>Rate list</w:t>
            </w:r>
          </w:p>
        </w:tc>
        <w:tc>
          <w:tcPr>
            <w:tcW w:type="dxa" w:w="1872"/>
            <w:vAlign w:val="center"/>
            <w:shd w:fill="F2F6FA"/>
          </w:tcPr>
          <w:p>
            <w:r/>
            <w:r>
              <w:rPr>
                <w:b w:val="0"/>
              </w:rPr>
              <w:t>3,237</w:t>
            </w:r>
          </w:p>
        </w:tc>
      </w:tr>
      <w:tr>
        <w:tc>
          <w:tcPr>
            <w:tcW w:type="dxa" w:w="5472"/>
            <w:vAlign w:val="center"/>
          </w:tcPr>
          <w:p>
            <w:r/>
            <w:r>
              <w:rPr>
                <w:b w:val="0"/>
              </w:rPr>
              <w:t>Workbook / item master</w:t>
            </w:r>
          </w:p>
        </w:tc>
        <w:tc>
          <w:tcPr>
            <w:tcW w:type="dxa" w:w="1872"/>
            <w:vAlign w:val="center"/>
          </w:tcPr>
          <w:p>
            <w:r/>
            <w:r>
              <w:rPr>
                <w:b w:val="0"/>
              </w:rPr>
              <w:t>341</w:t>
            </w:r>
          </w:p>
        </w:tc>
      </w:tr>
      <w:tr>
        <w:tc>
          <w:tcPr>
            <w:tcW w:type="dxa" w:w="5472"/>
            <w:vAlign w:val="center"/>
            <w:shd w:fill="F2F6FA"/>
          </w:tcPr>
          <w:p>
            <w:r/>
            <w:r>
              <w:rPr>
                <w:b w:val="0"/>
              </w:rPr>
              <w:t>Explicit MRP bridge</w:t>
            </w:r>
          </w:p>
        </w:tc>
        <w:tc>
          <w:tcPr>
            <w:tcW w:type="dxa" w:w="1872"/>
            <w:vAlign w:val="center"/>
            <w:shd w:fill="F2F6FA"/>
          </w:tcPr>
          <w:p>
            <w:r/>
            <w:r>
              <w:rPr>
                <w:b w:val="0"/>
              </w:rPr>
              <w:t>6</w:t>
            </w:r>
          </w:p>
        </w:tc>
      </w:tr>
      <w:tr>
        <w:tc>
          <w:tcPr>
            <w:tcW w:type="dxa" w:w="5472"/>
            <w:vAlign w:val="center"/>
          </w:tcPr>
          <w:p>
            <w:r/>
            <w:r>
              <w:rPr>
                <w:b w:val="0"/>
              </w:rPr>
              <w:t>Catalogue-only path</w:t>
            </w:r>
          </w:p>
        </w:tc>
        <w:tc>
          <w:tcPr>
            <w:tcW w:type="dxa" w:w="1872"/>
            <w:vAlign w:val="center"/>
          </w:tcPr>
          <w:p>
            <w:r/>
            <w:r>
              <w:rPr>
                <w:b w:val="0"/>
              </w:rPr>
              <w:t>0</w:t>
            </w:r>
          </w:p>
        </w:tc>
      </w:tr>
      <w:tr>
        <w:tc>
          <w:tcPr>
            <w:tcW w:type="dxa" w:w="5472"/>
            <w:vAlign w:val="center"/>
            <w:shd w:fill="F2F6FA"/>
          </w:tcPr>
          <w:p>
            <w:r/>
            <w:r>
              <w:rPr>
                <w:b w:val="0"/>
              </w:rPr>
              <w:t>Total effective fallback roster</w:t>
            </w:r>
          </w:p>
        </w:tc>
        <w:tc>
          <w:tcPr>
            <w:tcW w:type="dxa" w:w="1872"/>
            <w:vAlign w:val="center"/>
            <w:shd w:fill="F2F6FA"/>
          </w:tcPr>
          <w:p>
            <w:r/>
            <w:r>
              <w:rPr>
                <w:b w:val="0"/>
              </w:rPr>
              <w:t>3,584</w:t>
            </w:r>
          </w:p>
        </w:tc>
      </w:tr>
    </w:tbl>
    <w:p>
      <w:pPr>
        <w:spacing w:after="40"/>
      </w:pPr>
    </w:p>
    <w:p>
      <w:r>
        <w:t>The +158 decomposes into a net +88 difference across the targeted categories and 70 fallback Unclassified rows with no REPORT target: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888"/>
            <w:vAlign w:val="center"/>
            <w:shd w:fill="17365D"/>
          </w:tcPr>
          <w:p>
            <w:r/>
            <w:r>
              <w:rPr>
                <w:b/>
                <w:color w:val="FFFFFF"/>
              </w:rPr>
              <w:t>Category</w:t>
            </w:r>
          </w:p>
        </w:tc>
        <w:tc>
          <w:tcPr>
            <w:tcW w:type="dxa" w:w="1584"/>
            <w:vAlign w:val="center"/>
            <w:shd w:fill="17365D"/>
          </w:tcPr>
          <w:p>
            <w:r/>
            <w:r>
              <w:rPr>
                <w:b/>
                <w:color w:val="FFFFFF"/>
              </w:rPr>
              <w:t>Effective rows</w:t>
            </w:r>
          </w:p>
        </w:tc>
        <w:tc>
          <w:tcPr>
            <w:tcW w:type="dxa" w:w="1584"/>
            <w:vAlign w:val="center"/>
            <w:shd w:fill="17365D"/>
          </w:tcPr>
          <w:p>
            <w:r/>
            <w:r>
              <w:rPr>
                <w:b/>
                <w:color w:val="FFFFFF"/>
              </w:rPr>
              <w:t>Expected rows</w:t>
            </w:r>
          </w:p>
        </w:tc>
        <w:tc>
          <w:tcPr>
            <w:tcW w:type="dxa" w:w="1440"/>
            <w:vAlign w:val="center"/>
            <w:shd w:fill="17365D"/>
          </w:tcPr>
          <w:p>
            <w:r/>
            <w:r>
              <w:rPr>
                <w:b/>
                <w:color w:val="FFFFFF"/>
              </w:rPr>
              <w:t>Difference</w:t>
            </w:r>
          </w:p>
        </w:tc>
      </w:tr>
      <w:tr>
        <w:tc>
          <w:tcPr>
            <w:tcW w:type="dxa" w:w="3888"/>
            <w:vAlign w:val="center"/>
            <w:shd w:fill="F2F6FA"/>
          </w:tcPr>
          <w:p>
            <w:r/>
            <w:r>
              <w:rPr>
                <w:b w:val="0"/>
              </w:rPr>
              <w:t>Cocks Standard</w:t>
            </w:r>
          </w:p>
        </w:tc>
        <w:tc>
          <w:tcPr>
            <w:tcW w:type="dxa" w:w="1584"/>
            <w:vAlign w:val="center"/>
            <w:shd w:fill="F2F6FA"/>
          </w:tcPr>
          <w:p>
            <w:r/>
            <w:r>
              <w:rPr>
                <w:b w:val="0"/>
              </w:rPr>
              <w:t>2,093</w:t>
            </w:r>
          </w:p>
        </w:tc>
        <w:tc>
          <w:tcPr>
            <w:tcW w:type="dxa" w:w="1584"/>
            <w:vAlign w:val="center"/>
            <w:shd w:fill="F2F6FA"/>
          </w:tcPr>
          <w:p>
            <w:r/>
            <w:r>
              <w:rPr>
                <w:b w:val="0"/>
              </w:rPr>
              <w:t>2,066</w:t>
            </w:r>
          </w:p>
        </w:tc>
        <w:tc>
          <w:tcPr>
            <w:tcW w:type="dxa" w:w="1440"/>
            <w:vAlign w:val="center"/>
            <w:shd w:fill="F2F6FA"/>
          </w:tcPr>
          <w:p>
            <w:r/>
            <w:r>
              <w:rPr>
                <w:b w:val="0"/>
              </w:rPr>
              <w:t>+27</w:t>
            </w:r>
          </w:p>
        </w:tc>
      </w:tr>
      <w:tr>
        <w:tc>
          <w:tcPr>
            <w:tcW w:type="dxa" w:w="3888"/>
            <w:vAlign w:val="center"/>
          </w:tcPr>
          <w:p>
            <w:r/>
            <w:r>
              <w:rPr>
                <w:b w:val="0"/>
              </w:rPr>
              <w:t>Cocks Premium</w:t>
            </w:r>
          </w:p>
        </w:tc>
        <w:tc>
          <w:tcPr>
            <w:tcW w:type="dxa" w:w="1584"/>
            <w:vAlign w:val="center"/>
          </w:tcPr>
          <w:p>
            <w:r/>
            <w:r>
              <w:rPr>
                <w:b w:val="0"/>
              </w:rPr>
              <w:t>601</w:t>
            </w:r>
          </w:p>
        </w:tc>
        <w:tc>
          <w:tcPr>
            <w:tcW w:type="dxa" w:w="1584"/>
            <w:vAlign w:val="center"/>
          </w:tcPr>
          <w:p>
            <w:r/>
            <w:r>
              <w:rPr>
                <w:b w:val="0"/>
              </w:rPr>
              <w:t>602</w:t>
            </w:r>
          </w:p>
        </w:tc>
        <w:tc>
          <w:tcPr>
            <w:tcW w:type="dxa" w:w="1440"/>
            <w:vAlign w:val="center"/>
          </w:tcPr>
          <w:p>
            <w:r/>
            <w:r>
              <w:rPr>
                <w:b w:val="0"/>
              </w:rPr>
              <w:t>−1</w:t>
            </w:r>
          </w:p>
        </w:tc>
      </w:tr>
      <w:tr>
        <w:tc>
          <w:tcPr>
            <w:tcW w:type="dxa" w:w="3888"/>
            <w:vAlign w:val="center"/>
            <w:shd w:fill="F2F6FA"/>
          </w:tcPr>
          <w:p>
            <w:r/>
            <w:r>
              <w:rPr>
                <w:b w:val="0"/>
              </w:rPr>
              <w:t>Faucets &amp; Jetsprays &amp; Shower</w:t>
            </w:r>
          </w:p>
        </w:tc>
        <w:tc>
          <w:tcPr>
            <w:tcW w:type="dxa" w:w="1584"/>
            <w:vAlign w:val="center"/>
            <w:shd w:fill="F2F6FA"/>
          </w:tcPr>
          <w:p>
            <w:r/>
            <w:r>
              <w:rPr>
                <w:b w:val="0"/>
              </w:rPr>
              <w:t>203</w:t>
            </w:r>
          </w:p>
        </w:tc>
        <w:tc>
          <w:tcPr>
            <w:tcW w:type="dxa" w:w="1584"/>
            <w:vAlign w:val="center"/>
            <w:shd w:fill="F2F6FA"/>
          </w:tcPr>
          <w:p>
            <w:r/>
            <w:r>
              <w:rPr>
                <w:b w:val="0"/>
              </w:rPr>
              <w:t>185</w:t>
            </w:r>
          </w:p>
        </w:tc>
        <w:tc>
          <w:tcPr>
            <w:tcW w:type="dxa" w:w="1440"/>
            <w:vAlign w:val="center"/>
            <w:shd w:fill="F2F6FA"/>
          </w:tcPr>
          <w:p>
            <w:r/>
            <w:r>
              <w:rPr>
                <w:b w:val="0"/>
              </w:rPr>
              <w:t>+18</w:t>
            </w:r>
          </w:p>
        </w:tc>
      </w:tr>
      <w:tr>
        <w:tc>
          <w:tcPr>
            <w:tcW w:type="dxa" w:w="3888"/>
            <w:vAlign w:val="center"/>
          </w:tcPr>
          <w:p>
            <w:r/>
            <w:r>
              <w:rPr>
                <w:b w:val="0"/>
              </w:rPr>
              <w:t>Accessorise</w:t>
            </w:r>
          </w:p>
        </w:tc>
        <w:tc>
          <w:tcPr>
            <w:tcW w:type="dxa" w:w="1584"/>
            <w:vAlign w:val="center"/>
          </w:tcPr>
          <w:p>
            <w:r/>
            <w:r>
              <w:rPr>
                <w:b w:val="0"/>
              </w:rPr>
              <w:t>223</w:t>
            </w:r>
          </w:p>
        </w:tc>
        <w:tc>
          <w:tcPr>
            <w:tcW w:type="dxa" w:w="1584"/>
            <w:vAlign w:val="center"/>
          </w:tcPr>
          <w:p>
            <w:r/>
            <w:r>
              <w:rPr>
                <w:b w:val="0"/>
              </w:rPr>
              <w:t>205</w:t>
            </w:r>
          </w:p>
        </w:tc>
        <w:tc>
          <w:tcPr>
            <w:tcW w:type="dxa" w:w="1440"/>
            <w:vAlign w:val="center"/>
          </w:tcPr>
          <w:p>
            <w:r/>
            <w:r>
              <w:rPr>
                <w:b w:val="0"/>
              </w:rPr>
              <w:t>+18</w:t>
            </w:r>
          </w:p>
        </w:tc>
      </w:tr>
      <w:tr>
        <w:tc>
          <w:tcPr>
            <w:tcW w:type="dxa" w:w="3888"/>
            <w:vAlign w:val="center"/>
            <w:shd w:fill="F2F6FA"/>
          </w:tcPr>
          <w:p>
            <w:r/>
            <w:r>
              <w:rPr>
                <w:b w:val="0"/>
              </w:rPr>
              <w:t>Cistern &amp; Seat Cover</w:t>
            </w:r>
          </w:p>
        </w:tc>
        <w:tc>
          <w:tcPr>
            <w:tcW w:type="dxa" w:w="1584"/>
            <w:vAlign w:val="center"/>
            <w:shd w:fill="F2F6FA"/>
          </w:tcPr>
          <w:p>
            <w:r/>
            <w:r>
              <w:rPr>
                <w:b w:val="0"/>
              </w:rPr>
              <w:t>201</w:t>
            </w:r>
          </w:p>
        </w:tc>
        <w:tc>
          <w:tcPr>
            <w:tcW w:type="dxa" w:w="1584"/>
            <w:vAlign w:val="center"/>
            <w:shd w:fill="F2F6FA"/>
          </w:tcPr>
          <w:p>
            <w:r/>
            <w:r>
              <w:rPr>
                <w:b w:val="0"/>
              </w:rPr>
              <w:t>187</w:t>
            </w:r>
          </w:p>
        </w:tc>
        <w:tc>
          <w:tcPr>
            <w:tcW w:type="dxa" w:w="1440"/>
            <w:vAlign w:val="center"/>
            <w:shd w:fill="F2F6FA"/>
          </w:tcPr>
          <w:p>
            <w:r/>
            <w:r>
              <w:rPr>
                <w:b w:val="0"/>
              </w:rPr>
              <w:t>+14</w:t>
            </w:r>
          </w:p>
        </w:tc>
      </w:tr>
      <w:tr>
        <w:tc>
          <w:tcPr>
            <w:tcW w:type="dxa" w:w="3888"/>
            <w:vAlign w:val="center"/>
          </w:tcPr>
          <w:p>
            <w:r/>
            <w:r>
              <w:rPr>
                <w:b w:val="0"/>
              </w:rPr>
              <w:t>Cabinet</w:t>
            </w:r>
          </w:p>
        </w:tc>
        <w:tc>
          <w:tcPr>
            <w:tcW w:type="dxa" w:w="1584"/>
            <w:vAlign w:val="center"/>
          </w:tcPr>
          <w:p>
            <w:r/>
            <w:r>
              <w:rPr>
                <w:b w:val="0"/>
              </w:rPr>
              <w:t>54</w:t>
            </w:r>
          </w:p>
        </w:tc>
        <w:tc>
          <w:tcPr>
            <w:tcW w:type="dxa" w:w="1584"/>
            <w:vAlign w:val="center"/>
          </w:tcPr>
          <w:p>
            <w:r/>
            <w:r>
              <w:rPr>
                <w:b w:val="0"/>
              </w:rPr>
              <w:t>51</w:t>
            </w:r>
          </w:p>
        </w:tc>
        <w:tc>
          <w:tcPr>
            <w:tcW w:type="dxa" w:w="1440"/>
            <w:vAlign w:val="center"/>
          </w:tcPr>
          <w:p>
            <w:r/>
            <w:r>
              <w:rPr>
                <w:b w:val="0"/>
              </w:rPr>
              <w:t>+3</w:t>
            </w:r>
          </w:p>
        </w:tc>
      </w:tr>
      <w:tr>
        <w:tc>
          <w:tcPr>
            <w:tcW w:type="dxa" w:w="3888"/>
            <w:vAlign w:val="center"/>
            <w:shd w:fill="F2F6FA"/>
          </w:tcPr>
          <w:p>
            <w:r/>
            <w:r>
              <w:rPr>
                <w:b w:val="0"/>
              </w:rPr>
              <w:t>Ball Cock</w:t>
            </w:r>
          </w:p>
        </w:tc>
        <w:tc>
          <w:tcPr>
            <w:tcW w:type="dxa" w:w="1584"/>
            <w:vAlign w:val="center"/>
            <w:shd w:fill="F2F6FA"/>
          </w:tcPr>
          <w:p>
            <w:r/>
            <w:r>
              <w:rPr>
                <w:b w:val="0"/>
              </w:rPr>
              <w:t>77</w:t>
            </w:r>
          </w:p>
        </w:tc>
        <w:tc>
          <w:tcPr>
            <w:tcW w:type="dxa" w:w="1584"/>
            <w:vAlign w:val="center"/>
            <w:shd w:fill="F2F6FA"/>
          </w:tcPr>
          <w:p>
            <w:r/>
            <w:r>
              <w:rPr>
                <w:b w:val="0"/>
              </w:rPr>
              <w:t>55</w:t>
            </w:r>
          </w:p>
        </w:tc>
        <w:tc>
          <w:tcPr>
            <w:tcW w:type="dxa" w:w="1440"/>
            <w:vAlign w:val="center"/>
            <w:shd w:fill="F2F6FA"/>
          </w:tcPr>
          <w:p>
            <w:r/>
            <w:r>
              <w:rPr>
                <w:b w:val="0"/>
              </w:rPr>
              <w:t>+22</w:t>
            </w:r>
          </w:p>
        </w:tc>
      </w:tr>
      <w:tr>
        <w:tc>
          <w:tcPr>
            <w:tcW w:type="dxa" w:w="3888"/>
            <w:vAlign w:val="center"/>
          </w:tcPr>
          <w:p>
            <w:r/>
            <w:r>
              <w:rPr>
                <w:b w:val="0"/>
              </w:rPr>
              <w:t>P.V.C. Connections</w:t>
            </w:r>
          </w:p>
        </w:tc>
        <w:tc>
          <w:tcPr>
            <w:tcW w:type="dxa" w:w="1584"/>
            <w:vAlign w:val="center"/>
          </w:tcPr>
          <w:p>
            <w:r/>
            <w:r>
              <w:rPr>
                <w:b w:val="0"/>
              </w:rPr>
              <w:t>31</w:t>
            </w:r>
          </w:p>
        </w:tc>
        <w:tc>
          <w:tcPr>
            <w:tcW w:type="dxa" w:w="1584"/>
            <w:vAlign w:val="center"/>
          </w:tcPr>
          <w:p>
            <w:r/>
            <w:r>
              <w:rPr>
                <w:b w:val="0"/>
              </w:rPr>
              <w:t>29</w:t>
            </w:r>
          </w:p>
        </w:tc>
        <w:tc>
          <w:tcPr>
            <w:tcW w:type="dxa" w:w="1440"/>
            <w:vAlign w:val="center"/>
          </w:tcPr>
          <w:p>
            <w:r/>
            <w:r>
              <w:rPr>
                <w:b w:val="0"/>
              </w:rPr>
              <w:t>+2</w:t>
            </w:r>
          </w:p>
        </w:tc>
      </w:tr>
      <w:tr>
        <w:tc>
          <w:tcPr>
            <w:tcW w:type="dxa" w:w="3888"/>
            <w:vAlign w:val="center"/>
            <w:shd w:fill="F2F6FA"/>
          </w:tcPr>
          <w:p>
            <w:r/>
            <w:r>
              <w:rPr>
                <w:b w:val="0"/>
              </w:rPr>
              <w:t>Waste Pipes</w:t>
            </w:r>
          </w:p>
        </w:tc>
        <w:tc>
          <w:tcPr>
            <w:tcW w:type="dxa" w:w="1584"/>
            <w:vAlign w:val="center"/>
            <w:shd w:fill="F2F6FA"/>
          </w:tcPr>
          <w:p>
            <w:r/>
            <w:r>
              <w:rPr>
                <w:b w:val="0"/>
              </w:rPr>
              <w:t>31</w:t>
            </w:r>
          </w:p>
        </w:tc>
        <w:tc>
          <w:tcPr>
            <w:tcW w:type="dxa" w:w="1584"/>
            <w:vAlign w:val="center"/>
            <w:shd w:fill="F2F6FA"/>
          </w:tcPr>
          <w:p>
            <w:r/>
            <w:r>
              <w:rPr>
                <w:b w:val="0"/>
              </w:rPr>
              <w:t>46</w:t>
            </w:r>
          </w:p>
        </w:tc>
        <w:tc>
          <w:tcPr>
            <w:tcW w:type="dxa" w:w="1440"/>
            <w:vAlign w:val="center"/>
            <w:shd w:fill="F2F6FA"/>
          </w:tcPr>
          <w:p>
            <w:r/>
            <w:r>
              <w:rPr>
                <w:b w:val="0"/>
              </w:rPr>
              <w:t>−15</w:t>
            </w:r>
          </w:p>
        </w:tc>
      </w:tr>
      <w:tr>
        <w:tc>
          <w:tcPr>
            <w:tcW w:type="dxa" w:w="3888"/>
            <w:vAlign w:val="center"/>
          </w:tcPr>
          <w:p>
            <w:r/>
            <w:r>
              <w:rPr>
                <w:b w:val="0"/>
              </w:rPr>
              <w:t>Unclassified</w:t>
            </w:r>
          </w:p>
        </w:tc>
        <w:tc>
          <w:tcPr>
            <w:tcW w:type="dxa" w:w="1584"/>
            <w:vAlign w:val="center"/>
          </w:tcPr>
          <w:p>
            <w:r/>
            <w:r>
              <w:rPr>
                <w:b w:val="0"/>
              </w:rPr>
              <w:t>70</w:t>
            </w:r>
          </w:p>
        </w:tc>
        <w:tc>
          <w:tcPr>
            <w:tcW w:type="dxa" w:w="1584"/>
            <w:vAlign w:val="center"/>
          </w:tcPr>
          <w:p>
            <w:r/>
            <w:r>
              <w:rPr>
                <w:b w:val="0"/>
              </w:rPr>
              <w:t>No target</w:t>
            </w:r>
          </w:p>
        </w:tc>
        <w:tc>
          <w:tcPr>
            <w:tcW w:type="dxa" w:w="1440"/>
            <w:vAlign w:val="center"/>
          </w:tcPr>
          <w:p>
            <w:r/>
            <w:r>
              <w:rPr>
                <w:b w:val="0"/>
              </w:rPr>
              <w:t>+70</w:t>
            </w:r>
          </w:p>
        </w:tc>
      </w:tr>
      <w:tr>
        <w:tc>
          <w:tcPr>
            <w:tcW w:type="dxa" w:w="3888"/>
            <w:vAlign w:val="center"/>
            <w:shd w:fill="F2F6FA"/>
          </w:tcPr>
          <w:p>
            <w:r/>
            <w:r>
              <w:rPr>
                <w:b w:val="0"/>
              </w:rPr>
              <w:t>Net difference</w:t>
            </w:r>
          </w:p>
        </w:tc>
        <w:tc>
          <w:tcPr>
            <w:tcW w:type="dxa" w:w="1584"/>
            <w:vAlign w:val="center"/>
            <w:shd w:fill="F2F6FA"/>
          </w:tcPr>
          <w:p>
            <w:r/>
            <w:r>
              <w:rPr>
                <w:b w:val="0"/>
              </w:rPr>
              <w:t>3,584</w:t>
            </w:r>
          </w:p>
        </w:tc>
        <w:tc>
          <w:tcPr>
            <w:tcW w:type="dxa" w:w="1584"/>
            <w:vAlign w:val="center"/>
            <w:shd w:fill="F2F6FA"/>
          </w:tcPr>
          <w:p>
            <w:r/>
            <w:r>
              <w:rPr>
                <w:b w:val="0"/>
              </w:rPr>
              <w:t>3,426</w:t>
            </w:r>
          </w:p>
        </w:tc>
        <w:tc>
          <w:tcPr>
            <w:tcW w:type="dxa" w:w="1440"/>
            <w:vAlign w:val="center"/>
            <w:shd w:fill="F2F6FA"/>
          </w:tcPr>
          <w:p>
            <w:r/>
            <w:r>
              <w:rPr>
                <w:b w:val="0"/>
              </w:rPr>
              <w:t>+158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CE4D6"/>
          </w:tcPr>
          <w:p>
            <w:r>
              <w:rPr>
                <w:b/>
              </w:rPr>
              <w:t>A row-level list of “every effective row absent from REPORT 1–9” cannot be produced from this run because the report rows were not captured. Listing the 3,584 fallback rows as report extras would misstate their provenance.</w:t>
            </w:r>
          </w:p>
        </w:tc>
      </w:tr>
    </w:tbl>
    <w:p>
      <w:pPr>
        <w:spacing w:after="40"/>
      </w:pPr>
    </w:p>
    <w:p>
      <w:pPr>
        <w:pStyle w:val="Heading1"/>
      </w:pPr>
      <w:r>
        <w:t>3. Whether the 158 rows explain pending, stock, or Cocks Standard inflation</w:t>
      </w:r>
    </w:p>
    <w:p>
      <w:r>
        <w:t>The fallback roster was associated with the following validation values:</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17365D"/>
          </w:tcPr>
          <w:p>
            <w:r/>
            <w:r>
              <w:rPr>
                <w:b/>
                <w:color w:val="FFFFFF"/>
              </w:rPr>
              <w:t>Measure</w:t>
            </w:r>
          </w:p>
        </w:tc>
        <w:tc>
          <w:tcPr>
            <w:tcW w:type="dxa" w:w="2160"/>
            <w:vAlign w:val="center"/>
            <w:shd w:fill="17365D"/>
          </w:tcPr>
          <w:p>
            <w:r/>
            <w:r>
              <w:rPr>
                <w:b/>
                <w:color w:val="FFFFFF"/>
              </w:rPr>
              <w:t>Observed value</w:t>
            </w:r>
          </w:p>
        </w:tc>
        <w:tc>
          <w:tcPr>
            <w:tcW w:type="dxa" w:w="3168"/>
            <w:vAlign w:val="center"/>
            <w:shd w:fill="17365D"/>
          </w:tcPr>
          <w:p>
            <w:r/>
            <w:r>
              <w:rPr>
                <w:b/>
                <w:color w:val="FFFFFF"/>
              </w:rPr>
              <w:t>Interpretation</w:t>
            </w:r>
          </w:p>
        </w:tc>
      </w:tr>
      <w:tr>
        <w:tc>
          <w:tcPr>
            <w:tcW w:type="dxa" w:w="3888"/>
            <w:vAlign w:val="center"/>
            <w:shd w:fill="F2F6FA"/>
          </w:tcPr>
          <w:p>
            <w:r/>
            <w:r>
              <w:rPr>
                <w:b w:val="0"/>
              </w:rPr>
              <w:t>Last-month pending resolved</w:t>
            </w:r>
          </w:p>
        </w:tc>
        <w:tc>
          <w:tcPr>
            <w:tcW w:type="dxa" w:w="2160"/>
            <w:vAlign w:val="center"/>
            <w:shd w:fill="F2F6FA"/>
          </w:tcPr>
          <w:p>
            <w:r/>
            <w:r>
              <w:rPr>
                <w:b w:val="0"/>
              </w:rPr>
              <w:t>190,367</w:t>
            </w:r>
          </w:p>
        </w:tc>
        <w:tc>
          <w:tcPr>
            <w:tcW w:type="dxa" w:w="3168"/>
            <w:vAlign w:val="center"/>
            <w:shd w:fill="F2F6FA"/>
          </w:tcPr>
          <w:p>
            <w:r/>
            <w:r>
              <w:rPr>
                <w:b w:val="0"/>
              </w:rPr>
              <w:t>Fallback validation result</w:t>
            </w:r>
          </w:p>
        </w:tc>
      </w:tr>
      <w:tr>
        <w:tc>
          <w:tcPr>
            <w:tcW w:type="dxa" w:w="3888"/>
            <w:vAlign w:val="center"/>
          </w:tcPr>
          <w:p>
            <w:r/>
            <w:r>
              <w:rPr>
                <w:b w:val="0"/>
              </w:rPr>
              <w:t>Current pending resolved</w:t>
            </w:r>
          </w:p>
        </w:tc>
        <w:tc>
          <w:tcPr>
            <w:tcW w:type="dxa" w:w="2160"/>
            <w:vAlign w:val="center"/>
          </w:tcPr>
          <w:p>
            <w:r/>
            <w:r>
              <w:rPr>
                <w:b w:val="0"/>
              </w:rPr>
              <w:t>6,330</w:t>
            </w:r>
          </w:p>
        </w:tc>
        <w:tc>
          <w:tcPr>
            <w:tcW w:type="dxa" w:w="3168"/>
            <w:vAlign w:val="center"/>
          </w:tcPr>
          <w:p>
            <w:r/>
            <w:r>
              <w:rPr>
                <w:b w:val="0"/>
              </w:rPr>
              <w:t>Fallback validation result</w:t>
            </w:r>
          </w:p>
        </w:tc>
      </w:tr>
      <w:tr>
        <w:tc>
          <w:tcPr>
            <w:tcW w:type="dxa" w:w="3888"/>
            <w:vAlign w:val="center"/>
            <w:shd w:fill="F2F6FA"/>
          </w:tcPr>
          <w:p>
            <w:r/>
            <w:r>
              <w:rPr>
                <w:b w:val="0"/>
              </w:rPr>
              <w:t>Cocks Standard demand</w:t>
            </w:r>
          </w:p>
        </w:tc>
        <w:tc>
          <w:tcPr>
            <w:tcW w:type="dxa" w:w="2160"/>
            <w:vAlign w:val="center"/>
            <w:shd w:fill="F2F6FA"/>
          </w:tcPr>
          <w:p>
            <w:r/>
            <w:r>
              <w:rPr>
                <w:b w:val="0"/>
              </w:rPr>
              <w:t>610,528</w:t>
            </w:r>
          </w:p>
        </w:tc>
        <w:tc>
          <w:tcPr>
            <w:tcW w:type="dxa" w:w="3168"/>
            <w:vAlign w:val="center"/>
            <w:shd w:fill="F2F6FA"/>
          </w:tcPr>
          <w:p>
            <w:r/>
            <w:r>
              <w:rPr>
                <w:b w:val="0"/>
              </w:rPr>
              <w:t>Fallback validation result</w:t>
            </w:r>
          </w:p>
        </w:tc>
      </w:tr>
      <w:tr>
        <w:tc>
          <w:tcPr>
            <w:tcW w:type="dxa" w:w="3888"/>
            <w:vAlign w:val="center"/>
          </w:tcPr>
          <w:p>
            <w:r/>
            <w:r>
              <w:rPr>
                <w:b w:val="0"/>
              </w:rPr>
              <w:t>Grand max</w:t>
            </w:r>
          </w:p>
        </w:tc>
        <w:tc>
          <w:tcPr>
            <w:tcW w:type="dxa" w:w="2160"/>
            <w:vAlign w:val="center"/>
          </w:tcPr>
          <w:p>
            <w:r/>
            <w:r>
              <w:rPr>
                <w:b w:val="0"/>
              </w:rPr>
              <w:t>≈1,069,125</w:t>
            </w:r>
          </w:p>
        </w:tc>
        <w:tc>
          <w:tcPr>
            <w:tcW w:type="dxa" w:w="3168"/>
            <w:vAlign w:val="center"/>
          </w:tcPr>
          <w:p>
            <w:r/>
            <w:r>
              <w:rPr>
                <w:b w:val="0"/>
              </w:rPr>
              <w:t>Fallback validation result</w:t>
            </w:r>
          </w:p>
        </w:tc>
      </w:tr>
    </w:tbl>
    <w:p>
      <w:pPr>
        <w:spacing w:after="40"/>
      </w:pPr>
    </w:p>
    <w:p>
      <w:r>
        <w:t>These values show the inflation pattern, but they do not prove that a specific set of 158 REPORT-absent rows caused it. The missing authoritative report snapshot prevents row-level demand, stock, dummy, and category attribution.</w:t>
      </w:r>
    </w:p>
    <w:p>
      <w:pPr>
        <w:pStyle w:val="Heading1"/>
      </w:pPr>
      <w:r>
        <w:t>4. Entry paths and H4a / MRP admission</w:t>
      </w:r>
    </w:p>
    <w:p>
      <w:r>
        <w:t>The dominant fallback path is the rate list. The current runtime output does not expose a separate general “H4a” entry path. Its explicit MRP path is a narrow bridge, not a general admission mechanism.</w:t>
      </w:r>
    </w:p>
    <w:p>
      <w:pPr>
        <w:pStyle w:val="ListBullet"/>
      </w:pPr>
      <w:r>
        <w:t>Rate-list path: 3,237 rows.</w:t>
      </w:r>
    </w:p>
    <w:p>
      <w:pPr>
        <w:pStyle w:val="ListBullet"/>
      </w:pPr>
      <w:r>
        <w:t>Workbook/item-master path: 341 rows.</w:t>
      </w:r>
    </w:p>
    <w:p>
      <w:pPr>
        <w:pStyle w:val="ListBullet"/>
      </w:pPr>
      <w:r>
        <w:t>Explicit MRP bridge: 6 rows.</w:t>
      </w:r>
    </w:p>
    <w:p>
      <w:pPr>
        <w:pStyle w:val="ListBullet"/>
      </w:pPr>
      <w:r>
        <w:t>Catalogue-only path: 0 rows in the observed fallback result.</w:t>
      </w:r>
    </w:p>
    <w:p>
      <w:r>
        <w:t>The 70 Unclassified rows observed in the fallback result are rate-list-sourced in the current output. They should not be described as 70 rows absent from REPORT 1–9 because the authoritative report input itself was unavailable.</w:t>
      </w:r>
    </w:p>
    <w:p>
      <w:r>
        <w:t>The fallback roster also contained 14 duplicate exact code/colour identities, including 123-FH / IVORY, 124-FH / IVORY, 126-SQ / blank, 1375-SP / IVORY, several 146-* and 148-* variants, and 1861 / IVORY and WHITE. This is a separate duplicate-identity observation and is not equivalent to the +158 net difference.</w:t>
      </w:r>
    </w:p>
    <w:p>
      <w:pPr>
        <w:pStyle w:val="Heading1"/>
      </w:pPr>
      <w:r>
        <w:t>5. Roster history and cache behavior</w:t>
      </w:r>
    </w:p>
    <w:p>
      <w:r>
        <w:t>The effective roster constructor does not maintain a long-lived PTMT roster-content cache. Each call attempts the REPORT 1–9 read and, on failure, rebuilds the fallback roster.</w:t>
      </w:r>
    </w:p>
    <w:p>
      <w:r>
        <w:t>The sheet layer does have short-lived caches for workbook resolution:</w:t>
      </w:r>
    </w:p>
    <w:p>
      <w:pPr>
        <w:pStyle w:val="ListBullet"/>
      </w:pPr>
      <w:r>
        <w:t>Database workbook ID lookup: approximately 5 minutes.</w:t>
      </w:r>
    </w:p>
    <w:p>
      <w:pPr>
        <w:pStyle w:val="ListBullet"/>
      </w:pPr>
      <w:r>
        <w:t>Resolved workbook / Drive lookup: approximately 30 minutes.</w:t>
      </w:r>
    </w:p>
    <w:p>
      <w:pPr>
        <w:pStyle w:val="ListBullet"/>
      </w:pPr>
      <w:r>
        <w:t>Those caches select or resolve a workbook; they do not cache the constructed roster rows.</w:t>
      </w:r>
    </w:p>
    <w:p>
      <w:r>
        <w:t>Therefore, the 3,584 → 6,574 → 3,584 sequence cannot be explained simply as a warm-versus-cold effective-roster cache result. Plausible explanations include a different resolved workbook, changed upstream REPORT tabs, transient duplicated source data, or parser/source-selection differences. The 6,574-row identity snapshot was not persisted, so the available evidence cannot distinguish those explanations.</w:t>
      </w:r>
    </w:p>
    <w:p>
      <w:pPr>
        <w:pStyle w:val="Heading1"/>
      </w:pPr>
      <w:r>
        <w:t>6. Punctuation-variant check</w:t>
      </w:r>
    </w:p>
    <w:p>
      <w:r>
        <w:t>The prior validation payload retained only the aggregate strict-layer result: expected 1, observed 8. It did not persist the eight row-level raw-spelling pairs.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center"/>
            <w:shd w:fill="17365D"/>
          </w:tcPr>
          <w:p>
            <w:r/>
            <w:r>
              <w:rPr>
                <w:b/>
                <w:color w:val="FFFFFF"/>
              </w:rPr>
              <w:t>Check</w:t>
            </w:r>
          </w:p>
        </w:tc>
        <w:tc>
          <w:tcPr>
            <w:tcW w:type="dxa" w:w="2160"/>
            <w:vAlign w:val="center"/>
            <w:shd w:fill="17365D"/>
          </w:tcPr>
          <w:p>
            <w:r/>
            <w:r>
              <w:rPr>
                <w:b/>
                <w:color w:val="FFFFFF"/>
              </w:rPr>
              <w:t>Prior saved validation</w:t>
            </w:r>
          </w:p>
        </w:tc>
        <w:tc>
          <w:tcPr>
            <w:tcW w:type="dxa" w:w="2880"/>
            <w:vAlign w:val="center"/>
            <w:shd w:fill="17365D"/>
          </w:tcPr>
          <w:p>
            <w:r/>
            <w:r>
              <w:rPr>
                <w:b/>
                <w:color w:val="FFFFFF"/>
              </w:rPr>
              <w:t>Current read-only recheck</w:t>
            </w:r>
          </w:p>
        </w:tc>
      </w:tr>
      <w:tr>
        <w:tc>
          <w:tcPr>
            <w:tcW w:type="dxa" w:w="4032"/>
            <w:vAlign w:val="center"/>
            <w:shd w:fill="F2F6FA"/>
          </w:tcPr>
          <w:p>
            <w:r/>
            <w:r>
              <w:rPr>
                <w:b w:val="0"/>
              </w:rPr>
              <w:t>Strict punctuation-variant misses</w:t>
            </w:r>
          </w:p>
        </w:tc>
        <w:tc>
          <w:tcPr>
            <w:tcW w:type="dxa" w:w="2160"/>
            <w:vAlign w:val="center"/>
            <w:shd w:fill="F2F6FA"/>
          </w:tcPr>
          <w:p>
            <w:r/>
            <w:r>
              <w:rPr>
                <w:b w:val="0"/>
              </w:rPr>
              <w:t>8</w:t>
            </w:r>
          </w:p>
        </w:tc>
        <w:tc>
          <w:tcPr>
            <w:tcW w:type="dxa" w:w="2880"/>
            <w:vAlign w:val="center"/>
            <w:shd w:fill="F2F6FA"/>
          </w:tcPr>
          <w:p>
            <w:r/>
            <w:r>
              <w:rPr>
                <w:b w:val="0"/>
              </w:rPr>
              <w:t>0</w:t>
            </w:r>
          </w:p>
        </w:tc>
      </w:tr>
      <w:tr>
        <w:tc>
          <w:tcPr>
            <w:tcW w:type="dxa" w:w="4032"/>
            <w:vAlign w:val="center"/>
          </w:tcPr>
          <w:p>
            <w:r/>
            <w:r>
              <w:rPr>
                <w:b w:val="0"/>
              </w:rPr>
              <w:t>Row-level raw spellings retained</w:t>
            </w:r>
          </w:p>
        </w:tc>
        <w:tc>
          <w:tcPr>
            <w:tcW w:type="dxa" w:w="2160"/>
            <w:vAlign w:val="center"/>
          </w:tcPr>
          <w:p>
            <w:r/>
            <w:r>
              <w:rPr>
                <w:b w:val="0"/>
              </w:rPr>
              <w:t>No</w:t>
            </w:r>
          </w:p>
        </w:tc>
        <w:tc>
          <w:tcPr>
            <w:tcW w:type="dxa" w:w="2880"/>
            <w:vAlign w:val="center"/>
          </w:tcPr>
          <w:p>
            <w:r/>
            <w:r>
              <w:rPr>
                <w:b w:val="0"/>
              </w:rPr>
              <w:t>Not recoverable from prior payload</w:t>
            </w:r>
          </w:p>
        </w:tc>
      </w:tr>
    </w:tbl>
    <w:p>
      <w:pPr>
        <w:spacing w:after="40"/>
      </w:pPr>
    </w:p>
    <w:p>
      <w:r>
        <w:t>The eight prior misses are therefore not reproducible from the current snapshot. Their raw spellings, quantities, product identities, and overlap with the supposed 158 rows cannot be recovered reliably from the saved validation result.</w:t>
      </w:r>
    </w:p>
    <w:p>
      <w:pPr>
        <w:pStyle w:val="Heading1"/>
      </w:pPr>
      <w:r>
        <w:t>7. Detailed traces requested for 121-O / WHITE and 144-O / WHITE</w:t>
      </w:r>
    </w:p>
    <w:p>
      <w:pPr>
        <w:pStyle w:val="Heading2"/>
      </w:pPr>
      <w:r>
        <w:t>121-O / WHITE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365D"/>
          </w:tcPr>
          <w:p>
            <w:r/>
            <w:r>
              <w:rPr>
                <w:b/>
                <w:color w:val="FFFFFF"/>
              </w:rPr>
              <w:t>Raw code</w:t>
            </w:r>
          </w:p>
        </w:tc>
        <w:tc>
          <w:tcPr>
            <w:tcW w:type="dxa" w:w="2160"/>
            <w:vAlign w:val="center"/>
            <w:shd w:fill="17365D"/>
          </w:tcPr>
          <w:p>
            <w:r/>
            <w:r>
              <w:rPr>
                <w:b/>
                <w:color w:val="FFFFFF"/>
              </w:rPr>
              <w:t>Colour</w:t>
            </w:r>
          </w:p>
        </w:tc>
        <w:tc>
          <w:tcPr>
            <w:tcW w:type="dxa" w:w="2880"/>
            <w:vAlign w:val="center"/>
            <w:shd w:fill="17365D"/>
          </w:tcPr>
          <w:p>
            <w:r/>
            <w:r>
              <w:rPr>
                <w:b/>
                <w:color w:val="FFFFFF"/>
              </w:rPr>
              <w:t>September FG stock</w:t>
            </w:r>
          </w:p>
        </w:tc>
      </w:tr>
      <w:tr>
        <w:tc>
          <w:tcPr>
            <w:tcW w:type="dxa" w:w="2880"/>
            <w:vAlign w:val="center"/>
            <w:shd w:fill="F2F6FA"/>
          </w:tcPr>
          <w:p>
            <w:r/>
            <w:r>
              <w:rPr>
                <w:b w:val="0"/>
              </w:rPr>
              <w:t>121-O</w:t>
            </w:r>
          </w:p>
        </w:tc>
        <w:tc>
          <w:tcPr>
            <w:tcW w:type="dxa" w:w="2160"/>
            <w:vAlign w:val="center"/>
            <w:shd w:fill="F2F6FA"/>
          </w:tcPr>
          <w:p>
            <w:r/>
            <w:r>
              <w:rPr>
                <w:b w:val="0"/>
              </w:rPr>
              <w:t>WHITE</w:t>
            </w:r>
          </w:p>
        </w:tc>
        <w:tc>
          <w:tcPr>
            <w:tcW w:type="dxa" w:w="2880"/>
            <w:vAlign w:val="center"/>
            <w:shd w:fill="F2F6FA"/>
          </w:tcPr>
          <w:p>
            <w:r/>
            <w:r>
              <w:rPr>
                <w:b w:val="0"/>
              </w:rPr>
              <w:t>9,030</w:t>
            </w:r>
          </w:p>
        </w:tc>
      </w:tr>
      <w:tr>
        <w:tc>
          <w:tcPr>
            <w:tcW w:type="dxa" w:w="2880"/>
            <w:vAlign w:val="center"/>
          </w:tcPr>
          <w:p>
            <w:r/>
            <w:r>
              <w:rPr>
                <w:b w:val="0"/>
              </w:rPr>
              <w:t>121-O</w:t>
            </w:r>
          </w:p>
        </w:tc>
        <w:tc>
          <w:tcPr>
            <w:tcW w:type="dxa" w:w="2160"/>
            <w:vAlign w:val="center"/>
          </w:tcPr>
          <w:p>
            <w:r/>
            <w:r>
              <w:rPr>
                <w:b w:val="0"/>
              </w:rPr>
              <w:t>PINK</w:t>
            </w:r>
          </w:p>
        </w:tc>
        <w:tc>
          <w:tcPr>
            <w:tcW w:type="dxa" w:w="2880"/>
            <w:vAlign w:val="center"/>
          </w:tcPr>
          <w:p>
            <w:r/>
            <w:r>
              <w:rPr>
                <w:b w:val="0"/>
              </w:rPr>
              <w:t>0</w:t>
            </w:r>
          </w:p>
        </w:tc>
      </w:tr>
      <w:tr>
        <w:tc>
          <w:tcPr>
            <w:tcW w:type="dxa" w:w="2880"/>
            <w:vAlign w:val="center"/>
            <w:shd w:fill="F2F6FA"/>
          </w:tcPr>
          <w:p>
            <w:r/>
            <w:r>
              <w:rPr>
                <w:b w:val="0"/>
              </w:rPr>
              <w:t>121-O</w:t>
            </w:r>
          </w:p>
        </w:tc>
        <w:tc>
          <w:tcPr>
            <w:tcW w:type="dxa" w:w="2160"/>
            <w:vAlign w:val="center"/>
            <w:shd w:fill="F2F6FA"/>
          </w:tcPr>
          <w:p>
            <w:r/>
            <w:r>
              <w:rPr>
                <w:b w:val="0"/>
              </w:rPr>
              <w:t>GREEN</w:t>
            </w:r>
          </w:p>
        </w:tc>
        <w:tc>
          <w:tcPr>
            <w:tcW w:type="dxa" w:w="2880"/>
            <w:vAlign w:val="center"/>
            <w:shd w:fill="F2F6FA"/>
          </w:tcPr>
          <w:p>
            <w:r/>
            <w:r>
              <w:rPr>
                <w:b w:val="0"/>
              </w:rPr>
              <w:t>566</w:t>
            </w:r>
          </w:p>
        </w:tc>
      </w:tr>
      <w:tr>
        <w:tc>
          <w:tcPr>
            <w:tcW w:type="dxa" w:w="2880"/>
            <w:vAlign w:val="center"/>
          </w:tcPr>
          <w:p>
            <w:r/>
            <w:r>
              <w:rPr>
                <w:b w:val="0"/>
              </w:rPr>
              <w:t>121-O</w:t>
            </w:r>
          </w:p>
        </w:tc>
        <w:tc>
          <w:tcPr>
            <w:tcW w:type="dxa" w:w="2160"/>
            <w:vAlign w:val="center"/>
          </w:tcPr>
          <w:p>
            <w:r/>
            <w:r>
              <w:rPr>
                <w:b w:val="0"/>
              </w:rPr>
              <w:t>BLUE</w:t>
            </w:r>
          </w:p>
        </w:tc>
        <w:tc>
          <w:tcPr>
            <w:tcW w:type="dxa" w:w="2880"/>
            <w:vAlign w:val="center"/>
          </w:tcPr>
          <w:p>
            <w:r/>
            <w:r>
              <w:rPr>
                <w:b w:val="0"/>
              </w:rPr>
              <w:t>48</w:t>
            </w:r>
          </w:p>
        </w:tc>
      </w:tr>
      <w:tr>
        <w:tc>
          <w:tcPr>
            <w:tcW w:type="dxa" w:w="2880"/>
            <w:vAlign w:val="center"/>
            <w:shd w:fill="F2F6FA"/>
          </w:tcPr>
          <w:p>
            <w:r/>
            <w:r>
              <w:rPr>
                <w:b w:val="0"/>
              </w:rPr>
              <w:t>121-O</w:t>
            </w:r>
          </w:p>
        </w:tc>
        <w:tc>
          <w:tcPr>
            <w:tcW w:type="dxa" w:w="2160"/>
            <w:vAlign w:val="center"/>
            <w:shd w:fill="F2F6FA"/>
          </w:tcPr>
          <w:p>
            <w:r/>
            <w:r>
              <w:rPr>
                <w:b w:val="0"/>
              </w:rPr>
              <w:t>IVORY</w:t>
            </w:r>
          </w:p>
        </w:tc>
        <w:tc>
          <w:tcPr>
            <w:tcW w:type="dxa" w:w="2880"/>
            <w:vAlign w:val="center"/>
            <w:shd w:fill="F2F6FA"/>
          </w:tcPr>
          <w:p>
            <w:r/>
            <w:r>
              <w:rPr>
                <w:b w:val="0"/>
              </w:rPr>
              <w:t>0</w:t>
            </w:r>
          </w:p>
        </w:tc>
      </w:tr>
    </w:tbl>
    <w:p>
      <w:pPr>
        <w:spacing w:after="40"/>
      </w:pPr>
    </w:p>
    <w:p>
      <w:r>
        <w:t>The current evidence traces 9,030 directly to the raw September FG Stock upload row for 121-O / WHITE. No second raw 121-O spelling was identified in the available fallback roster evidence. The value is not shown to have been created by cross-colour aggregation.</w:t>
      </w:r>
    </w:p>
    <w:p>
      <w:pPr>
        <w:pStyle w:val="Heading2"/>
      </w:pPr>
      <w:r>
        <w:t>144-O / WHITE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365D"/>
          </w:tcPr>
          <w:p>
            <w:r/>
            <w:r>
              <w:rPr>
                <w:b/>
                <w:color w:val="FFFFFF"/>
              </w:rPr>
              <w:t>Raw code</w:t>
            </w:r>
          </w:p>
        </w:tc>
        <w:tc>
          <w:tcPr>
            <w:tcW w:type="dxa" w:w="2160"/>
            <w:vAlign w:val="center"/>
            <w:shd w:fill="17365D"/>
          </w:tcPr>
          <w:p>
            <w:r/>
            <w:r>
              <w:rPr>
                <w:b/>
                <w:color w:val="FFFFFF"/>
              </w:rPr>
              <w:t>Colour</w:t>
            </w:r>
          </w:p>
        </w:tc>
        <w:tc>
          <w:tcPr>
            <w:tcW w:type="dxa" w:w="2880"/>
            <w:vAlign w:val="center"/>
            <w:shd w:fill="17365D"/>
          </w:tcPr>
          <w:p>
            <w:r/>
            <w:r>
              <w:rPr>
                <w:b/>
                <w:color w:val="FFFFFF"/>
              </w:rPr>
              <w:t>September FG stock</w:t>
            </w:r>
          </w:p>
        </w:tc>
      </w:tr>
      <w:tr>
        <w:tc>
          <w:tcPr>
            <w:tcW w:type="dxa" w:w="2880"/>
            <w:vAlign w:val="center"/>
            <w:shd w:fill="F2F6FA"/>
          </w:tcPr>
          <w:p>
            <w:r/>
            <w:r>
              <w:rPr>
                <w:b w:val="0"/>
              </w:rPr>
              <w:t>144-O</w:t>
            </w:r>
          </w:p>
        </w:tc>
        <w:tc>
          <w:tcPr>
            <w:tcW w:type="dxa" w:w="2160"/>
            <w:vAlign w:val="center"/>
            <w:shd w:fill="F2F6FA"/>
          </w:tcPr>
          <w:p>
            <w:r/>
            <w:r>
              <w:rPr>
                <w:b w:val="0"/>
              </w:rPr>
              <w:t>WHITE</w:t>
            </w:r>
          </w:p>
        </w:tc>
        <w:tc>
          <w:tcPr>
            <w:tcW w:type="dxa" w:w="2880"/>
            <w:vAlign w:val="center"/>
            <w:shd w:fill="F2F6FA"/>
          </w:tcPr>
          <w:p>
            <w:r/>
            <w:r>
              <w:rPr>
                <w:b w:val="0"/>
              </w:rPr>
              <w:t>3,712</w:t>
            </w:r>
          </w:p>
        </w:tc>
      </w:tr>
      <w:tr>
        <w:tc>
          <w:tcPr>
            <w:tcW w:type="dxa" w:w="2880"/>
            <w:vAlign w:val="center"/>
          </w:tcPr>
          <w:p>
            <w:r/>
            <w:r>
              <w:rPr>
                <w:b w:val="0"/>
              </w:rPr>
              <w:t>144-O</w:t>
            </w:r>
          </w:p>
        </w:tc>
        <w:tc>
          <w:tcPr>
            <w:tcW w:type="dxa" w:w="2160"/>
            <w:vAlign w:val="center"/>
          </w:tcPr>
          <w:p>
            <w:r/>
            <w:r>
              <w:rPr>
                <w:b w:val="0"/>
              </w:rPr>
              <w:t>IVORY</w:t>
            </w:r>
          </w:p>
        </w:tc>
        <w:tc>
          <w:tcPr>
            <w:tcW w:type="dxa" w:w="2880"/>
            <w:vAlign w:val="center"/>
          </w:tcPr>
          <w:p>
            <w:r/>
            <w:r>
              <w:rPr>
                <w:b w:val="0"/>
              </w:rPr>
              <w:t>1,931</w:t>
            </w:r>
          </w:p>
        </w:tc>
      </w:tr>
    </w:tbl>
    <w:p>
      <w:pPr>
        <w:spacing w:after="40"/>
      </w:pPr>
    </w:p>
    <w:p>
      <w:r>
        <w:t>The validation reported the 3-month average for 144-O / WHITE as 5,689 versus an expected 5,222. The saved evidence does not retain the underlying rolling-sales rows needed to decompose the 5,689 figure. The current data therefore does not prove that the 144-O average discrepancy has the same cause as the 121-O stock value.</w:t>
      </w:r>
    </w:p>
    <w:p>
      <w:pPr>
        <w:pStyle w:val="Heading1"/>
      </w:pPr>
      <w:r>
        <w:t>8. Seven multiplier failures</w:t>
      </w:r>
    </w:p>
    <w:p>
      <w:r>
        <w:t>The current source does not confirm that seven deliberately removed seed overrides are merely stale checks.</w:t>
      </w:r>
    </w:p>
    <w:p>
      <w:r>
        <w:t>The locked PTMT golden list contains nine categories. The current seed configuration explicitly sets overrides only for:</w:t>
      </w:r>
    </w:p>
    <w:p>
      <w:pPr>
        <w:pStyle w:val="ListBullet"/>
      </w:pPr>
      <w:r>
        <w:t>P.V.C. Connections: 1.5</w:t>
      </w:r>
    </w:p>
    <w:p>
      <w:pPr>
        <w:pStyle w:val="ListBullet"/>
      </w:pPr>
      <w:r>
        <w:t>Waste Pipes: 1.5</w:t>
      </w:r>
    </w:p>
    <w:p>
      <w:r>
        <w:t>The seven other categories fail the override-presence checks because the current source does not seed those overrides. The validation checks both the stored override and the applied multiplier. No override was restored, removed, or changed during this investigation.</w:t>
      </w:r>
    </w:p>
    <w:p>
      <w:pPr>
        <w:pStyle w:val="Heading1"/>
      </w:pPr>
      <w:r>
        <w:t>9. Final disposition</w:t>
      </w:r>
    </w:p>
    <w:tbl>
      <w:tblPr>
        <w:tblStyle w:val="TableGrid"/>
        <w:tblW w:type="auto" w:w="0"/>
        <w:tblLook w:firstColumn="1" w:firstRow="1" w:lastColumn="0" w:lastRow="0" w:noHBand="0" w:noVBand="1" w:val="04A0"/>
      </w:tblPr>
      <w:tblGrid>
        <w:gridCol w:w="10080"/>
      </w:tblGrid>
      <w:tr>
        <w:tc>
          <w:tcPr>
            <w:tcW w:type="dxa" w:w="10080"/>
            <w:shd w:fill="D9EAD3"/>
          </w:tcPr>
          <w:p>
            <w:r>
              <w:rPr>
                <w:b/>
              </w:rPr>
              <w:t>Do not re-baseline PTMT from the current 3,584-row fallback roster. First obtain a successful REPORT 1–9 read and persist the authoritative row-level snapshot.</w:t>
            </w:r>
          </w:p>
        </w:tc>
      </w:tr>
    </w:tbl>
    <w:p>
      <w:pPr>
        <w:spacing w:after="4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rPr>
              <w:t>Action</w:t>
            </w:r>
          </w:p>
        </w:tc>
        <w:tc>
          <w:tcPr>
            <w:tcW w:type="dxa" w:w="3600"/>
            <w:vAlign w:val="center"/>
            <w:shd w:fill="17365D"/>
          </w:tcPr>
          <w:p>
            <w:r/>
            <w:r>
              <w:rPr>
                <w:b/>
                <w:color w:val="FFFFFF"/>
              </w:rPr>
              <w:t>Status</w:t>
            </w:r>
          </w:p>
        </w:tc>
      </w:tr>
      <w:tr>
        <w:tc>
          <w:tcPr>
            <w:tcW w:type="dxa" w:w="5040"/>
            <w:vAlign w:val="center"/>
            <w:shd w:fill="F2F6FA"/>
          </w:tcPr>
          <w:p>
            <w:r/>
            <w:r>
              <w:rPr>
                <w:b w:val="0"/>
              </w:rPr>
              <w:t>Plan creation or modification</w:t>
            </w:r>
          </w:p>
        </w:tc>
        <w:tc>
          <w:tcPr>
            <w:tcW w:type="dxa" w:w="3600"/>
            <w:vAlign w:val="center"/>
            <w:shd w:fill="F2F6FA"/>
          </w:tcPr>
          <w:p>
            <w:r/>
            <w:r>
              <w:rPr>
                <w:b w:val="0"/>
              </w:rPr>
              <w:t>Not performed</w:t>
            </w:r>
          </w:p>
        </w:tc>
      </w:tr>
      <w:tr>
        <w:tc>
          <w:tcPr>
            <w:tcW w:type="dxa" w:w="5040"/>
            <w:vAlign w:val="center"/>
          </w:tcPr>
          <w:p>
            <w:r/>
            <w:r>
              <w:rPr>
                <w:b w:val="0"/>
              </w:rPr>
              <w:t>Capacity fit</w:t>
            </w:r>
          </w:p>
        </w:tc>
        <w:tc>
          <w:tcPr>
            <w:tcW w:type="dxa" w:w="3600"/>
            <w:vAlign w:val="center"/>
          </w:tcPr>
          <w:p>
            <w:r/>
            <w:r>
              <w:rPr>
                <w:b w:val="0"/>
              </w:rPr>
              <w:t>Not performed</w:t>
            </w:r>
          </w:p>
        </w:tc>
      </w:tr>
      <w:tr>
        <w:tc>
          <w:tcPr>
            <w:tcW w:type="dxa" w:w="5040"/>
            <w:vAlign w:val="center"/>
            <w:shd w:fill="F2F6FA"/>
          </w:tcPr>
          <w:p>
            <w:r/>
            <w:r>
              <w:rPr>
                <w:b w:val="0"/>
              </w:rPr>
              <w:t>Finalization</w:t>
            </w:r>
          </w:p>
        </w:tc>
        <w:tc>
          <w:tcPr>
            <w:tcW w:type="dxa" w:w="3600"/>
            <w:vAlign w:val="center"/>
            <w:shd w:fill="F2F6FA"/>
          </w:tcPr>
          <w:p>
            <w:r/>
            <w:r>
              <w:rPr>
                <w:b w:val="0"/>
              </w:rPr>
              <w:t>Not performed</w:t>
            </w:r>
          </w:p>
        </w:tc>
      </w:tr>
      <w:tr>
        <w:tc>
          <w:tcPr>
            <w:tcW w:type="dxa" w:w="5040"/>
            <w:vAlign w:val="center"/>
          </w:tcPr>
          <w:p>
            <w:r/>
            <w:r>
              <w:rPr>
                <w:b w:val="0"/>
              </w:rPr>
              <w:t>Publication or deployment</w:t>
            </w:r>
          </w:p>
        </w:tc>
        <w:tc>
          <w:tcPr>
            <w:tcW w:type="dxa" w:w="3600"/>
            <w:vAlign w:val="center"/>
          </w:tcPr>
          <w:p>
            <w:r/>
            <w:r>
              <w:rPr>
                <w:b w:val="0"/>
              </w:rPr>
              <w:t>Not performed</w:t>
            </w:r>
          </w:p>
        </w:tc>
      </w:tr>
      <w:tr>
        <w:tc>
          <w:tcPr>
            <w:tcW w:type="dxa" w:w="5040"/>
            <w:vAlign w:val="center"/>
            <w:shd w:fill="F2F6FA"/>
          </w:tcPr>
          <w:p>
            <w:r/>
            <w:r>
              <w:rPr>
                <w:b w:val="0"/>
              </w:rPr>
              <w:t>PTMT re-baseline</w:t>
            </w:r>
          </w:p>
        </w:tc>
        <w:tc>
          <w:tcPr>
            <w:tcW w:type="dxa" w:w="3600"/>
            <w:vAlign w:val="center"/>
            <w:shd w:fill="F2F6FA"/>
          </w:tcPr>
          <w:p>
            <w:r/>
            <w:r>
              <w:rPr>
                <w:b w:val="0"/>
              </w:rPr>
              <w:t>Not performed</w:t>
            </w:r>
          </w:p>
        </w:tc>
      </w:tr>
      <w:tr>
        <w:tc>
          <w:tcPr>
            <w:tcW w:type="dxa" w:w="5040"/>
            <w:vAlign w:val="center"/>
          </w:tcPr>
          <w:p>
            <w:r/>
            <w:r>
              <w:rPr>
                <w:b w:val="0"/>
              </w:rPr>
              <w:t>Reviewed policy changes</w:t>
            </w:r>
          </w:p>
        </w:tc>
        <w:tc>
          <w:tcPr>
            <w:tcW w:type="dxa" w:w="3600"/>
            <w:vAlign w:val="center"/>
          </w:tcPr>
          <w:p>
            <w:r/>
            <w:r>
              <w:rPr>
                <w:b w:val="0"/>
              </w:rPr>
              <w:t>Not performed</w:t>
            </w:r>
          </w:p>
        </w:tc>
      </w:tr>
      <w:tr>
        <w:tc>
          <w:tcPr>
            <w:tcW w:type="dxa" w:w="5040"/>
            <w:vAlign w:val="center"/>
            <w:shd w:fill="F2F6FA"/>
          </w:tcPr>
          <w:p>
            <w:r/>
            <w:r>
              <w:rPr>
                <w:b w:val="0"/>
              </w:rPr>
              <w:t>Protected runs #28, #30, #32</w:t>
            </w:r>
          </w:p>
        </w:tc>
        <w:tc>
          <w:tcPr>
            <w:tcW w:type="dxa" w:w="3600"/>
            <w:vAlign w:val="center"/>
            <w:shd w:fill="F2F6FA"/>
          </w:tcPr>
          <w:p>
            <w:r/>
            <w:r>
              <w:rPr>
                <w:b w:val="0"/>
              </w:rPr>
              <w:t>Untouched</w:t>
            </w:r>
          </w:p>
        </w:tc>
      </w:tr>
    </w:tbl>
    <w:p>
      <w:pPr>
        <w:spacing w:after="40"/>
      </w:pPr>
    </w:p>
    <w:p/>
    <w:p>
      <w:r>
        <w:rPr>
          <w:b/>
        </w:rPr>
        <w:t xml:space="preserve">Evidence boundary: </w:t>
      </w:r>
      <w:r>
        <w:t>This report records observed source status and read-only calculations. It does not approve a roster, restore multiplier overrides, classify the 158 rows, or authorize a plan run.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Read-only evidence report — no plan or policy changes made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PTMT • September 2026 • Read-only forensic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2026 PTMT Roster Forensic Read-Only Report</dc:title>
  <dc:subject>REPORT 1-9 fallback and 158-row variance investigation</dc:subject>
  <dc:creator>Replit Agent</dc:creator>
  <cp:keywords>PTMT, September 2026, REPORT 1-9, roster, read-only, forensic</cp:keywords>
  <dc:description>generated by python-docx</dc:description>
  <cp:lastModifiedBy/>
  <cp:revision>1</cp:revision>
  <dcterms:created xsi:type="dcterms:W3CDTF">2013-12-23T23:15:00Z</dcterms:created>
  <dcterms:modified xsi:type="dcterms:W3CDTF">2013-12-23T23:15:00Z</dcterms:modified>
  <cp:category/>
</cp:coreProperties>
</file>