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September 2026</w:t>
        <w:br/>
        <w:t>Roster and Unclassified Findings</w:t>
      </w:r>
    </w:p>
    <w:p>
      <w:pPr>
        <w:jc w:val="center"/>
      </w:pPr>
      <w:r>
        <w:rPr>
          <w:i/>
          <w:color w:val="595959"/>
          <w:sz w:val="22"/>
        </w:rPr>
        <w:t>Read-only investigation · PR.1–PR.3</w:t>
      </w:r>
    </w:p>
    <w:p>
      <w:pPr>
        <w:jc w:val="center"/>
      </w:pPr>
      <w:r>
        <w:rPr>
          <w:color w:val="595959"/>
          <w:sz w:val="18"/>
        </w:rPr>
        <w:t>Prepared 9 September 2026</w:t>
      </w:r>
    </w:p>
    <w:p>
      <w:r>
        <w:t>This document records the read-only findings for the Plumbing Unclassified populations, Plumbing roster reconciliation, and PTMT roster variance. No plan was modified, fitted, finalized, published, deployed, or re-baselined during this investigation.</w:t>
      </w:r>
    </w:p>
    <w:p>
      <w:pPr>
        <w:pStyle w:val="Heading1"/>
      </w:pPr>
      <w:r>
        <w:t>Executive summary</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
              <w:rPr>
                <w:b/>
                <w:color w:val="FFFFFF"/>
              </w:rPr>
              <w:t>Area</w:t>
            </w:r>
          </w:p>
        </w:tc>
        <w:tc>
          <w:tcPr>
            <w:tcW w:type="dxa" w:w="6912"/>
            <w:vAlign w:val="center"/>
            <w:shd w:fill="1F4E79"/>
          </w:tcPr>
          <w:p>
            <w:r/>
            <w:r>
              <w:rPr>
                <w:b/>
                <w:color w:val="FFFFFF"/>
              </w:rPr>
              <w:t>Finding</w:t>
            </w:r>
          </w:p>
        </w:tc>
      </w:tr>
      <w:tr>
        <w:tc>
          <w:tcPr>
            <w:tcW w:type="dxa" w:w="2880"/>
            <w:vAlign w:val="center"/>
            <w:shd w:fill="EAF2F8"/>
          </w:tcPr>
          <w:p>
            <w:r/>
            <w:r>
              <w:rPr>
                <w:b w:val="0"/>
              </w:rPr>
              <w:t>Plumbing Unclassified populations</w:t>
            </w:r>
          </w:p>
        </w:tc>
        <w:tc>
          <w:tcPr>
            <w:tcW w:type="dxa" w:w="6912"/>
            <w:vAlign w:val="center"/>
            <w:shd w:fill="EAF2F8"/>
          </w:tcPr>
          <w:p>
            <w:r/>
            <w:r>
              <w:rPr>
                <w:b w:val="0"/>
              </w:rPr>
              <w:t>The 33,386-piece frozen current-pending quantity and the 8,444-piece live validation quantity describe different snapshots and different stages of the calculation.</w:t>
            </w:r>
          </w:p>
        </w:tc>
      </w:tr>
      <w:tr>
        <w:tc>
          <w:tcPr>
            <w:tcW w:type="dxa" w:w="2880"/>
            <w:vAlign w:val="center"/>
          </w:tcPr>
          <w:p>
            <w:r/>
            <w:r>
              <w:rPr>
                <w:b w:val="0"/>
              </w:rPr>
              <w:t>Frozen run #2574</w:t>
            </w:r>
          </w:p>
        </w:tc>
        <w:tc>
          <w:tcPr>
            <w:tcW w:type="dxa" w:w="6912"/>
            <w:vAlign w:val="center"/>
          </w:tcPr>
          <w:p>
            <w:r/>
            <w:r>
              <w:rPr>
                <w:b w:val="0"/>
              </w:rPr>
              <w:t>248 Unclassified codes; 40,977 demand before stock; 136,446 joined stock; 30,569 frozen Unclassified production.</w:t>
            </w:r>
          </w:p>
        </w:tc>
      </w:tr>
      <w:tr>
        <w:tc>
          <w:tcPr>
            <w:tcW w:type="dxa" w:w="2880"/>
            <w:vAlign w:val="center"/>
            <w:shd w:fill="EAF2F8"/>
          </w:tcPr>
          <w:p>
            <w:r/>
            <w:r>
              <w:rPr>
                <w:b w:val="0"/>
              </w:rPr>
              <w:t>Plumbing roster count</w:t>
            </w:r>
          </w:p>
        </w:tc>
        <w:tc>
          <w:tcPr>
            <w:tcW w:type="dxa" w:w="6912"/>
            <w:vAlign w:val="center"/>
            <w:shd w:fill="EAF2F8"/>
          </w:tcPr>
          <w:p>
            <w:r/>
            <w:r>
              <w:rPr>
                <w:b w:val="0"/>
              </w:rPr>
              <w:t>1,387 rows = 1,139 parsed material rows + 248 Unclassified rows. Three HDPE rows are non-product header/summary artifacts.</w:t>
            </w:r>
          </w:p>
        </w:tc>
      </w:tr>
      <w:tr>
        <w:tc>
          <w:tcPr>
            <w:tcW w:type="dxa" w:w="2880"/>
            <w:vAlign w:val="center"/>
          </w:tcPr>
          <w:p>
            <w:r/>
            <w:r>
              <w:rPr>
                <w:b w:val="0"/>
              </w:rPr>
              <w:t>PTMT roster variance</w:t>
            </w:r>
          </w:p>
        </w:tc>
        <w:tc>
          <w:tcPr>
            <w:tcW w:type="dxa" w:w="6912"/>
            <w:vAlign w:val="center"/>
          </w:tcPr>
          <w:p>
            <w:r/>
            <w:r>
              <w:rPr>
                <w:b w:val="0"/>
              </w:rPr>
              <w:t>The current live REPORT 1–9 read has 3,584 rows versus a 3,426-row reference snapshot. The exact 158-row identity list cannot be proven without the missing reference snapshot.</w:t>
            </w:r>
          </w:p>
        </w:tc>
      </w:tr>
      <w:tr>
        <w:tc>
          <w:tcPr>
            <w:tcW w:type="dxa" w:w="2880"/>
            <w:vAlign w:val="center"/>
            <w:shd w:fill="EAF2F8"/>
          </w:tcPr>
          <w:p>
            <w:r/>
            <w:r>
              <w:rPr>
                <w:b w:val="0"/>
              </w:rPr>
              <w:t>PTMT decision</w:t>
            </w:r>
          </w:p>
        </w:tc>
        <w:tc>
          <w:tcPr>
            <w:tcW w:type="dxa" w:w="6912"/>
            <w:vAlign w:val="center"/>
            <w:shd w:fill="EAF2F8"/>
          </w:tcPr>
          <w:p>
            <w:r/>
            <w:r>
              <w:rPr>
                <w:b w:val="0"/>
              </w:rPr>
              <w:t>Do not re-baseline PTMT until the 158-row difference is reconciled at code + colour + category + demand grain.</w:t>
            </w:r>
          </w:p>
        </w:tc>
      </w:tr>
    </w:tbl>
    <w:p/>
    <w:p>
      <w:pPr>
        <w:pStyle w:val="Heading1"/>
      </w:pPr>
      <w:r>
        <w:t>PR.1 — Plumbing Unclassified populations</w:t>
      </w:r>
    </w:p>
    <w:p>
      <w:pPr>
        <w:pStyle w:val="Heading2"/>
      </w:pPr>
      <w:r>
        <w:t>Frozen run #2574 composition</w:t>
      </w:r>
    </w:p>
    <w:p>
      <w:r>
        <w:t>The frozen run contains 248 distinct Unclassified codes. The current-pending quantity is the sum of the rows carrying current pending, while the dummy/last-month quantity is the sum of the last-month pending field.</w:t>
      </w:r>
    </w:p>
    <w:tbl>
      <w:tblPr>
        <w:tblStyle w:val="TableGrid"/>
        <w:tblW w:type="auto" w:w="0"/>
        <w:jc w:val="center"/>
        <w:tblLook w:firstColumn="1" w:firstRow="1" w:lastColumn="0" w:lastRow="0" w:noHBand="0" w:noVBand="1" w:val="04A0"/>
      </w:tblPr>
      <w:tblGrid>
        <w:gridCol w:w="3408"/>
        <w:gridCol w:w="3408"/>
        <w:gridCol w:w="3408"/>
      </w:tblGrid>
      <w:tr>
        <w:tc>
          <w:tcPr>
            <w:tcW w:type="dxa" w:w="4464"/>
            <w:vAlign w:val="center"/>
            <w:shd w:fill="1F4E79"/>
          </w:tcPr>
          <w:p>
            <w:r/>
            <w:r>
              <w:rPr>
                <w:b/>
                <w:color w:val="FFFFFF"/>
              </w:rPr>
              <w:t>Source contribution</w:t>
            </w:r>
          </w:p>
        </w:tc>
        <w:tc>
          <w:tcPr>
            <w:tcW w:type="dxa" w:w="1440"/>
            <w:vAlign w:val="center"/>
            <w:shd w:fill="1F4E79"/>
          </w:tcPr>
          <w:p>
            <w:r/>
            <w:r>
              <w:rPr>
                <w:b/>
                <w:color w:val="FFFFFF"/>
              </w:rPr>
              <w:t>Rows</w:t>
            </w:r>
          </w:p>
        </w:tc>
        <w:tc>
          <w:tcPr>
            <w:tcW w:type="dxa" w:w="2448"/>
            <w:vAlign w:val="center"/>
            <w:shd w:fill="1F4E79"/>
          </w:tcPr>
          <w:p>
            <w:r/>
            <w:r>
              <w:rPr>
                <w:b/>
                <w:color w:val="FFFFFF"/>
              </w:rPr>
              <w:t>Quantity</w:t>
            </w:r>
          </w:p>
        </w:tc>
      </w:tr>
      <w:tr>
        <w:tc>
          <w:tcPr>
            <w:tcW w:type="dxa" w:w="4464"/>
            <w:vAlign w:val="center"/>
            <w:shd w:fill="EAF2F8"/>
          </w:tcPr>
          <w:p>
            <w:r/>
            <w:r>
              <w:rPr>
                <w:b w:val="0"/>
              </w:rPr>
              <w:t>Current pending only</w:t>
            </w:r>
          </w:p>
        </w:tc>
        <w:tc>
          <w:tcPr>
            <w:tcW w:type="dxa" w:w="1440"/>
            <w:vAlign w:val="center"/>
            <w:shd w:fill="EAF2F8"/>
          </w:tcPr>
          <w:p>
            <w:r/>
            <w:r>
              <w:rPr>
                <w:b w:val="0"/>
              </w:rPr>
              <w:t>43</w:t>
            </w:r>
          </w:p>
        </w:tc>
        <w:tc>
          <w:tcPr>
            <w:tcW w:type="dxa" w:w="2448"/>
            <w:vAlign w:val="center"/>
            <w:shd w:fill="EAF2F8"/>
          </w:tcPr>
          <w:p>
            <w:r/>
            <w:r>
              <w:rPr>
                <w:b w:val="0"/>
              </w:rPr>
              <w:t>19,012</w:t>
            </w:r>
          </w:p>
        </w:tc>
      </w:tr>
      <w:tr>
        <w:tc>
          <w:tcPr>
            <w:tcW w:type="dxa" w:w="4464"/>
            <w:vAlign w:val="center"/>
          </w:tcPr>
          <w:p>
            <w:r/>
            <w:r>
              <w:rPr>
                <w:b w:val="0"/>
              </w:rPr>
              <w:t>Current + last-month pending</w:t>
            </w:r>
          </w:p>
        </w:tc>
        <w:tc>
          <w:tcPr>
            <w:tcW w:type="dxa" w:w="1440"/>
            <w:vAlign w:val="center"/>
          </w:tcPr>
          <w:p>
            <w:r/>
            <w:r>
              <w:rPr>
                <w:b w:val="0"/>
              </w:rPr>
              <w:t>21</w:t>
            </w:r>
          </w:p>
        </w:tc>
        <w:tc>
          <w:tcPr>
            <w:tcW w:type="dxa" w:w="2448"/>
            <w:vAlign w:val="center"/>
          </w:tcPr>
          <w:p>
            <w:r/>
            <w:r>
              <w:rPr>
                <w:b w:val="0"/>
              </w:rPr>
              <w:t>14,374 current</w:t>
            </w:r>
          </w:p>
        </w:tc>
      </w:tr>
      <w:tr>
        <w:tc>
          <w:tcPr>
            <w:tcW w:type="dxa" w:w="4464"/>
            <w:vAlign w:val="center"/>
            <w:shd w:fill="EAF2F8"/>
          </w:tcPr>
          <w:p>
            <w:r/>
            <w:r>
              <w:rPr>
                <w:b w:val="0"/>
              </w:rPr>
              <w:t>Last-month pending only</w:t>
            </w:r>
          </w:p>
        </w:tc>
        <w:tc>
          <w:tcPr>
            <w:tcW w:type="dxa" w:w="1440"/>
            <w:vAlign w:val="center"/>
            <w:shd w:fill="EAF2F8"/>
          </w:tcPr>
          <w:p>
            <w:r/>
            <w:r>
              <w:rPr>
                <w:b w:val="0"/>
              </w:rPr>
              <w:t>184</w:t>
            </w:r>
          </w:p>
        </w:tc>
        <w:tc>
          <w:tcPr>
            <w:tcW w:type="dxa" w:w="2448"/>
            <w:vAlign w:val="center"/>
            <w:shd w:fill="EAF2F8"/>
          </w:tcPr>
          <w:p>
            <w:r/>
            <w:r>
              <w:rPr>
                <w:b w:val="0"/>
              </w:rPr>
              <w:t>7,591 dummy</w:t>
            </w:r>
          </w:p>
        </w:tc>
      </w:tr>
      <w:tr>
        <w:tc>
          <w:tcPr>
            <w:tcW w:type="dxa" w:w="4464"/>
            <w:vAlign w:val="center"/>
          </w:tcPr>
          <w:p>
            <w:r/>
            <w:r>
              <w:rPr>
                <w:b w:val="0"/>
              </w:rPr>
              <w:t>Total current pending</w:t>
            </w:r>
          </w:p>
        </w:tc>
        <w:tc>
          <w:tcPr>
            <w:tcW w:type="dxa" w:w="1440"/>
            <w:vAlign w:val="center"/>
          </w:tcPr>
          <w:p>
            <w:r/>
            <w:r>
              <w:rPr>
                <w:b w:val="0"/>
              </w:rPr>
              <w:t>—</w:t>
            </w:r>
          </w:p>
        </w:tc>
        <w:tc>
          <w:tcPr>
            <w:tcW w:type="dxa" w:w="2448"/>
            <w:vAlign w:val="center"/>
          </w:tcPr>
          <w:p>
            <w:r/>
            <w:r>
              <w:rPr>
                <w:b w:val="0"/>
              </w:rPr>
              <w:t>33,386</w:t>
            </w:r>
          </w:p>
        </w:tc>
      </w:tr>
      <w:tr>
        <w:tc>
          <w:tcPr>
            <w:tcW w:type="dxa" w:w="4464"/>
            <w:vAlign w:val="center"/>
            <w:shd w:fill="EAF2F8"/>
          </w:tcPr>
          <w:p>
            <w:r/>
            <w:r>
              <w:rPr>
                <w:b w:val="0"/>
              </w:rPr>
              <w:t>Total dummy / last-month pending</w:t>
            </w:r>
          </w:p>
        </w:tc>
        <w:tc>
          <w:tcPr>
            <w:tcW w:type="dxa" w:w="1440"/>
            <w:vAlign w:val="center"/>
            <w:shd w:fill="EAF2F8"/>
          </w:tcPr>
          <w:p>
            <w:r/>
            <w:r>
              <w:rPr>
                <w:b w:val="0"/>
              </w:rPr>
              <w:t>—</w:t>
            </w:r>
          </w:p>
        </w:tc>
        <w:tc>
          <w:tcPr>
            <w:tcW w:type="dxa" w:w="2448"/>
            <w:vAlign w:val="center"/>
            <w:shd w:fill="EAF2F8"/>
          </w:tcPr>
          <w:p>
            <w:r/>
            <w:r>
              <w:rPr>
                <w:b w:val="0"/>
              </w:rPr>
              <w:t>7,591</w:t>
            </w:r>
          </w:p>
        </w:tc>
      </w:tr>
      <w:tr>
        <w:tc>
          <w:tcPr>
            <w:tcW w:type="dxa" w:w="4464"/>
            <w:vAlign w:val="center"/>
          </w:tcPr>
          <w:p>
            <w:r/>
            <w:r>
              <w:rPr>
                <w:b w:val="0"/>
              </w:rPr>
              <w:t>Total demand before stock</w:t>
            </w:r>
          </w:p>
        </w:tc>
        <w:tc>
          <w:tcPr>
            <w:tcW w:type="dxa" w:w="1440"/>
            <w:vAlign w:val="center"/>
          </w:tcPr>
          <w:p>
            <w:r/>
            <w:r>
              <w:rPr>
                <w:b w:val="0"/>
              </w:rPr>
              <w:t>—</w:t>
            </w:r>
          </w:p>
        </w:tc>
        <w:tc>
          <w:tcPr>
            <w:tcW w:type="dxa" w:w="2448"/>
            <w:vAlign w:val="center"/>
          </w:tcPr>
          <w:p>
            <w:r/>
            <w:r>
              <w:rPr>
                <w:b w:val="0"/>
              </w:rPr>
              <w:t>40,977</w:t>
            </w:r>
          </w:p>
        </w:tc>
      </w:tr>
    </w:tbl>
    <w:p/>
    <w:p>
      <w:r>
        <w:t>The resulting frozen Unclassified production is:</w:t>
      </w:r>
    </w:p>
    <w:p>
      <w:pPr>
        <w:pStyle w:val="ListBullet"/>
      </w:pPr>
      <w:r>
        <w:t>30,569 pieces</w:t>
      </w:r>
    </w:p>
    <w:p>
      <w:pPr>
        <w:pStyle w:val="ListBullet"/>
      </w:pPr>
      <w:r>
        <w:t>136,446 stock</w:t>
      </w:r>
    </w:p>
    <w:p>
      <w:pPr>
        <w:pStyle w:val="ListBullet"/>
      </w:pPr>
      <w:r>
        <w:t>248 rows/codes</w:t>
      </w:r>
    </w:p>
    <w:p>
      <w:pPr>
        <w:pStyle w:val="Heading2"/>
      </w:pPr>
      <w:r>
        <w:t>Why the live 8,444-piece figure is different</w:t>
      </w:r>
    </w:p>
    <w:p>
      <w:r>
        <w:t>The current live validation reports 206 unmapped items and 8,444 pieces. That is the live validation’s current Unclassified plan quantity, not the frozen run’s pending quantity. The live validation reads the current source state; run #2574 preserves its earlier upload and pending snapshots.</w:t>
      </w:r>
    </w:p>
    <w:p>
      <w:pPr>
        <w:pStyle w:val="Heading2"/>
      </w:pPr>
      <w:r>
        <w:t>Is 136,446 incorrectly applied globally?</w:t>
      </w:r>
    </w:p>
    <w:p>
      <w:r>
        <w:t>The persisted run rows show 175 Unclassified rows with positive stock, summing to 136,446. No Unclassified code overlaps a classified material-roster code. The stock join is performed by item code; it is not one scalar subtracted from every Unclassified row.</w:t>
      </w:r>
    </w:p>
    <w:p>
      <w:r>
        <w:t>There is nevertheless a provenance question: 136,446 is the segment-wide unmatched-positive-stock population, while the current-pending Unclassified population is narrower. The data does not support treating those as automatically identical business populations.</w:t>
      </w:r>
    </w:p>
    <w:tbl>
      <w:tblPr>
        <w:tblStyle w:val="TableGrid"/>
        <w:tblW w:type="auto" w:w="0"/>
        <w:jc w:val="center"/>
        <w:tblLook w:firstColumn="1" w:firstRow="1" w:lastColumn="0" w:lastRow="0" w:noHBand="0" w:noVBand="1" w:val="04A0"/>
      </w:tblPr>
      <w:tblGrid>
        <w:gridCol w:w="5112"/>
        <w:gridCol w:w="5112"/>
      </w:tblGrid>
      <w:tr>
        <w:tc>
          <w:tcPr>
            <w:tcW w:type="dxa" w:w="6912"/>
            <w:vAlign w:val="center"/>
            <w:shd w:fill="1F4E79"/>
          </w:tcPr>
          <w:p>
            <w:r/>
            <w:r>
              <w:rPr>
                <w:b/>
                <w:color w:val="FFFFFF"/>
              </w:rPr>
              <w:t>Recomputation from frozen item rows</w:t>
            </w:r>
          </w:p>
        </w:tc>
        <w:tc>
          <w:tcPr>
            <w:tcW w:type="dxa" w:w="2160"/>
            <w:vAlign w:val="center"/>
            <w:shd w:fill="1F4E79"/>
          </w:tcPr>
          <w:p>
            <w:r/>
            <w:r>
              <w:rPr>
                <w:b/>
                <w:color w:val="FFFFFF"/>
              </w:rPr>
              <w:t>Pieces</w:t>
            </w:r>
          </w:p>
        </w:tc>
      </w:tr>
      <w:tr>
        <w:tc>
          <w:tcPr>
            <w:tcW w:type="dxa" w:w="6912"/>
            <w:vAlign w:val="center"/>
            <w:shd w:fill="EAF2F8"/>
          </w:tcPr>
          <w:p>
            <w:r/>
            <w:r>
              <w:rPr>
                <w:b w:val="0"/>
              </w:rPr>
              <w:t>Demand with no stock netting</w:t>
            </w:r>
          </w:p>
        </w:tc>
        <w:tc>
          <w:tcPr>
            <w:tcW w:type="dxa" w:w="2160"/>
            <w:vAlign w:val="center"/>
            <w:shd w:fill="EAF2F8"/>
          </w:tcPr>
          <w:p>
            <w:r/>
            <w:r>
              <w:rPr>
                <w:b w:val="0"/>
              </w:rPr>
              <w:t>40,977</w:t>
            </w:r>
          </w:p>
        </w:tc>
      </w:tr>
      <w:tr>
        <w:tc>
          <w:tcPr>
            <w:tcW w:type="dxa" w:w="6912"/>
            <w:vAlign w:val="center"/>
          </w:tcPr>
          <w:p>
            <w:r/>
            <w:r>
              <w:rPr>
                <w:b w:val="0"/>
              </w:rPr>
              <w:t>Frozen run after stock join and zero-floor clamp</w:t>
            </w:r>
          </w:p>
        </w:tc>
        <w:tc>
          <w:tcPr>
            <w:tcW w:type="dxa" w:w="2160"/>
            <w:vAlign w:val="center"/>
          </w:tcPr>
          <w:p>
            <w:r/>
            <w:r>
              <w:rPr>
                <w:b w:val="0"/>
              </w:rPr>
              <w:t>30,569</w:t>
            </w:r>
          </w:p>
        </w:tc>
      </w:tr>
      <w:tr>
        <w:tc>
          <w:tcPr>
            <w:tcW w:type="dxa" w:w="6912"/>
            <w:vAlign w:val="center"/>
            <w:shd w:fill="EAF2F8"/>
          </w:tcPr>
          <w:p>
            <w:r/>
            <w:r>
              <w:rPr>
                <w:b w:val="0"/>
              </w:rPr>
              <w:t>Reduction from stock/clamping</w:t>
            </w:r>
          </w:p>
        </w:tc>
        <w:tc>
          <w:tcPr>
            <w:tcW w:type="dxa" w:w="2160"/>
            <w:vAlign w:val="center"/>
            <w:shd w:fill="EAF2F8"/>
          </w:tcPr>
          <w:p>
            <w:r/>
            <w:r>
              <w:rPr>
                <w:b w:val="0"/>
              </w:rPr>
              <w:t>10,408</w:t>
            </w:r>
          </w:p>
        </w:tc>
      </w:tr>
    </w:tbl>
    <w:p/>
    <w:p>
      <w:r>
        <w:t>If policy intends stock to net all 248 Unclassified code rows, the frozen row-level calculation is internally consistent. If policy intends stock to net only currently unmatched open-order codes, the stock source population is broader than that policy and needs separate treatment.</w:t>
      </w:r>
    </w:p>
    <w:p>
      <w:pPr>
        <w:pStyle w:val="Heading2"/>
      </w:pPr>
      <w:r>
        <w:t>User-facing value</w:t>
      </w:r>
    </w:p>
    <w:p>
      <w:r>
        <w:t>For the frozen plan and its export, the user-facing Unclassified production quantity is 30,569 pieces. The supporting values are: 33,386 current-pending demand, 7,591 dummy/last-month pending, 136,446 joined stock, and 8,444 current live validation comparison quantity.</w:t>
      </w:r>
    </w:p>
    <w:p>
      <w:pPr>
        <w:pStyle w:val="Heading1"/>
      </w:pPr>
      <w:r>
        <w:t>PR.2 — Plumbing roster count</w:t>
      </w:r>
    </w:p>
    <w:p>
      <w:r>
        <w:t>The frozen run reconciles as follows:</w:t>
      </w:r>
    </w:p>
    <w:tbl>
      <w:tblPr>
        <w:tblStyle w:val="TableGrid"/>
        <w:tblW w:type="auto" w:w="0"/>
        <w:jc w:val="center"/>
        <w:tblLook w:firstColumn="1" w:firstRow="1" w:lastColumn="0" w:lastRow="0" w:noHBand="0" w:noVBand="1" w:val="04A0"/>
      </w:tblPr>
      <w:tblGrid>
        <w:gridCol w:w="5112"/>
        <w:gridCol w:w="5112"/>
      </w:tblGrid>
      <w:tr>
        <w:tc>
          <w:tcPr>
            <w:tcW w:type="dxa" w:w="6912"/>
            <w:vAlign w:val="center"/>
            <w:shd w:fill="1F4E79"/>
          </w:tcPr>
          <w:p>
            <w:r/>
            <w:r>
              <w:rPr>
                <w:b/>
                <w:color w:val="FFFFFF"/>
              </w:rPr>
              <w:t>Component</w:t>
            </w:r>
          </w:p>
        </w:tc>
        <w:tc>
          <w:tcPr>
            <w:tcW w:type="dxa" w:w="2160"/>
            <w:vAlign w:val="center"/>
            <w:shd w:fill="1F4E79"/>
          </w:tcPr>
          <w:p>
            <w:r/>
            <w:r>
              <w:rPr>
                <w:b/>
                <w:color w:val="FFFFFF"/>
              </w:rPr>
              <w:t>Rows</w:t>
            </w:r>
          </w:p>
        </w:tc>
      </w:tr>
      <w:tr>
        <w:tc>
          <w:tcPr>
            <w:tcW w:type="dxa" w:w="6912"/>
            <w:vAlign w:val="center"/>
            <w:shd w:fill="EAF2F8"/>
          </w:tcPr>
          <w:p>
            <w:r/>
            <w:r>
              <w:rPr>
                <w:b w:val="0"/>
              </w:rPr>
              <w:t>Total frozen run rows</w:t>
            </w:r>
          </w:p>
        </w:tc>
        <w:tc>
          <w:tcPr>
            <w:tcW w:type="dxa" w:w="2160"/>
            <w:vAlign w:val="center"/>
            <w:shd w:fill="EAF2F8"/>
          </w:tcPr>
          <w:p>
            <w:r/>
            <w:r>
              <w:rPr>
                <w:b w:val="0"/>
              </w:rPr>
              <w:t>1,387</w:t>
            </w:r>
          </w:p>
        </w:tc>
      </w:tr>
      <w:tr>
        <w:tc>
          <w:tcPr>
            <w:tcW w:type="dxa" w:w="6912"/>
            <w:vAlign w:val="center"/>
          </w:tcPr>
          <w:p>
            <w:r/>
            <w:r>
              <w:rPr>
                <w:b w:val="0"/>
              </w:rPr>
              <w:t>Parsed material-source rows</w:t>
            </w:r>
          </w:p>
        </w:tc>
        <w:tc>
          <w:tcPr>
            <w:tcW w:type="dxa" w:w="2160"/>
            <w:vAlign w:val="center"/>
          </w:tcPr>
          <w:p>
            <w:r/>
            <w:r>
              <w:rPr>
                <w:b w:val="0"/>
              </w:rPr>
              <w:t>1,139</w:t>
            </w:r>
          </w:p>
        </w:tc>
      </w:tr>
      <w:tr>
        <w:tc>
          <w:tcPr>
            <w:tcW w:type="dxa" w:w="6912"/>
            <w:vAlign w:val="center"/>
            <w:shd w:fill="EAF2F8"/>
          </w:tcPr>
          <w:p>
            <w:r/>
            <w:r>
              <w:rPr>
                <w:b w:val="0"/>
              </w:rPr>
              <w:t>Unclassified rows</w:t>
            </w:r>
          </w:p>
        </w:tc>
        <w:tc>
          <w:tcPr>
            <w:tcW w:type="dxa" w:w="2160"/>
            <w:vAlign w:val="center"/>
            <w:shd w:fill="EAF2F8"/>
          </w:tcPr>
          <w:p>
            <w:r/>
            <w:r>
              <w:rPr>
                <w:b w:val="0"/>
              </w:rPr>
              <w:t>248</w:t>
            </w:r>
          </w:p>
        </w:tc>
      </w:tr>
      <w:tr>
        <w:tc>
          <w:tcPr>
            <w:tcW w:type="dxa" w:w="6912"/>
            <w:vAlign w:val="center"/>
          </w:tcPr>
          <w:p>
            <w:r/>
            <w:r>
              <w:rPr>
                <w:b w:val="0"/>
              </w:rPr>
              <w:t>Expected real material rows</w:t>
            </w:r>
          </w:p>
        </w:tc>
        <w:tc>
          <w:tcPr>
            <w:tcW w:type="dxa" w:w="2160"/>
            <w:vAlign w:val="center"/>
          </w:tcPr>
          <w:p>
            <w:r/>
            <w:r>
              <w:rPr>
                <w:b w:val="0"/>
              </w:rPr>
              <w:t>1,136</w:t>
            </w:r>
          </w:p>
        </w:tc>
      </w:tr>
      <w:tr>
        <w:tc>
          <w:tcPr>
            <w:tcW w:type="dxa" w:w="6912"/>
            <w:vAlign w:val="center"/>
            <w:shd w:fill="EAF2F8"/>
          </w:tcPr>
          <w:p>
            <w:r/>
            <w:r>
              <w:rPr>
                <w:b w:val="0"/>
              </w:rPr>
              <w:t>Material-row excess</w:t>
            </w:r>
          </w:p>
        </w:tc>
        <w:tc>
          <w:tcPr>
            <w:tcW w:type="dxa" w:w="2160"/>
            <w:vAlign w:val="center"/>
            <w:shd w:fill="EAF2F8"/>
          </w:tcPr>
          <w:p>
            <w:r/>
            <w:r>
              <w:rPr>
                <w:b w:val="0"/>
              </w:rPr>
              <w:t>3</w:t>
            </w:r>
          </w:p>
        </w:tc>
      </w:tr>
    </w:tbl>
    <w:p/>
    <w:p>
      <w:r>
        <w:t>The three excess rows are all in the HDPE tab:</w:t>
      </w:r>
    </w:p>
    <w:p>
      <w:pPr>
        <w:pStyle w:val="ListBullet"/>
      </w:pPr>
      <w:r>
        <w:t>PIPE</w:t>
      </w:r>
    </w:p>
    <w:p>
      <w:pPr>
        <w:pStyle w:val="ListBullet"/>
      </w:pPr>
      <w:r>
        <w:t>Total</w:t>
      </w:r>
    </w:p>
    <w:p>
      <w:pPr>
        <w:pStyle w:val="ListBullet"/>
      </w:pPr>
      <w:r>
        <w:t>ITEM CODE</w:t>
      </w:r>
    </w:p>
    <w:p>
      <w:r>
        <w:t>They carry zero demand/stock and are header or summary artifacts rather than product rows. The HDPE tab reports 19 parsed rows, but only 16 are real HDPE item rows. There is no overlap between the 248 Unclassified codes and the governed material roster.</w:t>
      </w:r>
    </w:p>
    <w:p>
      <w:pPr>
        <w:pStyle w:val="Heading1"/>
      </w:pPr>
      <w:r>
        <w:t>PR.3 — PTMT roster excess</w:t>
      </w:r>
    </w:p>
    <w:p>
      <w:pPr>
        <w:pStyle w:val="Heading2"/>
      </w:pPr>
      <w:r>
        <w:t>Current source path</w:t>
      </w:r>
    </w:p>
    <w:p>
      <w:r>
        <w:t>The current PTMT roster comes from the successful live REPORT 1–9 read. Because that read succeeds, the app uses it directly rather than merging it with the legacy rate-list or fallback sources.</w:t>
      </w:r>
    </w:p>
    <w:tbl>
      <w:tblPr>
        <w:tblStyle w:val="TableGrid"/>
        <w:tblW w:type="auto" w:w="0"/>
        <w:jc w:val="center"/>
        <w:tblLook w:firstColumn="1" w:firstRow="1" w:lastColumn="0" w:lastRow="0" w:noHBand="0" w:noVBand="1" w:val="04A0"/>
      </w:tblPr>
      <w:tblGrid>
        <w:gridCol w:w="5112"/>
        <w:gridCol w:w="5112"/>
      </w:tblGrid>
      <w:tr>
        <w:tc>
          <w:tcPr>
            <w:tcW w:type="dxa" w:w="6912"/>
            <w:vAlign w:val="center"/>
            <w:shd w:fill="1F4E79"/>
          </w:tcPr>
          <w:p>
            <w:r/>
            <w:r>
              <w:rPr>
                <w:b/>
                <w:color w:val="FFFFFF"/>
              </w:rPr>
              <w:t>Measure</w:t>
            </w:r>
          </w:p>
        </w:tc>
        <w:tc>
          <w:tcPr>
            <w:tcW w:type="dxa" w:w="2160"/>
            <w:vAlign w:val="center"/>
            <w:shd w:fill="1F4E79"/>
          </w:tcPr>
          <w:p>
            <w:r/>
            <w:r>
              <w:rPr>
                <w:b/>
                <w:color w:val="FFFFFF"/>
              </w:rPr>
              <w:t>Rows</w:t>
            </w:r>
          </w:p>
        </w:tc>
      </w:tr>
      <w:tr>
        <w:tc>
          <w:tcPr>
            <w:tcW w:type="dxa" w:w="6912"/>
            <w:vAlign w:val="center"/>
            <w:shd w:fill="EAF2F8"/>
          </w:tcPr>
          <w:p>
            <w:r/>
            <w:r>
              <w:rPr>
                <w:b w:val="0"/>
              </w:rPr>
              <w:t>Current live REPORT 1–9 result</w:t>
            </w:r>
          </w:p>
        </w:tc>
        <w:tc>
          <w:tcPr>
            <w:tcW w:type="dxa" w:w="2160"/>
            <w:vAlign w:val="center"/>
            <w:shd w:fill="EAF2F8"/>
          </w:tcPr>
          <w:p>
            <w:r/>
            <w:r>
              <w:rPr>
                <w:b w:val="0"/>
              </w:rPr>
              <w:t>3,584</w:t>
            </w:r>
          </w:p>
        </w:tc>
      </w:tr>
      <w:tr>
        <w:tc>
          <w:tcPr>
            <w:tcW w:type="dxa" w:w="6912"/>
            <w:vAlign w:val="center"/>
          </w:tcPr>
          <w:p>
            <w:r/>
            <w:r>
              <w:rPr>
                <w:b w:val="0"/>
              </w:rPr>
              <w:t>Authoritative reference snapshot</w:t>
            </w:r>
          </w:p>
        </w:tc>
        <w:tc>
          <w:tcPr>
            <w:tcW w:type="dxa" w:w="2160"/>
            <w:vAlign w:val="center"/>
          </w:tcPr>
          <w:p>
            <w:r/>
            <w:r>
              <w:rPr>
                <w:b w:val="0"/>
              </w:rPr>
              <w:t>3,426</w:t>
            </w:r>
          </w:p>
        </w:tc>
      </w:tr>
      <w:tr>
        <w:tc>
          <w:tcPr>
            <w:tcW w:type="dxa" w:w="6912"/>
            <w:vAlign w:val="center"/>
            <w:shd w:fill="EAF2F8"/>
          </w:tcPr>
          <w:p>
            <w:r/>
            <w:r>
              <w:rPr>
                <w:b w:val="0"/>
              </w:rPr>
              <w:t>Difference</w:t>
            </w:r>
          </w:p>
        </w:tc>
        <w:tc>
          <w:tcPr>
            <w:tcW w:type="dxa" w:w="2160"/>
            <w:vAlign w:val="center"/>
            <w:shd w:fill="EAF2F8"/>
          </w:tcPr>
          <w:p>
            <w:r/>
            <w:r>
              <w:rPr>
                <w:b w:val="0"/>
              </w:rPr>
              <w:t>158</w:t>
            </w:r>
          </w:p>
        </w:tc>
      </w:tr>
    </w:tbl>
    <w:p/>
    <w:p>
      <w:pPr>
        <w:pStyle w:val="Heading2"/>
      </w:pPr>
      <w:r>
        <w:t>Why the 158 rows cannot be listed yet</w:t>
      </w:r>
    </w:p>
    <w:p>
      <w:r>
        <w:t>The current persisted evidence stores the reference total and aggregate report counts, but it does not retain the identity-level 3,426-row reference snapshot. The exact difference requires comparing:</w:t>
      </w:r>
    </w:p>
    <w:p>
      <w:pPr>
        <w:pStyle w:val="ListBullet"/>
      </w:pPr>
      <w:r>
        <w:t>code</w:t>
      </w:r>
    </w:p>
    <w:p>
      <w:pPr>
        <w:pStyle w:val="ListBullet"/>
      </w:pPr>
      <w:r>
        <w:t>colour</w:t>
      </w:r>
    </w:p>
    <w:p>
      <w:pPr>
        <w:pStyle w:val="ListBullet"/>
      </w:pPr>
      <w:r>
        <w:t>category/report</w:t>
      </w:r>
    </w:p>
    <w:p>
      <w:pPr>
        <w:pStyle w:val="ListBullet"/>
      </w:pPr>
      <w:r>
        <w:t>demand</w:t>
      </w:r>
    </w:p>
    <w:p>
      <w:r>
        <w:t>The current live parse can list the 3,584 rows, but it cannot prove which 158 are outside the authoritative reference set. The exact 158-row list therefore cannot be produced truthfully without recovering the original reference snapshot or creating a new explicit source-to-reference comparison.</w:t>
      </w:r>
    </w:p>
    <w:p>
      <w:pPr>
        <w:pStyle w:val="Heading2"/>
      </w:pPr>
      <w:r>
        <w:t>Why the roster fluctuated 3,584 → 6,574 → 3,584</w:t>
      </w:r>
    </w:p>
    <w:p>
      <w:r>
        <w:t>The code has short-lived caches for resolved workbook identity and tab names, but the actual Google Sheet tab values are fetched live. There is no long-lived PTMT roster-content cache that explains a 6,574-row result as stale cached data.</w:t>
      </w:r>
    </w:p>
    <w:p>
      <w:r>
        <w:t>The evidence therefore points to one of three unresolved causes:</w:t>
      </w:r>
    </w:p>
    <w:p>
      <w:pPr>
        <w:pStyle w:val="ListBullet"/>
      </w:pPr>
      <w:r>
        <w:t>The upstream REPORT tabs changed between reads.</w:t>
      </w:r>
    </w:p>
    <w:p>
      <w:pPr>
        <w:pStyle w:val="ListBullet"/>
      </w:pPr>
      <w:r>
        <w:t>A transient or duplicated source state was exposed during one read.</w:t>
      </w:r>
    </w:p>
    <w:p>
      <w:pPr>
        <w:pStyle w:val="ListBullet"/>
      </w:pPr>
      <w:r>
        <w:t>Parser or source-selection behavior differed between the historical reads.</w:t>
      </w:r>
    </w:p>
    <w:p>
      <w:r>
        <w:t>The available evidence does not distinguish those causes because no identity-level snapshot was persisted during the 6,574-row observation.</w:t>
      </w:r>
    </w:p>
    <w:p>
      <w:pPr>
        <w:pStyle w:val="Heading2"/>
      </w:pPr>
      <w:r>
        <w:t>PTMT re-baseline decision</w:t>
      </w:r>
    </w:p>
    <w:p>
      <w:r>
        <w:t>PTMT should not be re-baselined yet. The current state establishes that the live source read is 3,584 rows, but it does not establish whether the 158-row difference is a valid source expansion, invalid extra rows, or parser artifacts. The 296,441-piece Reports 1–7 overshoot should remain an unresolved source-comparison variance until the 158 rows are reconciled.</w:t>
      </w:r>
    </w:p>
    <w:p>
      <w:pPr>
        <w:pStyle w:val="Heading1"/>
      </w:pPr>
      <w:r>
        <w:t>Investigation boundary</w:t>
      </w:r>
    </w:p>
    <w:tbl>
      <w:tblPr>
        <w:tblStyle w:val="TableGrid"/>
        <w:tblW w:type="auto" w:w="0"/>
        <w:jc w:val="center"/>
        <w:tblLook w:firstColumn="1" w:firstRow="1" w:lastColumn="0" w:lastRow="0" w:noHBand="0" w:noVBand="1" w:val="04A0"/>
      </w:tblPr>
      <w:tblGrid>
        <w:gridCol w:w="5112"/>
        <w:gridCol w:w="5112"/>
      </w:tblGrid>
      <w:tr>
        <w:tc>
          <w:tcPr>
            <w:tcW w:type="dxa" w:w="6912"/>
            <w:vAlign w:val="center"/>
            <w:shd w:fill="1F4E79"/>
          </w:tcPr>
          <w:p>
            <w:r/>
            <w:r>
              <w:rPr>
                <w:b/>
                <w:color w:val="FFFFFF"/>
              </w:rPr>
              <w:t>Action</w:t>
            </w:r>
          </w:p>
        </w:tc>
        <w:tc>
          <w:tcPr>
            <w:tcW w:type="dxa" w:w="2160"/>
            <w:vAlign w:val="center"/>
            <w:shd w:fill="1F4E79"/>
          </w:tcPr>
          <w:p>
            <w:r/>
            <w:r>
              <w:rPr>
                <w:b/>
                <w:color w:val="FFFFFF"/>
              </w:rPr>
              <w:t>Status</w:t>
            </w:r>
          </w:p>
        </w:tc>
      </w:tr>
      <w:tr>
        <w:tc>
          <w:tcPr>
            <w:tcW w:type="dxa" w:w="6912"/>
            <w:vAlign w:val="center"/>
            <w:shd w:fill="EAF2F8"/>
          </w:tcPr>
          <w:p>
            <w:r/>
            <w:r>
              <w:rPr>
                <w:b w:val="0"/>
              </w:rPr>
              <w:t>Plan creation or modification</w:t>
            </w:r>
          </w:p>
        </w:tc>
        <w:tc>
          <w:tcPr>
            <w:tcW w:type="dxa" w:w="2160"/>
            <w:vAlign w:val="center"/>
            <w:shd w:fill="EAF2F8"/>
          </w:tcPr>
          <w:p>
            <w:r/>
            <w:r>
              <w:rPr>
                <w:b w:val="0"/>
              </w:rPr>
              <w:t>Not performed</w:t>
            </w:r>
          </w:p>
        </w:tc>
      </w:tr>
      <w:tr>
        <w:tc>
          <w:tcPr>
            <w:tcW w:type="dxa" w:w="6912"/>
            <w:vAlign w:val="center"/>
          </w:tcPr>
          <w:p>
            <w:r/>
            <w:r>
              <w:rPr>
                <w:b w:val="0"/>
              </w:rPr>
              <w:t>Capacity fit</w:t>
            </w:r>
          </w:p>
        </w:tc>
        <w:tc>
          <w:tcPr>
            <w:tcW w:type="dxa" w:w="2160"/>
            <w:vAlign w:val="center"/>
          </w:tcPr>
          <w:p>
            <w:r/>
            <w:r>
              <w:rPr>
                <w:b w:val="0"/>
              </w:rPr>
              <w:t>Not performed</w:t>
            </w:r>
          </w:p>
        </w:tc>
      </w:tr>
      <w:tr>
        <w:tc>
          <w:tcPr>
            <w:tcW w:type="dxa" w:w="6912"/>
            <w:vAlign w:val="center"/>
            <w:shd w:fill="EAF2F8"/>
          </w:tcPr>
          <w:p>
            <w:r/>
            <w:r>
              <w:rPr>
                <w:b w:val="0"/>
              </w:rPr>
              <w:t>Finalization</w:t>
            </w:r>
          </w:p>
        </w:tc>
        <w:tc>
          <w:tcPr>
            <w:tcW w:type="dxa" w:w="2160"/>
            <w:vAlign w:val="center"/>
            <w:shd w:fill="EAF2F8"/>
          </w:tcPr>
          <w:p>
            <w:r/>
            <w:r>
              <w:rPr>
                <w:b w:val="0"/>
              </w:rPr>
              <w:t>Not performed</w:t>
            </w:r>
          </w:p>
        </w:tc>
      </w:tr>
      <w:tr>
        <w:tc>
          <w:tcPr>
            <w:tcW w:type="dxa" w:w="6912"/>
            <w:vAlign w:val="center"/>
          </w:tcPr>
          <w:p>
            <w:r/>
            <w:r>
              <w:rPr>
                <w:b w:val="0"/>
              </w:rPr>
              <w:t>Publication or deployment</w:t>
            </w:r>
          </w:p>
        </w:tc>
        <w:tc>
          <w:tcPr>
            <w:tcW w:type="dxa" w:w="2160"/>
            <w:vAlign w:val="center"/>
          </w:tcPr>
          <w:p>
            <w:r/>
            <w:r>
              <w:rPr>
                <w:b w:val="0"/>
              </w:rPr>
              <w:t>Not performed</w:t>
            </w:r>
          </w:p>
        </w:tc>
      </w:tr>
      <w:tr>
        <w:tc>
          <w:tcPr>
            <w:tcW w:type="dxa" w:w="6912"/>
            <w:vAlign w:val="center"/>
            <w:shd w:fill="EAF2F8"/>
          </w:tcPr>
          <w:p>
            <w:r/>
            <w:r>
              <w:rPr>
                <w:b w:val="0"/>
              </w:rPr>
              <w:t>PTMT re-baseline</w:t>
            </w:r>
          </w:p>
        </w:tc>
        <w:tc>
          <w:tcPr>
            <w:tcW w:type="dxa" w:w="2160"/>
            <w:vAlign w:val="center"/>
            <w:shd w:fill="EAF2F8"/>
          </w:tcPr>
          <w:p>
            <w:r/>
            <w:r>
              <w:rPr>
                <w:b w:val="0"/>
              </w:rPr>
              <w:t>Not performed</w:t>
            </w:r>
          </w:p>
        </w:tc>
      </w:tr>
      <w:tr>
        <w:tc>
          <w:tcPr>
            <w:tcW w:type="dxa" w:w="6912"/>
            <w:vAlign w:val="center"/>
          </w:tcPr>
          <w:p>
            <w:r/>
            <w:r>
              <w:rPr>
                <w:b w:val="0"/>
              </w:rPr>
              <w:t>Protected runs</w:t>
            </w:r>
          </w:p>
        </w:tc>
        <w:tc>
          <w:tcPr>
            <w:tcW w:type="dxa" w:w="2160"/>
            <w:vAlign w:val="center"/>
          </w:tcPr>
          <w:p>
            <w:r/>
            <w:r>
              <w:rPr>
                <w:b w:val="0"/>
              </w:rPr>
              <w:t>Untouched</w:t>
            </w:r>
          </w:p>
        </w:tc>
      </w:tr>
    </w:tbl>
    <w:p/>
    <w:p>
      <w:pPr>
        <w:spacing w:before="240"/>
      </w:pPr>
      <w:r>
        <w:rPr>
          <w:b/>
        </w:rPr>
        <w:t xml:space="preserve">Source note: </w:t>
      </w:r>
      <w:r>
        <w:t>Findings are based on the frozen run #2574 readback, the current live Plumbing validation response, the September source comparison, and the current source/parser implementation. They are reported as evidence, not as a re-baseline or policy approval.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Prayag India · Read-only roster investigation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