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B5D"/>
          <w:sz w:val="48"/>
        </w:rPr>
        <w:t>September Plumbing Planning</w:t>
      </w:r>
    </w:p>
    <w:p>
      <w:pPr>
        <w:jc w:val="center"/>
      </w:pPr>
      <w:r>
        <w:rPr>
          <w:color w:val="1F5A7A"/>
          <w:sz w:val="26"/>
        </w:rPr>
        <w:t>RU.0 Read-only diagnosis: unmatched pending and Unclassified routing</w:t>
      </w:r>
    </w:p>
    <w:p>
      <w:pPr>
        <w:jc w:val="center"/>
      </w:pPr>
      <w:r>
        <w:rPr>
          <w:i/>
          <w:color w:val="6B7C89"/>
          <w:sz w:val="18"/>
        </w:rPr>
        <w:t>Evidence reviewed: September uploads #20 and #21, current Plumbing workbook roster, current source tree</w:t>
      </w:r>
    </w:p>
    <w:tbl>
      <w:tblPr>
        <w:tblStyle w:val="TableGrid"/>
        <w:tblW w:type="auto" w:w="0"/>
        <w:jc w:val="center"/>
        <w:tblLook w:firstColumn="1" w:firstRow="1" w:lastColumn="0" w:lastRow="0" w:noHBand="0" w:noVBand="1" w:val="04A0"/>
      </w:tblPr>
      <w:tblGrid>
        <w:gridCol w:w="10224"/>
      </w:tblGrid>
      <w:tr>
        <w:tc>
          <w:tcPr>
            <w:tcW w:type="dxa" w:w="10224"/>
            <w:shd w:fill="EAF3F7"/>
            <w:vAlign w:val="center"/>
          </w:tcPr>
          <w:p>
            <w:pPr>
              <w:spacing w:after="0"/>
            </w:pPr>
            <w:r/>
            <w:r>
              <w:rPr>
                <w:rFonts w:ascii="Aptos" w:hAnsi="Aptos" w:eastAsia="Aptos"/>
                <w:b/>
                <w:color w:val="123B5D"/>
                <w:sz w:val="19"/>
              </w:rPr>
              <w:t>Scope: read-only only. No project files, database rows, reviewed policies, plan runs, deployments, or protected runs were changed.</w:t>
            </w:r>
          </w:p>
        </w:tc>
      </w:tr>
    </w:tbl>
    <w:p/>
    <w:p>
      <w:pPr>
        <w:pStyle w:val="Heading1"/>
      </w:pPr>
      <w:r>
        <w:t>Executive finding</w:t>
      </w:r>
    </w:p>
    <w:p>
      <w:pPr>
        <w:spacing w:after="100"/>
      </w:pPr>
      <w:r>
        <w:t>The current source tree already allows unmatched Plumbing pending to reach the Unclassified route. The normal in-memory September build completed successfully without a diagnostic bypass option and produced itemised Unclassified rows.</w:t>
      </w:r>
    </w:p>
    <w:p>
      <w:pPr>
        <w:spacing w:after="100"/>
      </w:pPr>
      <w:r>
        <w:t>The attached query described 19,012 unmatched current-pending pieces against a 234-piece ceiling. Against the current uploads and workbook, the read-only join produced 33,386 unmatched current-pending pieces. The current code path passes allowUnmapped: true for pending roles, so unmatched quantity and fingerprint changes do not block the build; resolution-loss and conservation failures still throw.</w:t>
      </w:r>
    </w:p>
    <w:p>
      <w:pPr>
        <w:pStyle w:val="Heading1"/>
      </w:pPr>
      <w:r>
        <w:t>RU.0.1 — Ordering and current guard behavior</w:t>
      </w:r>
    </w:p>
    <w:p>
      <w:pPr>
        <w:spacing w:after="100"/>
      </w:pPr>
      <w:r>
        <w:t>The current Plumbing build sequence is:</w:t>
      </w:r>
    </w:p>
    <w:p>
      <w:pPr>
        <w:pStyle w:val="ListBullet"/>
        <w:spacing w:after="40"/>
      </w:pPr>
      <w:r>
        <w:t>Read the uploads and workbook roster.</w:t>
      </w:r>
    </w:p>
    <w:p>
      <w:pPr>
        <w:pStyle w:val="ListBullet"/>
        <w:spacing w:after="40"/>
      </w:pPr>
      <w:r>
        <w:t>Run the stock reconciliation guard.</w:t>
      </w:r>
    </w:p>
    <w:p>
      <w:pPr>
        <w:pStyle w:val="ListBullet"/>
        <w:spacing w:after="40"/>
      </w:pPr>
      <w:r>
        <w:t>Build current-pending diagnostics.</w:t>
      </w:r>
    </w:p>
    <w:p>
      <w:pPr>
        <w:pStyle w:val="ListBullet"/>
        <w:spacing w:after="40"/>
      </w:pPr>
      <w:r>
        <w:t>Run assertPendingJoinIdentity for current pending.</w:t>
      </w:r>
    </w:p>
    <w:p>
      <w:pPr>
        <w:pStyle w:val="ListBullet"/>
        <w:spacing w:after="40"/>
      </w:pPr>
      <w:r>
        <w:t>Build last-month-pending diagnostics.</w:t>
      </w:r>
    </w:p>
    <w:p>
      <w:pPr>
        <w:pStyle w:val="ListBullet"/>
        <w:spacing w:after="40"/>
      </w:pPr>
      <w:r>
        <w:t>Run assertPendingJoinIdentity for last-month pending.</w:t>
      </w:r>
    </w:p>
    <w:p>
      <w:pPr>
        <w:pStyle w:val="ListBullet"/>
        <w:spacing w:after="40"/>
      </w:pPr>
      <w:r>
        <w:t>Build normal roster items.</w:t>
      </w:r>
    </w:p>
    <w:p>
      <w:pPr>
        <w:pStyle w:val="ListBullet"/>
        <w:spacing w:after="40"/>
      </w:pPr>
      <w:r>
        <w:t>Aggregate unmatched pending into Unclassified.</w:t>
      </w:r>
    </w:p>
    <w:p>
      <w:pPr>
        <w:pStyle w:val="ListBullet"/>
        <w:spacing w:after="40"/>
      </w:pPr>
      <w:r>
        <w:t>Run conservation checks comparing diagnostics with actual plan rows.</w:t>
      </w:r>
    </w:p>
    <w:p>
      <w:pPr>
        <w:spacing w:after="100"/>
      </w:pPr>
      <w:r>
        <w:t>The current-pending and last-month-pending calls pass { allowUnmapped: true }. This suppresses the reviewed quantity/fingerprint ceiling for unmatched pending, while retaining checks for resolution loss and source-to-plan conservation.</w:t>
      </w:r>
    </w:p>
    <w:p>
      <w:pPr>
        <w:spacing w:after="100"/>
      </w:pPr>
      <w:r>
        <w:t>Verification result: the normal builder completed in memory, created 1,387 items, included Unclassified rows, and did not create a plan run.</w:t>
      </w:r>
    </w:p>
    <w:p>
      <w:pPr>
        <w:pStyle w:val="Heading1"/>
      </w:pPr>
      <w:r>
        <w:t>RU.0.2 — What would appear in Unclassified</w:t>
      </w:r>
    </w:p>
    <w:p>
      <w:pPr>
        <w:spacing w:after="100"/>
      </w:pPr>
      <w:r>
        <w:t>The following values were produced by the read-only in-memory September build using current upload #21, current upload #20, and the current September Plumbing workbook roster.</w:t>
      </w:r>
    </w:p>
    <w:tbl>
      <w:tblPr>
        <w:tblStyle w:val="TableGrid"/>
        <w:tblW w:type="auto" w:w="0"/>
        <w:jc w:val="center"/>
        <w:tblLook w:firstColumn="1" w:firstRow="1" w:lastColumn="0" w:lastRow="0" w:noHBand="0" w:noVBand="1" w:val="04A0"/>
      </w:tblPr>
      <w:tblGrid>
        <w:gridCol w:w="5112"/>
        <w:gridCol w:w="5112"/>
      </w:tblGrid>
      <w:tr>
        <w:tc>
          <w:tcPr>
            <w:tcW w:type="dxa" w:w="5184"/>
            <w:vAlign w:val="center"/>
            <w:shd w:fill="123B5D"/>
          </w:tcPr>
          <w:p>
            <w:pPr>
              <w:spacing w:after="0"/>
            </w:pPr>
            <w:r/>
            <w:r>
              <w:rPr>
                <w:rFonts w:ascii="Aptos" w:hAnsi="Aptos" w:eastAsia="Aptos"/>
                <w:b/>
                <w:color w:val="FFFFFF"/>
                <w:sz w:val="17"/>
              </w:rPr>
              <w:t>Measure</w:t>
            </w:r>
          </w:p>
        </w:tc>
        <w:tc>
          <w:tcPr>
            <w:tcW w:type="dxa" w:w="2880"/>
            <w:vAlign w:val="center"/>
            <w:shd w:fill="123B5D"/>
          </w:tcPr>
          <w:p>
            <w:pPr>
              <w:spacing w:after="0"/>
            </w:pPr>
            <w:r/>
            <w:r>
              <w:rPr>
                <w:rFonts w:ascii="Aptos" w:hAnsi="Aptos" w:eastAsia="Aptos"/>
                <w:b/>
                <w:color w:val="FFFFFF"/>
                <w:sz w:val="17"/>
              </w:rPr>
              <w:t>Value</w:t>
            </w:r>
          </w:p>
        </w:tc>
      </w:tr>
      <w:tr>
        <w:tc>
          <w:tcPr>
            <w:tcW w:type="dxa" w:w="5184"/>
            <w:vAlign w:val="center"/>
            <w:shd w:fill="F1F6F9"/>
          </w:tcPr>
          <w:p>
            <w:pPr>
              <w:spacing w:after="0"/>
            </w:pPr>
            <w:r/>
            <w:r>
              <w:rPr>
                <w:rFonts w:ascii="Aptos" w:hAnsi="Aptos" w:eastAsia="Aptos"/>
                <w:b w:val="0"/>
                <w:sz w:val="17"/>
              </w:rPr>
              <w:t>Unclassified code identities</w:t>
            </w:r>
          </w:p>
        </w:tc>
        <w:tc>
          <w:tcPr>
            <w:tcW w:type="dxa" w:w="2880"/>
            <w:vAlign w:val="center"/>
            <w:shd w:fill="F1F6F9"/>
          </w:tcPr>
          <w:p>
            <w:pPr>
              <w:spacing w:after="0"/>
            </w:pPr>
            <w:r/>
            <w:r>
              <w:rPr>
                <w:rFonts w:ascii="Aptos" w:hAnsi="Aptos" w:eastAsia="Aptos"/>
                <w:b w:val="0"/>
                <w:sz w:val="17"/>
              </w:rPr>
              <w:t>248</w:t>
            </w:r>
          </w:p>
        </w:tc>
      </w:tr>
      <w:tr>
        <w:tc>
          <w:tcPr>
            <w:tcW w:type="dxa" w:w="5184"/>
            <w:vAlign w:val="center"/>
          </w:tcPr>
          <w:p>
            <w:pPr>
              <w:spacing w:after="0"/>
            </w:pPr>
            <w:r/>
            <w:r>
              <w:rPr>
                <w:rFonts w:ascii="Aptos" w:hAnsi="Aptos" w:eastAsia="Aptos"/>
                <w:b w:val="0"/>
                <w:sz w:val="17"/>
              </w:rPr>
              <w:t>Current pending</w:t>
            </w:r>
          </w:p>
        </w:tc>
        <w:tc>
          <w:tcPr>
            <w:tcW w:type="dxa" w:w="2880"/>
            <w:vAlign w:val="center"/>
          </w:tcPr>
          <w:p>
            <w:pPr>
              <w:spacing w:after="0"/>
            </w:pPr>
            <w:r/>
            <w:r>
              <w:rPr>
                <w:rFonts w:ascii="Aptos" w:hAnsi="Aptos" w:eastAsia="Aptos"/>
                <w:b w:val="0"/>
                <w:sz w:val="17"/>
              </w:rPr>
              <w:t>33,386</w:t>
            </w:r>
          </w:p>
        </w:tc>
      </w:tr>
      <w:tr>
        <w:tc>
          <w:tcPr>
            <w:tcW w:type="dxa" w:w="5184"/>
            <w:vAlign w:val="center"/>
            <w:shd w:fill="F1F6F9"/>
          </w:tcPr>
          <w:p>
            <w:pPr>
              <w:spacing w:after="0"/>
            </w:pPr>
            <w:r/>
            <w:r>
              <w:rPr>
                <w:rFonts w:ascii="Aptos" w:hAnsi="Aptos" w:eastAsia="Aptos"/>
                <w:b w:val="0"/>
                <w:sz w:val="17"/>
              </w:rPr>
              <w:t>Dummy / last-month pending</w:t>
            </w:r>
          </w:p>
        </w:tc>
        <w:tc>
          <w:tcPr>
            <w:tcW w:type="dxa" w:w="2880"/>
            <w:vAlign w:val="center"/>
            <w:shd w:fill="F1F6F9"/>
          </w:tcPr>
          <w:p>
            <w:pPr>
              <w:spacing w:after="0"/>
            </w:pPr>
            <w:r/>
            <w:r>
              <w:rPr>
                <w:rFonts w:ascii="Aptos" w:hAnsi="Aptos" w:eastAsia="Aptos"/>
                <w:b w:val="0"/>
                <w:sz w:val="17"/>
              </w:rPr>
              <w:t>7,591</w:t>
            </w:r>
          </w:p>
        </w:tc>
      </w:tr>
      <w:tr>
        <w:tc>
          <w:tcPr>
            <w:tcW w:type="dxa" w:w="5184"/>
            <w:vAlign w:val="center"/>
          </w:tcPr>
          <w:p>
            <w:pPr>
              <w:spacing w:after="0"/>
            </w:pPr>
            <w:r/>
            <w:r>
              <w:rPr>
                <w:rFonts w:ascii="Aptos" w:hAnsi="Aptos" w:eastAsia="Aptos"/>
                <w:b w:val="0"/>
                <w:sz w:val="17"/>
              </w:rPr>
              <w:t>Stock exposed on those identities</w:t>
            </w:r>
          </w:p>
        </w:tc>
        <w:tc>
          <w:tcPr>
            <w:tcW w:type="dxa" w:w="2880"/>
            <w:vAlign w:val="center"/>
          </w:tcPr>
          <w:p>
            <w:pPr>
              <w:spacing w:after="0"/>
            </w:pPr>
            <w:r/>
            <w:r>
              <w:rPr>
                <w:rFonts w:ascii="Aptos" w:hAnsi="Aptos" w:eastAsia="Aptos"/>
                <w:b w:val="0"/>
                <w:sz w:val="17"/>
              </w:rPr>
              <w:t>136,446</w:t>
            </w:r>
          </w:p>
        </w:tc>
      </w:tr>
      <w:tr>
        <w:tc>
          <w:tcPr>
            <w:tcW w:type="dxa" w:w="5184"/>
            <w:vAlign w:val="center"/>
            <w:shd w:fill="F1F6F9"/>
          </w:tcPr>
          <w:p>
            <w:pPr>
              <w:spacing w:after="0"/>
            </w:pPr>
            <w:r/>
            <w:r>
              <w:rPr>
                <w:rFonts w:ascii="Aptos" w:hAnsi="Aptos" w:eastAsia="Aptos"/>
                <w:b w:val="0"/>
                <w:sz w:val="17"/>
              </w:rPr>
              <w:t>Production</w:t>
            </w:r>
          </w:p>
        </w:tc>
        <w:tc>
          <w:tcPr>
            <w:tcW w:type="dxa" w:w="2880"/>
            <w:vAlign w:val="center"/>
            <w:shd w:fill="F1F6F9"/>
          </w:tcPr>
          <w:p>
            <w:pPr>
              <w:spacing w:after="0"/>
            </w:pPr>
            <w:r/>
            <w:r>
              <w:rPr>
                <w:rFonts w:ascii="Aptos" w:hAnsi="Aptos" w:eastAsia="Aptos"/>
                <w:b w:val="0"/>
                <w:sz w:val="17"/>
              </w:rPr>
              <w:t>30,569</w:t>
            </w:r>
          </w:p>
        </w:tc>
      </w:tr>
      <w:tr>
        <w:tc>
          <w:tcPr>
            <w:tcW w:type="dxa" w:w="5184"/>
            <w:vAlign w:val="center"/>
          </w:tcPr>
          <w:p>
            <w:pPr>
              <w:spacing w:after="0"/>
            </w:pPr>
            <w:r/>
            <w:r>
              <w:rPr>
                <w:rFonts w:ascii="Aptos" w:hAnsi="Aptos" w:eastAsia="Aptos"/>
                <w:b w:val="0"/>
                <w:sz w:val="17"/>
              </w:rPr>
              <w:t>Total plan demand</w:t>
            </w:r>
          </w:p>
        </w:tc>
        <w:tc>
          <w:tcPr>
            <w:tcW w:type="dxa" w:w="2880"/>
            <w:vAlign w:val="center"/>
          </w:tcPr>
          <w:p>
            <w:pPr>
              <w:spacing w:after="0"/>
            </w:pPr>
            <w:r/>
            <w:r>
              <w:rPr>
                <w:rFonts w:ascii="Aptos" w:hAnsi="Aptos" w:eastAsia="Aptos"/>
                <w:b w:val="0"/>
                <w:sz w:val="17"/>
              </w:rPr>
              <w:t>1,655,009.92</w:t>
            </w:r>
          </w:p>
        </w:tc>
      </w:tr>
      <w:tr>
        <w:tc>
          <w:tcPr>
            <w:tcW w:type="dxa" w:w="5184"/>
            <w:vAlign w:val="center"/>
            <w:shd w:fill="F1F6F9"/>
          </w:tcPr>
          <w:p>
            <w:pPr>
              <w:spacing w:after="0"/>
            </w:pPr>
            <w:r/>
            <w:r>
              <w:rPr>
                <w:rFonts w:ascii="Aptos" w:hAnsi="Aptos" w:eastAsia="Aptos"/>
                <w:b w:val="0"/>
                <w:sz w:val="17"/>
              </w:rPr>
              <w:t>Unclassified share of total demand</w:t>
            </w:r>
          </w:p>
        </w:tc>
        <w:tc>
          <w:tcPr>
            <w:tcW w:type="dxa" w:w="2880"/>
            <w:vAlign w:val="center"/>
            <w:shd w:fill="F1F6F9"/>
          </w:tcPr>
          <w:p>
            <w:pPr>
              <w:spacing w:after="0"/>
            </w:pPr>
            <w:r/>
            <w:r>
              <w:rPr>
                <w:rFonts w:ascii="Aptos" w:hAnsi="Aptos" w:eastAsia="Aptos"/>
                <w:b w:val="0"/>
                <w:sz w:val="17"/>
              </w:rPr>
              <w:t>1.847%</w:t>
            </w:r>
          </w:p>
        </w:tc>
      </w:tr>
    </w:tbl>
    <w:p>
      <w:pPr>
        <w:spacing w:after="20"/>
      </w:pPr>
    </w:p>
    <w:p>
      <w:pPr>
        <w:spacing w:after="100"/>
      </w:pPr>
      <w:r>
        <w:t>“Dummy” is the existing planning meaning of pendingOrderLastMonth, not a separate stock source.</w:t>
      </w:r>
    </w:p>
    <w:p>
      <w:pPr>
        <w:spacing w:after="100"/>
      </w:pPr>
      <w:r>
        <w:t>Unclassified production is lower than pending plus dummy because Unclassified items are demand-only and net positive stock at the individual item level:</w:t>
      </w:r>
    </w:p>
    <w:p>
      <w:pPr>
        <w:spacing w:after="100"/>
      </w:pPr>
      <w:r>
        <w:t>Unclassified production = max(current pending + last-month pending − stock, 0)</w:t>
      </w:r>
    </w:p>
    <w:p>
      <w:pPr>
        <w:spacing w:after="100"/>
      </w:pPr>
      <w:r>
        <w:t>The builder confirms that these rows are itemised under Unclassified and are not silently dropped.</w:t>
      </w:r>
    </w:p>
    <w:p>
      <w:pPr>
        <w:pStyle w:val="Heading2"/>
      </w:pPr>
      <w:r>
        <w:t>Comparison with the separate “64 already with Prayag” list</w:t>
      </w:r>
    </w:p>
    <w:p>
      <w:pPr>
        <w:spacing w:after="100"/>
      </w:pPr>
      <w:r>
        <w:t>The current pending diagnostics contain 64 unmatched rows and 64 unmatched code identities. However, the current codebase does not contain an independent authoritative list labelled “the 64 already with Prayag” that can be compared to this Plumbing set.</w:t>
      </w:r>
    </w:p>
    <w:p>
      <w:pPr>
        <w:spacing w:after="100"/>
      </w:pPr>
      <w:r>
        <w:t>The documented separate 64-code figure belongs to the PTMT Cocks Standard review and is not a Plumbing catalogue. Therefore, the defensible read-only result is:</w:t>
      </w:r>
    </w:p>
    <w:tbl>
      <w:tblPr>
        <w:tblStyle w:val="TableGrid"/>
        <w:tblW w:type="auto" w:w="0"/>
        <w:jc w:val="center"/>
        <w:tblLook w:firstColumn="1" w:firstRow="1" w:lastColumn="0" w:lastRow="0" w:noHBand="0" w:noVBand="1" w:val="04A0"/>
      </w:tblPr>
      <w:tblGrid>
        <w:gridCol w:w="5112"/>
        <w:gridCol w:w="5112"/>
      </w:tblGrid>
      <w:tr>
        <w:tc>
          <w:tcPr>
            <w:tcW w:type="dxa" w:w="5184"/>
            <w:vAlign w:val="center"/>
            <w:shd w:fill="123B5D"/>
          </w:tcPr>
          <w:p>
            <w:pPr>
              <w:spacing w:after="0"/>
            </w:pPr>
            <w:r/>
            <w:r>
              <w:rPr>
                <w:rFonts w:ascii="Aptos" w:hAnsi="Aptos" w:eastAsia="Aptos"/>
                <w:b/>
                <w:color w:val="FFFFFF"/>
                <w:sz w:val="17"/>
              </w:rPr>
              <w:t>Comparison requested</w:t>
            </w:r>
          </w:p>
        </w:tc>
        <w:tc>
          <w:tcPr>
            <w:tcW w:type="dxa" w:w="2880"/>
            <w:vAlign w:val="center"/>
            <w:shd w:fill="123B5D"/>
          </w:tcPr>
          <w:p>
            <w:pPr>
              <w:spacing w:after="0"/>
            </w:pPr>
            <w:r/>
            <w:r>
              <w:rPr>
                <w:rFonts w:ascii="Aptos" w:hAnsi="Aptos" w:eastAsia="Aptos"/>
                <w:b/>
                <w:color w:val="FFFFFF"/>
                <w:sz w:val="17"/>
              </w:rPr>
              <w:t>Read-only result</w:t>
            </w:r>
          </w:p>
        </w:tc>
      </w:tr>
      <w:tr>
        <w:tc>
          <w:tcPr>
            <w:tcW w:type="dxa" w:w="5184"/>
            <w:vAlign w:val="center"/>
            <w:shd w:fill="F1F6F9"/>
          </w:tcPr>
          <w:p>
            <w:pPr>
              <w:spacing w:after="0"/>
            </w:pPr>
            <w:r/>
            <w:r>
              <w:rPr>
                <w:rFonts w:ascii="Aptos" w:hAnsi="Aptos" w:eastAsia="Aptos"/>
                <w:b w:val="0"/>
                <w:sz w:val="17"/>
              </w:rPr>
              <w:t>Current Plumbing unmatched set</w:t>
            </w:r>
          </w:p>
        </w:tc>
        <w:tc>
          <w:tcPr>
            <w:tcW w:type="dxa" w:w="2880"/>
            <w:vAlign w:val="center"/>
            <w:shd w:fill="F1F6F9"/>
          </w:tcPr>
          <w:p>
            <w:pPr>
              <w:spacing w:after="0"/>
            </w:pPr>
            <w:r/>
            <w:r>
              <w:rPr>
                <w:rFonts w:ascii="Aptos" w:hAnsi="Aptos" w:eastAsia="Aptos"/>
                <w:b w:val="0"/>
                <w:sz w:val="17"/>
              </w:rPr>
              <w:t>64 code identities</w:t>
            </w:r>
          </w:p>
        </w:tc>
      </w:tr>
      <w:tr>
        <w:tc>
          <w:tcPr>
            <w:tcW w:type="dxa" w:w="5184"/>
            <w:vAlign w:val="center"/>
          </w:tcPr>
          <w:p>
            <w:pPr>
              <w:spacing w:after="0"/>
            </w:pPr>
            <w:r/>
            <w:r>
              <w:rPr>
                <w:rFonts w:ascii="Aptos" w:hAnsi="Aptos" w:eastAsia="Aptos"/>
                <w:b w:val="0"/>
                <w:sz w:val="17"/>
              </w:rPr>
              <w:t>Verified overlap with a separate “known Prayag 64” list</w:t>
            </w:r>
          </w:p>
        </w:tc>
        <w:tc>
          <w:tcPr>
            <w:tcW w:type="dxa" w:w="2880"/>
            <w:vAlign w:val="center"/>
          </w:tcPr>
          <w:p>
            <w:pPr>
              <w:spacing w:after="0"/>
            </w:pPr>
            <w:r/>
            <w:r>
              <w:rPr>
                <w:rFonts w:ascii="Aptos" w:hAnsi="Aptos" w:eastAsia="Aptos"/>
                <w:b w:val="0"/>
                <w:sz w:val="17"/>
              </w:rPr>
              <w:t>Not determinable from available evidence</w:t>
            </w:r>
          </w:p>
        </w:tc>
      </w:tr>
      <w:tr>
        <w:tc>
          <w:tcPr>
            <w:tcW w:type="dxa" w:w="5184"/>
            <w:vAlign w:val="center"/>
            <w:shd w:fill="F1F6F9"/>
          </w:tcPr>
          <w:p>
            <w:pPr>
              <w:spacing w:after="0"/>
            </w:pPr>
            <w:r/>
            <w:r>
              <w:rPr>
                <w:rFonts w:ascii="Aptos" w:hAnsi="Aptos" w:eastAsia="Aptos"/>
                <w:b w:val="0"/>
                <w:sz w:val="17"/>
              </w:rPr>
              <w:t>New-code count</w:t>
            </w:r>
          </w:p>
        </w:tc>
        <w:tc>
          <w:tcPr>
            <w:tcW w:type="dxa" w:w="2880"/>
            <w:vAlign w:val="center"/>
            <w:shd w:fill="F1F6F9"/>
          </w:tcPr>
          <w:p>
            <w:pPr>
              <w:spacing w:after="0"/>
            </w:pPr>
            <w:r/>
            <w:r>
              <w:rPr>
                <w:rFonts w:ascii="Aptos" w:hAnsi="Aptos" w:eastAsia="Aptos"/>
                <w:b w:val="0"/>
                <w:sz w:val="17"/>
              </w:rPr>
              <w:t>Not determinable without that separate list</w:t>
            </w:r>
          </w:p>
        </w:tc>
      </w:tr>
    </w:tbl>
    <w:p>
      <w:pPr>
        <w:spacing w:after="20"/>
      </w:pPr>
    </w:p>
    <w:p>
      <w:pPr>
        <w:pStyle w:val="Heading1"/>
      </w:pPr>
      <w:r>
        <w:t>RU.0.3 — Other source roles</w:t>
      </w:r>
    </w:p>
    <w:p>
      <w:pPr>
        <w:pStyle w:val="Heading2"/>
      </w:pPr>
      <w:r>
        <w:t>Current pending — upload #21</w:t>
      </w:r>
    </w:p>
    <w:tbl>
      <w:tblPr>
        <w:tblStyle w:val="TableGrid"/>
        <w:tblW w:type="auto" w:w="0"/>
        <w:jc w:val="center"/>
        <w:tblLook w:firstColumn="1" w:firstRow="1" w:lastColumn="0" w:lastRow="0" w:noHBand="0" w:noVBand="1" w:val="04A0"/>
      </w:tblPr>
      <w:tblGrid>
        <w:gridCol w:w="5112"/>
        <w:gridCol w:w="5112"/>
      </w:tblGrid>
      <w:tr>
        <w:tc>
          <w:tcPr>
            <w:tcW w:type="dxa" w:w="5184"/>
            <w:vAlign w:val="center"/>
            <w:shd w:fill="123B5D"/>
          </w:tcPr>
          <w:p>
            <w:pPr>
              <w:spacing w:after="0"/>
            </w:pPr>
            <w:r/>
            <w:r>
              <w:rPr>
                <w:rFonts w:ascii="Aptos" w:hAnsi="Aptos" w:eastAsia="Aptos"/>
                <w:b/>
                <w:color w:val="FFFFFF"/>
                <w:sz w:val="17"/>
              </w:rPr>
              <w:t>Measure</w:t>
            </w:r>
          </w:p>
        </w:tc>
        <w:tc>
          <w:tcPr>
            <w:tcW w:type="dxa" w:w="2880"/>
            <w:vAlign w:val="center"/>
            <w:shd w:fill="123B5D"/>
          </w:tcPr>
          <w:p>
            <w:pPr>
              <w:spacing w:after="0"/>
            </w:pPr>
            <w:r/>
            <w:r>
              <w:rPr>
                <w:rFonts w:ascii="Aptos" w:hAnsi="Aptos" w:eastAsia="Aptos"/>
                <w:b/>
                <w:color w:val="FFFFFF"/>
                <w:sz w:val="17"/>
              </w:rPr>
              <w:t>Value</w:t>
            </w:r>
          </w:p>
        </w:tc>
      </w:tr>
      <w:tr>
        <w:tc>
          <w:tcPr>
            <w:tcW w:type="dxa" w:w="5184"/>
            <w:vAlign w:val="center"/>
            <w:shd w:fill="F1F6F9"/>
          </w:tcPr>
          <w:p>
            <w:pPr>
              <w:spacing w:after="0"/>
            </w:pPr>
            <w:r/>
            <w:r>
              <w:rPr>
                <w:rFonts w:ascii="Aptos" w:hAnsi="Aptos" w:eastAsia="Aptos"/>
                <w:b w:val="0"/>
                <w:sz w:val="17"/>
              </w:rPr>
              <w:t>Source rows</w:t>
            </w:r>
          </w:p>
        </w:tc>
        <w:tc>
          <w:tcPr>
            <w:tcW w:type="dxa" w:w="2880"/>
            <w:vAlign w:val="center"/>
            <w:shd w:fill="F1F6F9"/>
          </w:tcPr>
          <w:p>
            <w:pPr>
              <w:spacing w:after="0"/>
            </w:pPr>
            <w:r/>
            <w:r>
              <w:rPr>
                <w:rFonts w:ascii="Aptos" w:hAnsi="Aptos" w:eastAsia="Aptos"/>
                <w:b w:val="0"/>
                <w:sz w:val="17"/>
              </w:rPr>
              <w:t>185</w:t>
            </w:r>
          </w:p>
        </w:tc>
      </w:tr>
      <w:tr>
        <w:tc>
          <w:tcPr>
            <w:tcW w:type="dxa" w:w="5184"/>
            <w:vAlign w:val="center"/>
          </w:tcPr>
          <w:p>
            <w:pPr>
              <w:spacing w:after="0"/>
            </w:pPr>
            <w:r/>
            <w:r>
              <w:rPr>
                <w:rFonts w:ascii="Aptos" w:hAnsi="Aptos" w:eastAsia="Aptos"/>
                <w:b w:val="0"/>
                <w:sz w:val="17"/>
              </w:rPr>
              <w:t>Source quantity</w:t>
            </w:r>
          </w:p>
        </w:tc>
        <w:tc>
          <w:tcPr>
            <w:tcW w:type="dxa" w:w="2880"/>
            <w:vAlign w:val="center"/>
          </w:tcPr>
          <w:p>
            <w:pPr>
              <w:spacing w:after="0"/>
            </w:pPr>
            <w:r/>
            <w:r>
              <w:rPr>
                <w:rFonts w:ascii="Aptos" w:hAnsi="Aptos" w:eastAsia="Aptos"/>
                <w:b w:val="0"/>
                <w:sz w:val="17"/>
              </w:rPr>
              <w:t>70,180</w:t>
            </w:r>
          </w:p>
        </w:tc>
      </w:tr>
      <w:tr>
        <w:tc>
          <w:tcPr>
            <w:tcW w:type="dxa" w:w="5184"/>
            <w:vAlign w:val="center"/>
            <w:shd w:fill="F1F6F9"/>
          </w:tcPr>
          <w:p>
            <w:pPr>
              <w:spacing w:after="0"/>
            </w:pPr>
            <w:r/>
            <w:r>
              <w:rPr>
                <w:rFonts w:ascii="Aptos" w:hAnsi="Aptos" w:eastAsia="Aptos"/>
                <w:b w:val="0"/>
                <w:sz w:val="17"/>
              </w:rPr>
              <w:t>Joined quantity</w:t>
            </w:r>
          </w:p>
        </w:tc>
        <w:tc>
          <w:tcPr>
            <w:tcW w:type="dxa" w:w="2880"/>
            <w:vAlign w:val="center"/>
            <w:shd w:fill="F1F6F9"/>
          </w:tcPr>
          <w:p>
            <w:pPr>
              <w:spacing w:after="0"/>
            </w:pPr>
            <w:r/>
            <w:r>
              <w:rPr>
                <w:rFonts w:ascii="Aptos" w:hAnsi="Aptos" w:eastAsia="Aptos"/>
                <w:b w:val="0"/>
                <w:sz w:val="17"/>
              </w:rPr>
              <w:t>36,794</w:t>
            </w:r>
          </w:p>
        </w:tc>
      </w:tr>
      <w:tr>
        <w:tc>
          <w:tcPr>
            <w:tcW w:type="dxa" w:w="5184"/>
            <w:vAlign w:val="center"/>
          </w:tcPr>
          <w:p>
            <w:pPr>
              <w:spacing w:after="0"/>
            </w:pPr>
            <w:r/>
            <w:r>
              <w:rPr>
                <w:rFonts w:ascii="Aptos" w:hAnsi="Aptos" w:eastAsia="Aptos"/>
                <w:b w:val="0"/>
                <w:sz w:val="17"/>
              </w:rPr>
              <w:t>Unmatched quantity</w:t>
            </w:r>
          </w:p>
        </w:tc>
        <w:tc>
          <w:tcPr>
            <w:tcW w:type="dxa" w:w="2880"/>
            <w:vAlign w:val="center"/>
          </w:tcPr>
          <w:p>
            <w:pPr>
              <w:spacing w:after="0"/>
            </w:pPr>
            <w:r/>
            <w:r>
              <w:rPr>
                <w:rFonts w:ascii="Aptos" w:hAnsi="Aptos" w:eastAsia="Aptos"/>
                <w:b w:val="0"/>
                <w:sz w:val="17"/>
              </w:rPr>
              <w:t>33,386</w:t>
            </w:r>
          </w:p>
        </w:tc>
      </w:tr>
      <w:tr>
        <w:tc>
          <w:tcPr>
            <w:tcW w:type="dxa" w:w="5184"/>
            <w:vAlign w:val="center"/>
            <w:shd w:fill="F1F6F9"/>
          </w:tcPr>
          <w:p>
            <w:pPr>
              <w:spacing w:after="0"/>
            </w:pPr>
            <w:r/>
            <w:r>
              <w:rPr>
                <w:rFonts w:ascii="Aptos" w:hAnsi="Aptos" w:eastAsia="Aptos"/>
                <w:b w:val="0"/>
                <w:sz w:val="17"/>
              </w:rPr>
              <w:t>Unmatched codes</w:t>
            </w:r>
          </w:p>
        </w:tc>
        <w:tc>
          <w:tcPr>
            <w:tcW w:type="dxa" w:w="2880"/>
            <w:vAlign w:val="center"/>
            <w:shd w:fill="F1F6F9"/>
          </w:tcPr>
          <w:p>
            <w:pPr>
              <w:spacing w:after="0"/>
            </w:pPr>
            <w:r/>
            <w:r>
              <w:rPr>
                <w:rFonts w:ascii="Aptos" w:hAnsi="Aptos" w:eastAsia="Aptos"/>
                <w:b w:val="0"/>
                <w:sz w:val="17"/>
              </w:rPr>
              <w:t>64</w:t>
            </w:r>
          </w:p>
        </w:tc>
      </w:tr>
      <w:tr>
        <w:tc>
          <w:tcPr>
            <w:tcW w:type="dxa" w:w="5184"/>
            <w:vAlign w:val="center"/>
          </w:tcPr>
          <w:p>
            <w:pPr>
              <w:spacing w:after="0"/>
            </w:pPr>
            <w:r/>
            <w:r>
              <w:rPr>
                <w:rFonts w:ascii="Aptos" w:hAnsi="Aptos" w:eastAsia="Aptos"/>
                <w:b w:val="0"/>
                <w:sz w:val="17"/>
              </w:rPr>
              <w:t>Resolution loss</w:t>
            </w:r>
          </w:p>
        </w:tc>
        <w:tc>
          <w:tcPr>
            <w:tcW w:type="dxa" w:w="2880"/>
            <w:vAlign w:val="center"/>
          </w:tcPr>
          <w:p>
            <w:pPr>
              <w:spacing w:after="0"/>
            </w:pPr>
            <w:r/>
            <w:r>
              <w:rPr>
                <w:rFonts w:ascii="Aptos" w:hAnsi="Aptos" w:eastAsia="Aptos"/>
                <w:b w:val="0"/>
                <w:sz w:val="17"/>
              </w:rPr>
              <w:t>0</w:t>
            </w:r>
          </w:p>
        </w:tc>
      </w:tr>
      <w:tr>
        <w:tc>
          <w:tcPr>
            <w:tcW w:type="dxa" w:w="5184"/>
            <w:vAlign w:val="center"/>
            <w:shd w:fill="F1F6F9"/>
          </w:tcPr>
          <w:p>
            <w:pPr>
              <w:spacing w:after="0"/>
            </w:pPr>
            <w:r/>
            <w:r>
              <w:rPr>
                <w:rFonts w:ascii="Aptos" w:hAnsi="Aptos" w:eastAsia="Aptos"/>
                <w:b w:val="0"/>
                <w:sz w:val="17"/>
              </w:rPr>
              <w:t>Unexplained residual</w:t>
            </w:r>
          </w:p>
        </w:tc>
        <w:tc>
          <w:tcPr>
            <w:tcW w:type="dxa" w:w="2880"/>
            <w:vAlign w:val="center"/>
            <w:shd w:fill="F1F6F9"/>
          </w:tcPr>
          <w:p>
            <w:pPr>
              <w:spacing w:after="0"/>
            </w:pPr>
            <w:r/>
            <w:r>
              <w:rPr>
                <w:rFonts w:ascii="Aptos" w:hAnsi="Aptos" w:eastAsia="Aptos"/>
                <w:b w:val="0"/>
                <w:sz w:val="17"/>
              </w:rPr>
              <w:t>0</w:t>
            </w:r>
          </w:p>
        </w:tc>
      </w:tr>
      <w:tr>
        <w:tc>
          <w:tcPr>
            <w:tcW w:type="dxa" w:w="5184"/>
            <w:vAlign w:val="center"/>
          </w:tcPr>
          <w:p>
            <w:pPr>
              <w:spacing w:after="0"/>
            </w:pPr>
            <w:r/>
            <w:r>
              <w:rPr>
                <w:rFonts w:ascii="Aptos" w:hAnsi="Aptos" w:eastAsia="Aptos"/>
                <w:b w:val="0"/>
                <w:sz w:val="17"/>
              </w:rPr>
              <w:t>Fingerprint</w:t>
            </w:r>
          </w:p>
        </w:tc>
        <w:tc>
          <w:tcPr>
            <w:tcW w:type="dxa" w:w="2880"/>
            <w:vAlign w:val="center"/>
          </w:tcPr>
          <w:p>
            <w:pPr>
              <w:spacing w:after="0"/>
            </w:pPr>
            <w:r/>
            <w:r>
              <w:rPr>
                <w:rFonts w:ascii="Aptos" w:hAnsi="Aptos" w:eastAsia="Aptos"/>
                <w:b w:val="0"/>
                <w:sz w:val="17"/>
              </w:rPr>
              <w:t>8faa2fbd6a8b9d329fdf859b01c0a30ed3e09ceef507565bac0c2430a6a15f12</w:t>
            </w:r>
          </w:p>
        </w:tc>
      </w:tr>
    </w:tbl>
    <w:p>
      <w:pPr>
        <w:spacing w:after="20"/>
      </w:pPr>
    </w:p>
    <w:p>
      <w:pPr>
        <w:pStyle w:val="Heading2"/>
      </w:pPr>
      <w:r>
        <w:t>Last-month pending — upload #20</w:t>
      </w:r>
    </w:p>
    <w:tbl>
      <w:tblPr>
        <w:tblStyle w:val="TableGrid"/>
        <w:tblW w:type="auto" w:w="0"/>
        <w:jc w:val="center"/>
        <w:tblLook w:firstColumn="1" w:firstRow="1" w:lastColumn="0" w:lastRow="0" w:noHBand="0" w:noVBand="1" w:val="04A0"/>
      </w:tblPr>
      <w:tblGrid>
        <w:gridCol w:w="5112"/>
        <w:gridCol w:w="5112"/>
      </w:tblGrid>
      <w:tr>
        <w:tc>
          <w:tcPr>
            <w:tcW w:type="dxa" w:w="5184"/>
            <w:vAlign w:val="center"/>
            <w:shd w:fill="123B5D"/>
          </w:tcPr>
          <w:p>
            <w:pPr>
              <w:spacing w:after="0"/>
            </w:pPr>
            <w:r/>
            <w:r>
              <w:rPr>
                <w:rFonts w:ascii="Aptos" w:hAnsi="Aptos" w:eastAsia="Aptos"/>
                <w:b/>
                <w:color w:val="FFFFFF"/>
                <w:sz w:val="17"/>
              </w:rPr>
              <w:t>Measure</w:t>
            </w:r>
          </w:p>
        </w:tc>
        <w:tc>
          <w:tcPr>
            <w:tcW w:type="dxa" w:w="2880"/>
            <w:vAlign w:val="center"/>
            <w:shd w:fill="123B5D"/>
          </w:tcPr>
          <w:p>
            <w:pPr>
              <w:spacing w:after="0"/>
            </w:pPr>
            <w:r/>
            <w:r>
              <w:rPr>
                <w:rFonts w:ascii="Aptos" w:hAnsi="Aptos" w:eastAsia="Aptos"/>
                <w:b/>
                <w:color w:val="FFFFFF"/>
                <w:sz w:val="17"/>
              </w:rPr>
              <w:t>Value</w:t>
            </w:r>
          </w:p>
        </w:tc>
      </w:tr>
      <w:tr>
        <w:tc>
          <w:tcPr>
            <w:tcW w:type="dxa" w:w="5184"/>
            <w:vAlign w:val="center"/>
            <w:shd w:fill="F1F6F9"/>
          </w:tcPr>
          <w:p>
            <w:pPr>
              <w:spacing w:after="0"/>
            </w:pPr>
            <w:r/>
            <w:r>
              <w:rPr>
                <w:rFonts w:ascii="Aptos" w:hAnsi="Aptos" w:eastAsia="Aptos"/>
                <w:b w:val="0"/>
                <w:sz w:val="17"/>
              </w:rPr>
              <w:t>Source rows</w:t>
            </w:r>
          </w:p>
        </w:tc>
        <w:tc>
          <w:tcPr>
            <w:tcW w:type="dxa" w:w="2880"/>
            <w:vAlign w:val="center"/>
            <w:shd w:fill="F1F6F9"/>
          </w:tcPr>
          <w:p>
            <w:pPr>
              <w:spacing w:after="0"/>
            </w:pPr>
            <w:r/>
            <w:r>
              <w:rPr>
                <w:rFonts w:ascii="Aptos" w:hAnsi="Aptos" w:eastAsia="Aptos"/>
                <w:b w:val="0"/>
                <w:sz w:val="17"/>
              </w:rPr>
              <w:t>214</w:t>
            </w:r>
          </w:p>
        </w:tc>
      </w:tr>
      <w:tr>
        <w:tc>
          <w:tcPr>
            <w:tcW w:type="dxa" w:w="5184"/>
            <w:vAlign w:val="center"/>
          </w:tcPr>
          <w:p>
            <w:pPr>
              <w:spacing w:after="0"/>
            </w:pPr>
            <w:r/>
            <w:r>
              <w:rPr>
                <w:rFonts w:ascii="Aptos" w:hAnsi="Aptos" w:eastAsia="Aptos"/>
                <w:b w:val="0"/>
                <w:sz w:val="17"/>
              </w:rPr>
              <w:t>Source quantity</w:t>
            </w:r>
          </w:p>
        </w:tc>
        <w:tc>
          <w:tcPr>
            <w:tcW w:type="dxa" w:w="2880"/>
            <w:vAlign w:val="center"/>
          </w:tcPr>
          <w:p>
            <w:pPr>
              <w:spacing w:after="0"/>
            </w:pPr>
            <w:r/>
            <w:r>
              <w:rPr>
                <w:rFonts w:ascii="Aptos" w:hAnsi="Aptos" w:eastAsia="Aptos"/>
                <w:b w:val="0"/>
                <w:sz w:val="17"/>
              </w:rPr>
              <w:t>232,214</w:t>
            </w:r>
          </w:p>
        </w:tc>
      </w:tr>
      <w:tr>
        <w:tc>
          <w:tcPr>
            <w:tcW w:type="dxa" w:w="5184"/>
            <w:vAlign w:val="center"/>
            <w:shd w:fill="F1F6F9"/>
          </w:tcPr>
          <w:p>
            <w:pPr>
              <w:spacing w:after="0"/>
            </w:pPr>
            <w:r/>
            <w:r>
              <w:rPr>
                <w:rFonts w:ascii="Aptos" w:hAnsi="Aptos" w:eastAsia="Aptos"/>
                <w:b w:val="0"/>
                <w:sz w:val="17"/>
              </w:rPr>
              <w:t>Joined quantity</w:t>
            </w:r>
          </w:p>
        </w:tc>
        <w:tc>
          <w:tcPr>
            <w:tcW w:type="dxa" w:w="2880"/>
            <w:vAlign w:val="center"/>
            <w:shd w:fill="F1F6F9"/>
          </w:tcPr>
          <w:p>
            <w:pPr>
              <w:spacing w:after="0"/>
            </w:pPr>
            <w:r/>
            <w:r>
              <w:rPr>
                <w:rFonts w:ascii="Aptos" w:hAnsi="Aptos" w:eastAsia="Aptos"/>
                <w:b w:val="0"/>
                <w:sz w:val="17"/>
              </w:rPr>
              <w:t>224,623</w:t>
            </w:r>
          </w:p>
        </w:tc>
      </w:tr>
      <w:tr>
        <w:tc>
          <w:tcPr>
            <w:tcW w:type="dxa" w:w="5184"/>
            <w:vAlign w:val="center"/>
          </w:tcPr>
          <w:p>
            <w:pPr>
              <w:spacing w:after="0"/>
            </w:pPr>
            <w:r/>
            <w:r>
              <w:rPr>
                <w:rFonts w:ascii="Aptos" w:hAnsi="Aptos" w:eastAsia="Aptos"/>
                <w:b w:val="0"/>
                <w:sz w:val="17"/>
              </w:rPr>
              <w:t>Unmatched quantity</w:t>
            </w:r>
          </w:p>
        </w:tc>
        <w:tc>
          <w:tcPr>
            <w:tcW w:type="dxa" w:w="2880"/>
            <w:vAlign w:val="center"/>
          </w:tcPr>
          <w:p>
            <w:pPr>
              <w:spacing w:after="0"/>
            </w:pPr>
            <w:r/>
            <w:r>
              <w:rPr>
                <w:rFonts w:ascii="Aptos" w:hAnsi="Aptos" w:eastAsia="Aptos"/>
                <w:b w:val="0"/>
                <w:sz w:val="17"/>
              </w:rPr>
              <w:t>7,591</w:t>
            </w:r>
          </w:p>
        </w:tc>
      </w:tr>
      <w:tr>
        <w:tc>
          <w:tcPr>
            <w:tcW w:type="dxa" w:w="5184"/>
            <w:vAlign w:val="center"/>
            <w:shd w:fill="F1F6F9"/>
          </w:tcPr>
          <w:p>
            <w:pPr>
              <w:spacing w:after="0"/>
            </w:pPr>
            <w:r/>
            <w:r>
              <w:rPr>
                <w:rFonts w:ascii="Aptos" w:hAnsi="Aptos" w:eastAsia="Aptos"/>
                <w:b w:val="0"/>
                <w:sz w:val="17"/>
              </w:rPr>
              <w:t>Unmatched codes</w:t>
            </w:r>
          </w:p>
        </w:tc>
        <w:tc>
          <w:tcPr>
            <w:tcW w:type="dxa" w:w="2880"/>
            <w:vAlign w:val="center"/>
            <w:shd w:fill="F1F6F9"/>
          </w:tcPr>
          <w:p>
            <w:pPr>
              <w:spacing w:after="0"/>
            </w:pPr>
            <w:r/>
            <w:r>
              <w:rPr>
                <w:rFonts w:ascii="Aptos" w:hAnsi="Aptos" w:eastAsia="Aptos"/>
                <w:b w:val="0"/>
                <w:sz w:val="17"/>
              </w:rPr>
              <w:t>30</w:t>
            </w:r>
          </w:p>
        </w:tc>
      </w:tr>
      <w:tr>
        <w:tc>
          <w:tcPr>
            <w:tcW w:type="dxa" w:w="5184"/>
            <w:vAlign w:val="center"/>
          </w:tcPr>
          <w:p>
            <w:pPr>
              <w:spacing w:after="0"/>
            </w:pPr>
            <w:r/>
            <w:r>
              <w:rPr>
                <w:rFonts w:ascii="Aptos" w:hAnsi="Aptos" w:eastAsia="Aptos"/>
                <w:b w:val="0"/>
                <w:sz w:val="17"/>
              </w:rPr>
              <w:t>Resolution loss</w:t>
            </w:r>
          </w:p>
        </w:tc>
        <w:tc>
          <w:tcPr>
            <w:tcW w:type="dxa" w:w="2880"/>
            <w:vAlign w:val="center"/>
          </w:tcPr>
          <w:p>
            <w:pPr>
              <w:spacing w:after="0"/>
            </w:pPr>
            <w:r/>
            <w:r>
              <w:rPr>
                <w:rFonts w:ascii="Aptos" w:hAnsi="Aptos" w:eastAsia="Aptos"/>
                <w:b w:val="0"/>
                <w:sz w:val="17"/>
              </w:rPr>
              <w:t>0</w:t>
            </w:r>
          </w:p>
        </w:tc>
      </w:tr>
      <w:tr>
        <w:tc>
          <w:tcPr>
            <w:tcW w:type="dxa" w:w="5184"/>
            <w:vAlign w:val="center"/>
            <w:shd w:fill="F1F6F9"/>
          </w:tcPr>
          <w:p>
            <w:pPr>
              <w:spacing w:after="0"/>
            </w:pPr>
            <w:r/>
            <w:r>
              <w:rPr>
                <w:rFonts w:ascii="Aptos" w:hAnsi="Aptos" w:eastAsia="Aptos"/>
                <w:b w:val="0"/>
                <w:sz w:val="17"/>
              </w:rPr>
              <w:t>Unexplained residual</w:t>
            </w:r>
          </w:p>
        </w:tc>
        <w:tc>
          <w:tcPr>
            <w:tcW w:type="dxa" w:w="2880"/>
            <w:vAlign w:val="center"/>
            <w:shd w:fill="F1F6F9"/>
          </w:tcPr>
          <w:p>
            <w:pPr>
              <w:spacing w:after="0"/>
            </w:pPr>
            <w:r/>
            <w:r>
              <w:rPr>
                <w:rFonts w:ascii="Aptos" w:hAnsi="Aptos" w:eastAsia="Aptos"/>
                <w:b w:val="0"/>
                <w:sz w:val="17"/>
              </w:rPr>
              <w:t>0</w:t>
            </w:r>
          </w:p>
        </w:tc>
      </w:tr>
      <w:tr>
        <w:tc>
          <w:tcPr>
            <w:tcW w:type="dxa" w:w="5184"/>
            <w:vAlign w:val="center"/>
          </w:tcPr>
          <w:p>
            <w:pPr>
              <w:spacing w:after="0"/>
            </w:pPr>
            <w:r/>
            <w:r>
              <w:rPr>
                <w:rFonts w:ascii="Aptos" w:hAnsi="Aptos" w:eastAsia="Aptos"/>
                <w:b w:val="0"/>
                <w:sz w:val="17"/>
              </w:rPr>
              <w:t>Fingerprint</w:t>
            </w:r>
          </w:p>
        </w:tc>
        <w:tc>
          <w:tcPr>
            <w:tcW w:type="dxa" w:w="2880"/>
            <w:vAlign w:val="center"/>
          </w:tcPr>
          <w:p>
            <w:pPr>
              <w:spacing w:after="0"/>
            </w:pPr>
            <w:r/>
            <w:r>
              <w:rPr>
                <w:rFonts w:ascii="Aptos" w:hAnsi="Aptos" w:eastAsia="Aptos"/>
                <w:b w:val="0"/>
                <w:sz w:val="17"/>
              </w:rPr>
              <w:t>b4fbd0d7820d37701728b231a7ec6b3b798279c727afcf1dcddcda4ae3bff714</w:t>
            </w:r>
          </w:p>
        </w:tc>
      </w:tr>
    </w:tbl>
    <w:p>
      <w:pPr>
        <w:spacing w:after="20"/>
      </w:pPr>
    </w:p>
    <w:p>
      <w:pPr>
        <w:pStyle w:val="Heading2"/>
      </w:pPr>
      <w:r>
        <w:t>Stock — upload #20</w:t>
      </w:r>
    </w:p>
    <w:tbl>
      <w:tblPr>
        <w:tblStyle w:val="TableGrid"/>
        <w:tblW w:type="auto" w:w="0"/>
        <w:jc w:val="center"/>
        <w:tblLook w:firstColumn="1" w:firstRow="1" w:lastColumn="0" w:lastRow="0" w:noHBand="0" w:noVBand="1" w:val="04A0"/>
      </w:tblPr>
      <w:tblGrid>
        <w:gridCol w:w="5112"/>
        <w:gridCol w:w="5112"/>
      </w:tblGrid>
      <w:tr>
        <w:tc>
          <w:tcPr>
            <w:tcW w:type="dxa" w:w="5184"/>
            <w:vAlign w:val="center"/>
            <w:shd w:fill="123B5D"/>
          </w:tcPr>
          <w:p>
            <w:pPr>
              <w:spacing w:after="0"/>
            </w:pPr>
            <w:r/>
            <w:r>
              <w:rPr>
                <w:rFonts w:ascii="Aptos" w:hAnsi="Aptos" w:eastAsia="Aptos"/>
                <w:b/>
                <w:color w:val="FFFFFF"/>
                <w:sz w:val="17"/>
              </w:rPr>
              <w:t>Measure</w:t>
            </w:r>
          </w:p>
        </w:tc>
        <w:tc>
          <w:tcPr>
            <w:tcW w:type="dxa" w:w="2880"/>
            <w:vAlign w:val="center"/>
            <w:shd w:fill="123B5D"/>
          </w:tcPr>
          <w:p>
            <w:pPr>
              <w:spacing w:after="0"/>
            </w:pPr>
            <w:r/>
            <w:r>
              <w:rPr>
                <w:rFonts w:ascii="Aptos" w:hAnsi="Aptos" w:eastAsia="Aptos"/>
                <w:b/>
                <w:color w:val="FFFFFF"/>
                <w:sz w:val="17"/>
              </w:rPr>
              <w:t>Value</w:t>
            </w:r>
          </w:p>
        </w:tc>
      </w:tr>
      <w:tr>
        <w:tc>
          <w:tcPr>
            <w:tcW w:type="dxa" w:w="5184"/>
            <w:vAlign w:val="center"/>
            <w:shd w:fill="F1F6F9"/>
          </w:tcPr>
          <w:p>
            <w:pPr>
              <w:spacing w:after="0"/>
            </w:pPr>
            <w:r/>
            <w:r>
              <w:rPr>
                <w:rFonts w:ascii="Aptos" w:hAnsi="Aptos" w:eastAsia="Aptos"/>
                <w:b w:val="0"/>
                <w:sz w:val="17"/>
              </w:rPr>
              <w:t>Positive stock source quantity</w:t>
            </w:r>
          </w:p>
        </w:tc>
        <w:tc>
          <w:tcPr>
            <w:tcW w:type="dxa" w:w="2880"/>
            <w:vAlign w:val="center"/>
            <w:shd w:fill="F1F6F9"/>
          </w:tcPr>
          <w:p>
            <w:pPr>
              <w:spacing w:after="0"/>
            </w:pPr>
            <w:r/>
            <w:r>
              <w:rPr>
                <w:rFonts w:ascii="Aptos" w:hAnsi="Aptos" w:eastAsia="Aptos"/>
                <w:b w:val="0"/>
                <w:sz w:val="17"/>
              </w:rPr>
              <w:t>905,004</w:t>
            </w:r>
          </w:p>
        </w:tc>
      </w:tr>
      <w:tr>
        <w:tc>
          <w:tcPr>
            <w:tcW w:type="dxa" w:w="5184"/>
            <w:vAlign w:val="center"/>
          </w:tcPr>
          <w:p>
            <w:pPr>
              <w:spacing w:after="0"/>
            </w:pPr>
            <w:r/>
            <w:r>
              <w:rPr>
                <w:rFonts w:ascii="Aptos" w:hAnsi="Aptos" w:eastAsia="Aptos"/>
                <w:b w:val="0"/>
                <w:sz w:val="17"/>
              </w:rPr>
              <w:t>Joined stock</w:t>
            </w:r>
          </w:p>
        </w:tc>
        <w:tc>
          <w:tcPr>
            <w:tcW w:type="dxa" w:w="2880"/>
            <w:vAlign w:val="center"/>
          </w:tcPr>
          <w:p>
            <w:pPr>
              <w:spacing w:after="0"/>
            </w:pPr>
            <w:r/>
            <w:r>
              <w:rPr>
                <w:rFonts w:ascii="Aptos" w:hAnsi="Aptos" w:eastAsia="Aptos"/>
                <w:b w:val="0"/>
                <w:sz w:val="17"/>
              </w:rPr>
              <w:t>768,558</w:t>
            </w:r>
          </w:p>
        </w:tc>
      </w:tr>
      <w:tr>
        <w:tc>
          <w:tcPr>
            <w:tcW w:type="dxa" w:w="5184"/>
            <w:vAlign w:val="center"/>
            <w:shd w:fill="F1F6F9"/>
          </w:tcPr>
          <w:p>
            <w:pPr>
              <w:spacing w:after="0"/>
            </w:pPr>
            <w:r/>
            <w:r>
              <w:rPr>
                <w:rFonts w:ascii="Aptos" w:hAnsi="Aptos" w:eastAsia="Aptos"/>
                <w:b w:val="0"/>
                <w:sz w:val="17"/>
              </w:rPr>
              <w:t>Unmatched stock</w:t>
            </w:r>
          </w:p>
        </w:tc>
        <w:tc>
          <w:tcPr>
            <w:tcW w:type="dxa" w:w="2880"/>
            <w:vAlign w:val="center"/>
            <w:shd w:fill="F1F6F9"/>
          </w:tcPr>
          <w:p>
            <w:pPr>
              <w:spacing w:after="0"/>
            </w:pPr>
            <w:r/>
            <w:r>
              <w:rPr>
                <w:rFonts w:ascii="Aptos" w:hAnsi="Aptos" w:eastAsia="Aptos"/>
                <w:b w:val="0"/>
                <w:sz w:val="17"/>
              </w:rPr>
              <w:t>136,446</w:t>
            </w:r>
          </w:p>
        </w:tc>
      </w:tr>
      <w:tr>
        <w:tc>
          <w:tcPr>
            <w:tcW w:type="dxa" w:w="5184"/>
            <w:vAlign w:val="center"/>
          </w:tcPr>
          <w:p>
            <w:pPr>
              <w:spacing w:after="0"/>
            </w:pPr>
            <w:r/>
            <w:r>
              <w:rPr>
                <w:rFonts w:ascii="Aptos" w:hAnsi="Aptos" w:eastAsia="Aptos"/>
                <w:b w:val="0"/>
                <w:sz w:val="17"/>
              </w:rPr>
              <w:t>Unmatched stock codes/rows</w:t>
            </w:r>
          </w:p>
        </w:tc>
        <w:tc>
          <w:tcPr>
            <w:tcW w:type="dxa" w:w="2880"/>
            <w:vAlign w:val="center"/>
          </w:tcPr>
          <w:p>
            <w:pPr>
              <w:spacing w:after="0"/>
            </w:pPr>
            <w:r/>
            <w:r>
              <w:rPr>
                <w:rFonts w:ascii="Aptos" w:hAnsi="Aptos" w:eastAsia="Aptos"/>
                <w:b w:val="0"/>
                <w:sz w:val="17"/>
              </w:rPr>
              <w:t>175</w:t>
            </w:r>
          </w:p>
        </w:tc>
      </w:tr>
      <w:tr>
        <w:tc>
          <w:tcPr>
            <w:tcW w:type="dxa" w:w="5184"/>
            <w:vAlign w:val="center"/>
            <w:shd w:fill="F1F6F9"/>
          </w:tcPr>
          <w:p>
            <w:pPr>
              <w:spacing w:after="0"/>
            </w:pPr>
            <w:r/>
            <w:r>
              <w:rPr>
                <w:rFonts w:ascii="Aptos" w:hAnsi="Aptos" w:eastAsia="Aptos"/>
                <w:b w:val="0"/>
                <w:sz w:val="17"/>
              </w:rPr>
              <w:t>Fingerprint</w:t>
            </w:r>
          </w:p>
        </w:tc>
        <w:tc>
          <w:tcPr>
            <w:tcW w:type="dxa" w:w="2880"/>
            <w:vAlign w:val="center"/>
            <w:shd w:fill="F1F6F9"/>
          </w:tcPr>
          <w:p>
            <w:pPr>
              <w:spacing w:after="0"/>
            </w:pPr>
            <w:r/>
            <w:r>
              <w:rPr>
                <w:rFonts w:ascii="Aptos" w:hAnsi="Aptos" w:eastAsia="Aptos"/>
                <w:b w:val="0"/>
                <w:sz w:val="17"/>
              </w:rPr>
              <w:t>6486ffb7c99490aeb082659845d536ac0687c503cffaa006b2bd30ef732c7058</w:t>
            </w:r>
          </w:p>
        </w:tc>
      </w:tr>
    </w:tbl>
    <w:p>
      <w:pPr>
        <w:spacing w:after="20"/>
      </w:pPr>
    </w:p>
    <w:p>
      <w:pPr>
        <w:spacing w:after="100"/>
      </w:pPr>
      <w:r>
        <w:t>The stock fingerprint matches the reviewed September stock policy currently in the code.</w:t>
      </w:r>
    </w:p>
    <w:p>
      <w:pPr>
        <w:pStyle w:val="Heading2"/>
      </w:pPr>
      <w:r>
        <w:t>Handling of unmatched stock</w:t>
      </w:r>
    </w:p>
    <w:p>
      <w:pPr>
        <w:pStyle w:val="ListBullet"/>
        <w:spacing w:after="40"/>
      </w:pPr>
      <w:r>
        <w:t>Unmatched stock is not demand.</w:t>
      </w:r>
    </w:p>
    <w:p>
      <w:pPr>
        <w:pStyle w:val="ListBullet"/>
        <w:spacing w:after="40"/>
      </w:pPr>
      <w:r>
        <w:t>It is not independently routed into Unclassified.</w:t>
      </w:r>
    </w:p>
    <w:p>
      <w:pPr>
        <w:pStyle w:val="ListBullet"/>
        <w:spacing w:after="40"/>
      </w:pPr>
      <w:r>
        <w:t>Stock-only unmatched codes do not become standalone plan rows.</w:t>
      </w:r>
    </w:p>
    <w:p>
      <w:pPr>
        <w:pStyle w:val="ListBullet"/>
        <w:spacing w:after="40"/>
      </w:pPr>
      <w:r>
        <w:t>The stock reconciliation guard retains source quantity, joined quantity, unmatched quantity, and fingerprint.</w:t>
      </w:r>
    </w:p>
    <w:p>
      <w:pPr>
        <w:pStyle w:val="ListBullet"/>
        <w:spacing w:after="40"/>
      </w:pPr>
      <w:r>
        <w:t>If an unmatched pending identity has the same code, its stock can appear on that Unclassified pending row and be netted at item level.</w:t>
      </w:r>
    </w:p>
    <w:p>
      <w:pPr>
        <w:pStyle w:val="Heading1"/>
      </w:pPr>
      <w:r>
        <w:t>RU.0 conclusion</w:t>
      </w:r>
    </w:p>
    <w:p>
      <w:pPr>
        <w:spacing w:after="100"/>
      </w:pPr>
      <w:r>
        <w:t>The current code already reaches Unclassified for unmatched Plumbing pending and preserves conservation checks. The current source values are 33,386 unmatched current-pending pieces, not 19,012.</w:t>
      </w:r>
    </w:p>
    <w:p>
      <w:pPr>
        <w:spacing w:after="100"/>
      </w:pPr>
      <w:r>
        <w:t>No RU.1 change is warranted based solely on the attached diagnosis; the proposed behavior appears to have already been partially implemented in the current source tree.</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RU.0 Read-only diagnosis  •  9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B7C89"/>
        <w:sz w:val="16"/>
      </w:rPr>
      <w:t>PRAYAG INDIA  |  PLUMBING PRODUCTION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23B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5A7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23B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September Plumbing RU.0 Read-only Diagnosis</dc:title>
  <dc:subject>Unmatched pending and Unclassified routing</dc:subject>
  <dc:creator>Replit Agent</dc:creator>
  <cp:keywords>Prayag, Plumbing, RU.0, pending, Unclassified</cp:keywords>
  <dc:description>generated by python-docx</dc:description>
  <cp:lastModifiedBy/>
  <cp:revision>1</cp:revision>
  <dcterms:created xsi:type="dcterms:W3CDTF">2013-12-23T23:15:00Z</dcterms:created>
  <dcterms:modified xsi:type="dcterms:W3CDTF">2013-12-23T23:15:00Z</dcterms:modified>
  <cp:category/>
</cp:coreProperties>
</file>