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3B5D"/>
          <w:sz w:val="46"/>
        </w:rPr>
        <w:t>September Plumbing Planning</w:t>
      </w:r>
    </w:p>
    <w:p>
      <w:pPr>
        <w:jc w:val="center"/>
      </w:pPr>
      <w:r>
        <w:rPr>
          <w:color w:val="1F5A7A"/>
          <w:sz w:val="26"/>
        </w:rPr>
        <w:t>TP read-only reconciliation: two numbers, two paths, and the 64-code set</w:t>
      </w:r>
    </w:p>
    <w:p>
      <w:pPr>
        <w:jc w:val="center"/>
      </w:pPr>
      <w:r>
        <w:rPr>
          <w:i/>
          <w:color w:val="6B7C89"/>
          <w:sz w:val="18"/>
        </w:rPr>
        <w:t>Evidence: current source tree, uploads #18/#21, current September workbook, and PB7 CSV</w:t>
      </w:r>
    </w:p>
    <w:tbl>
      <w:tblPr>
        <w:tblStyle w:val="TableGrid"/>
        <w:tblW w:type="auto" w:w="0"/>
        <w:tblLook w:firstColumn="1" w:firstRow="1" w:lastColumn="0" w:lastRow="0" w:noHBand="0" w:noVBand="1" w:val="04A0"/>
      </w:tblPr>
      <w:tblGrid>
        <w:gridCol w:w="10224"/>
      </w:tblGrid>
      <w:tr>
        <w:tc>
          <w:tcPr>
            <w:tcW w:type="dxa" w:w="10224"/>
            <w:shd w:fill="EAF3F7"/>
            <w:vAlign w:val="center"/>
          </w:tcPr>
          <w:p>
            <w:pPr>
              <w:spacing w:after="0"/>
            </w:pPr>
            <w:r/>
            <w:r>
              <w:rPr>
                <w:rFonts w:ascii="Aptos" w:hAnsi="Aptos" w:eastAsia="Aptos"/>
                <w:b/>
                <w:color w:val="123B5D"/>
                <w:sz w:val="19"/>
              </w:rPr>
              <w:t>Scope: read-only only. No plan was created, re-run, finalized, deployed, or published. No reviewed policy or protected run was changed.</w:t>
            </w:r>
          </w:p>
        </w:tc>
      </w:tr>
    </w:tbl>
    <w:p/>
    <w:p>
      <w:pPr>
        <w:pStyle w:val="Heading1"/>
      </w:pPr>
      <w:r>
        <w:t>Executive answer</w:t>
      </w:r>
    </w:p>
    <w:p>
      <w:pPr>
        <w:spacing w:after="100"/>
      </w:pPr>
      <w:r>
        <w:t>The current read is 33,386 unmatched current-pending pieces, not 19,012. Uploads #18 and #21 produce the same accepted rows, same join quantities, same 64 unmatched code identities, and the same exclusion fingerprint.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23B5D"/>
          </w:tcPr>
          <w:p>
            <w:pPr>
              <w:spacing w:after="0"/>
            </w:pPr>
            <w:r/>
            <w:r>
              <w:rPr>
                <w:rFonts w:ascii="Aptos" w:hAnsi="Aptos" w:eastAsia="Aptos"/>
                <w:b/>
                <w:color w:val="FFFFFF"/>
                <w:sz w:val="17"/>
              </w:rPr>
              <w:t>Question</w:t>
            </w:r>
          </w:p>
        </w:tc>
        <w:tc>
          <w:tcPr>
            <w:tcW w:type="dxa" w:w="5112"/>
            <w:vAlign w:val="center"/>
            <w:shd w:fill="123B5D"/>
          </w:tcPr>
          <w:p>
            <w:pPr>
              <w:spacing w:after="0"/>
            </w:pPr>
            <w:r/>
            <w:r>
              <w:rPr>
                <w:rFonts w:ascii="Aptos" w:hAnsi="Aptos" w:eastAsia="Aptos"/>
                <w:b/>
                <w:color w:val="FFFFFF"/>
                <w:sz w:val="17"/>
              </w:rPr>
              <w:t>Answer</w:t>
            </w:r>
          </w:p>
        </w:tc>
      </w:tr>
      <w:tr>
        <w:tc>
          <w:tcPr>
            <w:tcW w:type="dxa" w:w="5112"/>
            <w:vAlign w:val="center"/>
            <w:shd w:fill="F1F6F9"/>
          </w:tcPr>
          <w:p>
            <w:pPr>
              <w:spacing w:after="0"/>
            </w:pPr>
            <w:r/>
            <w:r>
              <w:rPr>
                <w:rFonts w:ascii="Aptos" w:hAnsi="Aptos" w:eastAsia="Aptos"/>
                <w:b w:val="0"/>
                <w:sz w:val="17"/>
              </w:rPr>
              <w:t>Which current-pending number is reproducible?</w:t>
            </w:r>
          </w:p>
        </w:tc>
        <w:tc>
          <w:tcPr>
            <w:tcW w:type="dxa" w:w="5112"/>
            <w:vAlign w:val="center"/>
            <w:shd w:fill="F1F6F9"/>
          </w:tcPr>
          <w:p>
            <w:pPr>
              <w:spacing w:after="0"/>
            </w:pPr>
            <w:r/>
            <w:r>
              <w:rPr>
                <w:rFonts w:ascii="Aptos" w:hAnsi="Aptos" w:eastAsia="Aptos"/>
                <w:b w:val="0"/>
                <w:sz w:val="17"/>
              </w:rPr>
              <w:t>33,386 unmatched pieces; 36,794 joined; source 70,180.</w:t>
            </w:r>
          </w:p>
        </w:tc>
      </w:tr>
      <w:tr>
        <w:tc>
          <w:tcPr>
            <w:tcW w:type="dxa" w:w="5112"/>
            <w:vAlign w:val="center"/>
            <w:shd w:fill="FFFFFF"/>
          </w:tcPr>
          <w:p>
            <w:pPr>
              <w:spacing w:after="0"/>
            </w:pPr>
            <w:r/>
            <w:r>
              <w:rPr>
                <w:rFonts w:ascii="Aptos" w:hAnsi="Aptos" w:eastAsia="Aptos"/>
                <w:b w:val="0"/>
                <w:sz w:val="17"/>
              </w:rPr>
              <w:t>Current fingerprint</w:t>
            </w:r>
          </w:p>
        </w:tc>
        <w:tc>
          <w:tcPr>
            <w:tcW w:type="dxa" w:w="5112"/>
            <w:vAlign w:val="center"/>
            <w:shd w:fill="FFFFFF"/>
          </w:tcPr>
          <w:p>
            <w:pPr>
              <w:spacing w:after="0"/>
            </w:pPr>
            <w:r/>
            <w:r>
              <w:rPr>
                <w:rFonts w:ascii="Aptos" w:hAnsi="Aptos" w:eastAsia="Aptos"/>
                <w:b w:val="0"/>
                <w:sz w:val="17"/>
              </w:rPr>
              <w:t>8faa2fbd6a8b9d329fdf859b01c0a30ed3e09ceef507565bac0c2430a6a15f12</w:t>
            </w:r>
          </w:p>
        </w:tc>
      </w:tr>
      <w:tr>
        <w:tc>
          <w:tcPr>
            <w:tcW w:type="dxa" w:w="5112"/>
            <w:vAlign w:val="center"/>
            <w:shd w:fill="F1F6F9"/>
          </w:tcPr>
          <w:p>
            <w:pPr>
              <w:spacing w:after="0"/>
            </w:pPr>
            <w:r/>
            <w:r>
              <w:rPr>
                <w:rFonts w:ascii="Aptos" w:hAnsi="Aptos" w:eastAsia="Aptos"/>
                <w:b w:val="0"/>
                <w:sz w:val="17"/>
              </w:rPr>
              <w:t>Does the normal plan builder reach Unclassified?</w:t>
            </w:r>
          </w:p>
        </w:tc>
        <w:tc>
          <w:tcPr>
            <w:tcW w:type="dxa" w:w="5112"/>
            <w:vAlign w:val="center"/>
            <w:shd w:fill="F1F6F9"/>
          </w:tcPr>
          <w:p>
            <w:pPr>
              <w:spacing w:after="0"/>
            </w:pPr>
            <w:r/>
            <w:r>
              <w:rPr>
                <w:rFonts w:ascii="Aptos" w:hAnsi="Aptos" w:eastAsia="Aptos"/>
                <w:b w:val="0"/>
                <w:sz w:val="17"/>
              </w:rPr>
              <w:t>Yes. In-memory build: 1,387 items, including 248 Unclassified items.</w:t>
            </w:r>
          </w:p>
        </w:tc>
      </w:tr>
      <w:tr>
        <w:tc>
          <w:tcPr>
            <w:tcW w:type="dxa" w:w="5112"/>
            <w:vAlign w:val="center"/>
            <w:shd w:fill="FFFFFF"/>
          </w:tcPr>
          <w:p>
            <w:pPr>
              <w:spacing w:after="0"/>
            </w:pPr>
            <w:r/>
            <w:r>
              <w:rPr>
                <w:rFonts w:ascii="Aptos" w:hAnsi="Aptos" w:eastAsia="Aptos"/>
                <w:b w:val="0"/>
                <w:sz w:val="17"/>
              </w:rPr>
              <w:t>Can PR.1’s exact 19,012 source be identified?</w:t>
            </w:r>
          </w:p>
        </w:tc>
        <w:tc>
          <w:tcPr>
            <w:tcW w:type="dxa" w:w="5112"/>
            <w:vAlign w:val="center"/>
            <w:shd w:fill="FFFFFF"/>
          </w:tcPr>
          <w:p>
            <w:pPr>
              <w:spacing w:after="0"/>
            </w:pPr>
            <w:r/>
            <w:r>
              <w:rPr>
                <w:rFonts w:ascii="Aptos" w:hAnsi="Aptos" w:eastAsia="Aptos"/>
                <w:b w:val="0"/>
                <w:sz w:val="17"/>
              </w:rPr>
              <w:t>Not from retained evidence: no PR.1 request trace, roster snapshot, or fingerprint is stored.</w:t>
            </w:r>
          </w:p>
        </w:tc>
      </w:tr>
    </w:tbl>
    <w:p>
      <w:pPr>
        <w:spacing w:after="20"/>
      </w:pPr>
    </w:p>
    <w:p>
      <w:pPr>
        <w:pStyle w:val="Heading1"/>
      </w:pPr>
      <w:r>
        <w:t>TP.1 — Reconcile the two reads</w:t>
      </w:r>
    </w:p>
    <w:p>
      <w:pPr>
        <w:pStyle w:val="Heading2"/>
      </w:pPr>
      <w:r>
        <w:t>TP.1.1 — Current-pending join</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vAlign w:val="center"/>
            <w:shd w:fill="123B5D"/>
          </w:tcPr>
          <w:p>
            <w:pPr>
              <w:spacing w:after="0"/>
            </w:pPr>
            <w:r/>
            <w:r>
              <w:rPr>
                <w:rFonts w:ascii="Aptos" w:hAnsi="Aptos" w:eastAsia="Aptos"/>
                <w:b/>
                <w:color w:val="FFFFFF"/>
                <w:sz w:val="17"/>
              </w:rPr>
              <w:t>Source</w:t>
            </w:r>
          </w:p>
        </w:tc>
        <w:tc>
          <w:tcPr>
            <w:tcW w:type="dxa" w:w="1461"/>
            <w:vAlign w:val="center"/>
            <w:shd w:fill="123B5D"/>
          </w:tcPr>
          <w:p>
            <w:pPr>
              <w:spacing w:after="0"/>
            </w:pPr>
            <w:r/>
            <w:r>
              <w:rPr>
                <w:rFonts w:ascii="Aptos" w:hAnsi="Aptos" w:eastAsia="Aptos"/>
                <w:b/>
                <w:color w:val="FFFFFF"/>
                <w:sz w:val="17"/>
              </w:rPr>
              <w:t>Accepted rows</w:t>
            </w:r>
          </w:p>
        </w:tc>
        <w:tc>
          <w:tcPr>
            <w:tcW w:type="dxa" w:w="1461"/>
            <w:vAlign w:val="center"/>
            <w:shd w:fill="123B5D"/>
          </w:tcPr>
          <w:p>
            <w:pPr>
              <w:spacing w:after="0"/>
            </w:pPr>
            <w:r/>
            <w:r>
              <w:rPr>
                <w:rFonts w:ascii="Aptos" w:hAnsi="Aptos" w:eastAsia="Aptos"/>
                <w:b/>
                <w:color w:val="FFFFFF"/>
                <w:sz w:val="17"/>
              </w:rPr>
              <w:t>Source qty</w:t>
            </w:r>
          </w:p>
        </w:tc>
        <w:tc>
          <w:tcPr>
            <w:tcW w:type="dxa" w:w="1461"/>
            <w:vAlign w:val="center"/>
            <w:shd w:fill="123B5D"/>
          </w:tcPr>
          <w:p>
            <w:pPr>
              <w:spacing w:after="0"/>
            </w:pPr>
            <w:r/>
            <w:r>
              <w:rPr>
                <w:rFonts w:ascii="Aptos" w:hAnsi="Aptos" w:eastAsia="Aptos"/>
                <w:b/>
                <w:color w:val="FFFFFF"/>
                <w:sz w:val="17"/>
              </w:rPr>
              <w:t>Joined</w:t>
            </w:r>
          </w:p>
        </w:tc>
        <w:tc>
          <w:tcPr>
            <w:tcW w:type="dxa" w:w="1461"/>
            <w:vAlign w:val="center"/>
            <w:shd w:fill="123B5D"/>
          </w:tcPr>
          <w:p>
            <w:pPr>
              <w:spacing w:after="0"/>
            </w:pPr>
            <w:r/>
            <w:r>
              <w:rPr>
                <w:rFonts w:ascii="Aptos" w:hAnsi="Aptos" w:eastAsia="Aptos"/>
                <w:b/>
                <w:color w:val="FFFFFF"/>
                <w:sz w:val="17"/>
              </w:rPr>
              <w:t>Unmatched</w:t>
            </w:r>
          </w:p>
        </w:tc>
        <w:tc>
          <w:tcPr>
            <w:tcW w:type="dxa" w:w="1461"/>
            <w:vAlign w:val="center"/>
            <w:shd w:fill="123B5D"/>
          </w:tcPr>
          <w:p>
            <w:pPr>
              <w:spacing w:after="0"/>
            </w:pPr>
            <w:r/>
            <w:r>
              <w:rPr>
                <w:rFonts w:ascii="Aptos" w:hAnsi="Aptos" w:eastAsia="Aptos"/>
                <w:b/>
                <w:color w:val="FFFFFF"/>
                <w:sz w:val="17"/>
              </w:rPr>
              <w:t>Codes</w:t>
            </w:r>
          </w:p>
        </w:tc>
        <w:tc>
          <w:tcPr>
            <w:tcW w:type="dxa" w:w="1461"/>
            <w:vAlign w:val="center"/>
            <w:shd w:fill="123B5D"/>
          </w:tcPr>
          <w:p>
            <w:pPr>
              <w:spacing w:after="0"/>
            </w:pPr>
            <w:r/>
            <w:r>
              <w:rPr>
                <w:rFonts w:ascii="Aptos" w:hAnsi="Aptos" w:eastAsia="Aptos"/>
                <w:b/>
                <w:color w:val="FFFFFF"/>
                <w:sz w:val="17"/>
              </w:rPr>
              <w:t>Fingerprint</w:t>
            </w:r>
          </w:p>
        </w:tc>
      </w:tr>
      <w:tr>
        <w:tc>
          <w:tcPr>
            <w:tcW w:type="dxa" w:w="1461"/>
            <w:vAlign w:val="center"/>
            <w:shd w:fill="F1F6F9"/>
          </w:tcPr>
          <w:p>
            <w:pPr>
              <w:spacing w:after="0"/>
            </w:pPr>
            <w:r/>
            <w:r>
              <w:rPr>
                <w:rFonts w:ascii="Aptos" w:hAnsi="Aptos" w:eastAsia="Aptos"/>
                <w:b w:val="0"/>
                <w:sz w:val="17"/>
              </w:rPr>
              <w:t>Upload #18</w:t>
            </w:r>
          </w:p>
        </w:tc>
        <w:tc>
          <w:tcPr>
            <w:tcW w:type="dxa" w:w="1461"/>
            <w:vAlign w:val="center"/>
            <w:shd w:fill="F1F6F9"/>
          </w:tcPr>
          <w:p>
            <w:pPr>
              <w:spacing w:after="0"/>
            </w:pPr>
            <w:r/>
            <w:r>
              <w:rPr>
                <w:rFonts w:ascii="Aptos" w:hAnsi="Aptos" w:eastAsia="Aptos"/>
                <w:b w:val="0"/>
                <w:sz w:val="17"/>
              </w:rPr>
              <w:t>185</w:t>
            </w:r>
          </w:p>
        </w:tc>
        <w:tc>
          <w:tcPr>
            <w:tcW w:type="dxa" w:w="1461"/>
            <w:vAlign w:val="center"/>
            <w:shd w:fill="F1F6F9"/>
          </w:tcPr>
          <w:p>
            <w:pPr>
              <w:spacing w:after="0"/>
            </w:pPr>
            <w:r/>
            <w:r>
              <w:rPr>
                <w:rFonts w:ascii="Aptos" w:hAnsi="Aptos" w:eastAsia="Aptos"/>
                <w:b w:val="0"/>
                <w:sz w:val="17"/>
              </w:rPr>
              <w:t>70,180</w:t>
            </w:r>
          </w:p>
        </w:tc>
        <w:tc>
          <w:tcPr>
            <w:tcW w:type="dxa" w:w="1461"/>
            <w:vAlign w:val="center"/>
            <w:shd w:fill="F1F6F9"/>
          </w:tcPr>
          <w:p>
            <w:pPr>
              <w:spacing w:after="0"/>
            </w:pPr>
            <w:r/>
            <w:r>
              <w:rPr>
                <w:rFonts w:ascii="Aptos" w:hAnsi="Aptos" w:eastAsia="Aptos"/>
                <w:b w:val="0"/>
                <w:sz w:val="17"/>
              </w:rPr>
              <w:t>36,794</w:t>
            </w:r>
          </w:p>
        </w:tc>
        <w:tc>
          <w:tcPr>
            <w:tcW w:type="dxa" w:w="1461"/>
            <w:vAlign w:val="center"/>
            <w:shd w:fill="F1F6F9"/>
          </w:tcPr>
          <w:p>
            <w:pPr>
              <w:spacing w:after="0"/>
            </w:pPr>
            <w:r/>
            <w:r>
              <w:rPr>
                <w:rFonts w:ascii="Aptos" w:hAnsi="Aptos" w:eastAsia="Aptos"/>
                <w:b w:val="0"/>
                <w:sz w:val="17"/>
              </w:rPr>
              <w:t>33,386</w:t>
            </w:r>
          </w:p>
        </w:tc>
        <w:tc>
          <w:tcPr>
            <w:tcW w:type="dxa" w:w="1461"/>
            <w:vAlign w:val="center"/>
            <w:shd w:fill="F1F6F9"/>
          </w:tcPr>
          <w:p>
            <w:pPr>
              <w:spacing w:after="0"/>
            </w:pPr>
            <w:r/>
            <w:r>
              <w:rPr>
                <w:rFonts w:ascii="Aptos" w:hAnsi="Aptos" w:eastAsia="Aptos"/>
                <w:b w:val="0"/>
                <w:sz w:val="17"/>
              </w:rPr>
              <w:t>64</w:t>
            </w:r>
          </w:p>
        </w:tc>
        <w:tc>
          <w:tcPr>
            <w:tcW w:type="dxa" w:w="1461"/>
            <w:vAlign w:val="center"/>
            <w:shd w:fill="F1F6F9"/>
          </w:tcPr>
          <w:p>
            <w:pPr>
              <w:spacing w:after="0"/>
            </w:pPr>
            <w:r/>
            <w:r>
              <w:rPr>
                <w:rFonts w:ascii="Aptos" w:hAnsi="Aptos" w:eastAsia="Aptos"/>
                <w:b w:val="0"/>
                <w:sz w:val="17"/>
              </w:rPr>
              <w:t>8faa2fbd…</w:t>
            </w:r>
          </w:p>
        </w:tc>
      </w:tr>
      <w:tr>
        <w:tc>
          <w:tcPr>
            <w:tcW w:type="dxa" w:w="1461"/>
            <w:vAlign w:val="center"/>
            <w:shd w:fill="FFFFFF"/>
          </w:tcPr>
          <w:p>
            <w:pPr>
              <w:spacing w:after="0"/>
            </w:pPr>
            <w:r/>
            <w:r>
              <w:rPr>
                <w:rFonts w:ascii="Aptos" w:hAnsi="Aptos" w:eastAsia="Aptos"/>
                <w:b w:val="0"/>
                <w:sz w:val="17"/>
              </w:rPr>
              <w:t>Upload #21</w:t>
            </w:r>
          </w:p>
        </w:tc>
        <w:tc>
          <w:tcPr>
            <w:tcW w:type="dxa" w:w="1461"/>
            <w:vAlign w:val="center"/>
            <w:shd w:fill="FFFFFF"/>
          </w:tcPr>
          <w:p>
            <w:pPr>
              <w:spacing w:after="0"/>
            </w:pPr>
            <w:r/>
            <w:r>
              <w:rPr>
                <w:rFonts w:ascii="Aptos" w:hAnsi="Aptos" w:eastAsia="Aptos"/>
                <w:b w:val="0"/>
                <w:sz w:val="17"/>
              </w:rPr>
              <w:t>185</w:t>
            </w:r>
          </w:p>
        </w:tc>
        <w:tc>
          <w:tcPr>
            <w:tcW w:type="dxa" w:w="1461"/>
            <w:vAlign w:val="center"/>
            <w:shd w:fill="FFFFFF"/>
          </w:tcPr>
          <w:p>
            <w:pPr>
              <w:spacing w:after="0"/>
            </w:pPr>
            <w:r/>
            <w:r>
              <w:rPr>
                <w:rFonts w:ascii="Aptos" w:hAnsi="Aptos" w:eastAsia="Aptos"/>
                <w:b w:val="0"/>
                <w:sz w:val="17"/>
              </w:rPr>
              <w:t>70,180</w:t>
            </w:r>
          </w:p>
        </w:tc>
        <w:tc>
          <w:tcPr>
            <w:tcW w:type="dxa" w:w="1461"/>
            <w:vAlign w:val="center"/>
            <w:shd w:fill="FFFFFF"/>
          </w:tcPr>
          <w:p>
            <w:pPr>
              <w:spacing w:after="0"/>
            </w:pPr>
            <w:r/>
            <w:r>
              <w:rPr>
                <w:rFonts w:ascii="Aptos" w:hAnsi="Aptos" w:eastAsia="Aptos"/>
                <w:b w:val="0"/>
                <w:sz w:val="17"/>
              </w:rPr>
              <w:t>36,794</w:t>
            </w:r>
          </w:p>
        </w:tc>
        <w:tc>
          <w:tcPr>
            <w:tcW w:type="dxa" w:w="1461"/>
            <w:vAlign w:val="center"/>
            <w:shd w:fill="FFFFFF"/>
          </w:tcPr>
          <w:p>
            <w:pPr>
              <w:spacing w:after="0"/>
            </w:pPr>
            <w:r/>
            <w:r>
              <w:rPr>
                <w:rFonts w:ascii="Aptos" w:hAnsi="Aptos" w:eastAsia="Aptos"/>
                <w:b w:val="0"/>
                <w:sz w:val="17"/>
              </w:rPr>
              <w:t>33,386</w:t>
            </w:r>
          </w:p>
        </w:tc>
        <w:tc>
          <w:tcPr>
            <w:tcW w:type="dxa" w:w="1461"/>
            <w:vAlign w:val="center"/>
            <w:shd w:fill="FFFFFF"/>
          </w:tcPr>
          <w:p>
            <w:pPr>
              <w:spacing w:after="0"/>
            </w:pPr>
            <w:r/>
            <w:r>
              <w:rPr>
                <w:rFonts w:ascii="Aptos" w:hAnsi="Aptos" w:eastAsia="Aptos"/>
                <w:b w:val="0"/>
                <w:sz w:val="17"/>
              </w:rPr>
              <w:t>64</w:t>
            </w:r>
          </w:p>
        </w:tc>
        <w:tc>
          <w:tcPr>
            <w:tcW w:type="dxa" w:w="1461"/>
            <w:vAlign w:val="center"/>
            <w:shd w:fill="FFFFFF"/>
          </w:tcPr>
          <w:p>
            <w:pPr>
              <w:spacing w:after="0"/>
            </w:pPr>
            <w:r/>
            <w:r>
              <w:rPr>
                <w:rFonts w:ascii="Aptos" w:hAnsi="Aptos" w:eastAsia="Aptos"/>
                <w:b w:val="0"/>
                <w:sz w:val="17"/>
              </w:rPr>
              <w:t>8faa2fbd…</w:t>
            </w:r>
          </w:p>
        </w:tc>
      </w:tr>
    </w:tbl>
    <w:p>
      <w:pPr>
        <w:spacing w:after="20"/>
      </w:pPr>
    </w:p>
    <w:p>
      <w:pPr>
        <w:spacing w:after="100"/>
      </w:pPr>
      <w:r>
        <w:t>The full fingerprint is 8faa2fbd6a8b9d329fdf859b01c0a30ed3e09ceef507565bac0c2430a6a15f12. The current upload #21 code set exactly matches the PB7 CSV code set: 68 raw CSV rows aggregate to 64 distinct codes, with no CSV-only or current-only code identities.</w:t>
      </w:r>
    </w:p>
    <w:p>
      <w:pPr>
        <w:pStyle w:val="Heading2"/>
      </w:pPr>
      <w:r>
        <w:t>TP.1.2 — Why PR.1 reported 19,012</w:t>
      </w:r>
    </w:p>
    <w:p>
      <w:pPr>
        <w:spacing w:after="100"/>
      </w:pPr>
      <w:r>
        <w:t>The exact PR.1 cause cannot be proven from the retained workspace evidence because its request path, roster count, input snapshot, and fingerprint were not persisted. It is not explained by upload selection: #18 and #21 are equivalent for this join.</w:t>
      </w:r>
    </w:p>
    <w:p>
      <w:pPr>
        <w:spacing w:after="100"/>
      </w:pPr>
      <w:r>
        <w:t>The current evidence rules out the BOM supplement as the cause of a different pending join. BOM weights are loaded separately and are applied after roster items are formed; the BOM lookup adds kgPerPiece/totalKg fields and does not decide roster membership.</w:t>
      </w:r>
    </w:p>
    <w:p>
      <w:pPr>
        <w:spacing w:after="100"/>
      </w:pPr>
      <w:r>
        <w:t>The remaining evidence-supported possibilities are a different code snapshot/roster, a partial or different read, or a stale server/bundle. A fingerprint from PR.1 would settle whether its excluded population was different, but no such fingerprint is available.</w:t>
      </w:r>
    </w:p>
    <w:p>
      <w:pPr>
        <w:pStyle w:val="Heading2"/>
      </w:pPr>
      <w:r>
        <w:t>TP.1.3 — Roster and BOM counts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23B5D"/>
          </w:tcPr>
          <w:p>
            <w:pPr>
              <w:spacing w:after="0"/>
            </w:pPr>
            <w:r/>
            <w:r>
              <w:rPr>
                <w:rFonts w:ascii="Aptos" w:hAnsi="Aptos" w:eastAsia="Aptos"/>
                <w:b/>
                <w:color w:val="FFFFFF"/>
                <w:sz w:val="17"/>
              </w:rPr>
              <w:t>Measure</w:t>
            </w:r>
          </w:p>
        </w:tc>
        <w:tc>
          <w:tcPr>
            <w:tcW w:type="dxa" w:w="5112"/>
            <w:vAlign w:val="center"/>
            <w:shd w:fill="123B5D"/>
          </w:tcPr>
          <w:p>
            <w:pPr>
              <w:spacing w:after="0"/>
            </w:pPr>
            <w:r/>
            <w:r>
              <w:rPr>
                <w:rFonts w:ascii="Aptos" w:hAnsi="Aptos" w:eastAsia="Aptos"/>
                <w:b/>
                <w:color w:val="FFFFFF"/>
                <w:sz w:val="17"/>
              </w:rPr>
              <w:t>Current read</w:t>
            </w:r>
          </w:p>
        </w:tc>
      </w:tr>
      <w:tr>
        <w:tc>
          <w:tcPr>
            <w:tcW w:type="dxa" w:w="5112"/>
            <w:vAlign w:val="center"/>
            <w:shd w:fill="F1F6F9"/>
          </w:tcPr>
          <w:p>
            <w:pPr>
              <w:spacing w:after="0"/>
            </w:pPr>
            <w:r/>
            <w:r>
              <w:rPr>
                <w:rFonts w:ascii="Aptos" w:hAnsi="Aptos" w:eastAsia="Aptos"/>
                <w:b w:val="0"/>
                <w:sz w:val="17"/>
              </w:rPr>
              <w:t>Workbook rows read</w:t>
            </w:r>
          </w:p>
        </w:tc>
        <w:tc>
          <w:tcPr>
            <w:tcW w:type="dxa" w:w="5112"/>
            <w:vAlign w:val="center"/>
            <w:shd w:fill="F1F6F9"/>
          </w:tcPr>
          <w:p>
            <w:pPr>
              <w:spacing w:after="0"/>
            </w:pPr>
            <w:r/>
            <w:r>
              <w:rPr>
                <w:rFonts w:ascii="Aptos" w:hAnsi="Aptos" w:eastAsia="Aptos"/>
                <w:b w:val="0"/>
                <w:sz w:val="17"/>
              </w:rPr>
              <w:t>1,159</w:t>
            </w:r>
          </w:p>
        </w:tc>
      </w:tr>
      <w:tr>
        <w:tc>
          <w:tcPr>
            <w:tcW w:type="dxa" w:w="5112"/>
            <w:vAlign w:val="center"/>
            <w:shd w:fill="FFFFFF"/>
          </w:tcPr>
          <w:p>
            <w:pPr>
              <w:spacing w:after="0"/>
            </w:pPr>
            <w:r/>
            <w:r>
              <w:rPr>
                <w:rFonts w:ascii="Aptos" w:hAnsi="Aptos" w:eastAsia="Aptos"/>
                <w:b w:val="0"/>
                <w:sz w:val="17"/>
              </w:rPr>
              <w:t>Typed roster rows</w:t>
            </w:r>
          </w:p>
        </w:tc>
        <w:tc>
          <w:tcPr>
            <w:tcW w:type="dxa" w:w="5112"/>
            <w:vAlign w:val="center"/>
            <w:shd w:fill="FFFFFF"/>
          </w:tcPr>
          <w:p>
            <w:pPr>
              <w:spacing w:after="0"/>
            </w:pPr>
            <w:r/>
            <w:r>
              <w:rPr>
                <w:rFonts w:ascii="Aptos" w:hAnsi="Aptos" w:eastAsia="Aptos"/>
                <w:b w:val="0"/>
                <w:sz w:val="17"/>
              </w:rPr>
              <w:t>1,139</w:t>
            </w:r>
          </w:p>
        </w:tc>
      </w:tr>
      <w:tr>
        <w:tc>
          <w:tcPr>
            <w:tcW w:type="dxa" w:w="5112"/>
            <w:vAlign w:val="center"/>
            <w:shd w:fill="F1F6F9"/>
          </w:tcPr>
          <w:p>
            <w:pPr>
              <w:spacing w:after="0"/>
            </w:pPr>
            <w:r/>
            <w:r>
              <w:rPr>
                <w:rFonts w:ascii="Aptos" w:hAnsi="Aptos" w:eastAsia="Aptos"/>
                <w:b w:val="0"/>
                <w:sz w:val="17"/>
              </w:rPr>
              <w:t>Distinct normalized roster codes</w:t>
            </w:r>
          </w:p>
        </w:tc>
        <w:tc>
          <w:tcPr>
            <w:tcW w:type="dxa" w:w="5112"/>
            <w:vAlign w:val="center"/>
            <w:shd w:fill="F1F6F9"/>
          </w:tcPr>
          <w:p>
            <w:pPr>
              <w:spacing w:after="0"/>
            </w:pPr>
            <w:r/>
            <w:r>
              <w:rPr>
                <w:rFonts w:ascii="Aptos" w:hAnsi="Aptos" w:eastAsia="Aptos"/>
                <w:b w:val="0"/>
                <w:sz w:val="17"/>
              </w:rPr>
              <w:t>1,139</w:t>
            </w:r>
          </w:p>
        </w:tc>
      </w:tr>
      <w:tr>
        <w:tc>
          <w:tcPr>
            <w:tcW w:type="dxa" w:w="5112"/>
            <w:vAlign w:val="center"/>
            <w:shd w:fill="FFFFFF"/>
          </w:tcPr>
          <w:p>
            <w:pPr>
              <w:spacing w:after="0"/>
            </w:pPr>
            <w:r/>
            <w:r>
              <w:rPr>
                <w:rFonts w:ascii="Aptos" w:hAnsi="Aptos" w:eastAsia="Aptos"/>
                <w:b w:val="0"/>
                <w:sz w:val="17"/>
              </w:rPr>
              <w:t>Normal roster plan items</w:t>
            </w:r>
          </w:p>
        </w:tc>
        <w:tc>
          <w:tcPr>
            <w:tcW w:type="dxa" w:w="5112"/>
            <w:vAlign w:val="center"/>
            <w:shd w:fill="FFFFFF"/>
          </w:tcPr>
          <w:p>
            <w:pPr>
              <w:spacing w:after="0"/>
            </w:pPr>
            <w:r/>
            <w:r>
              <w:rPr>
                <w:rFonts w:ascii="Aptos" w:hAnsi="Aptos" w:eastAsia="Aptos"/>
                <w:b w:val="0"/>
                <w:sz w:val="17"/>
              </w:rPr>
              <w:t>1,139</w:t>
            </w:r>
          </w:p>
        </w:tc>
      </w:tr>
      <w:tr>
        <w:tc>
          <w:tcPr>
            <w:tcW w:type="dxa" w:w="5112"/>
            <w:vAlign w:val="center"/>
            <w:shd w:fill="F1F6F9"/>
          </w:tcPr>
          <w:p>
            <w:pPr>
              <w:spacing w:after="0"/>
            </w:pPr>
            <w:r/>
            <w:r>
              <w:rPr>
                <w:rFonts w:ascii="Aptos" w:hAnsi="Aptos" w:eastAsia="Aptos"/>
                <w:b w:val="0"/>
                <w:sz w:val="17"/>
              </w:rPr>
              <w:t>Unclassified items</w:t>
            </w:r>
          </w:p>
        </w:tc>
        <w:tc>
          <w:tcPr>
            <w:tcW w:type="dxa" w:w="5112"/>
            <w:vAlign w:val="center"/>
            <w:shd w:fill="F1F6F9"/>
          </w:tcPr>
          <w:p>
            <w:pPr>
              <w:spacing w:after="0"/>
            </w:pPr>
            <w:r/>
            <w:r>
              <w:rPr>
                <w:rFonts w:ascii="Aptos" w:hAnsi="Aptos" w:eastAsia="Aptos"/>
                <w:b w:val="0"/>
                <w:sz w:val="17"/>
              </w:rPr>
              <w:t>248</w:t>
            </w:r>
          </w:p>
        </w:tc>
      </w:tr>
      <w:tr>
        <w:tc>
          <w:tcPr>
            <w:tcW w:type="dxa" w:w="5112"/>
            <w:vAlign w:val="center"/>
            <w:shd w:fill="FFFFFF"/>
          </w:tcPr>
          <w:p>
            <w:pPr>
              <w:spacing w:after="0"/>
            </w:pPr>
            <w:r/>
            <w:r>
              <w:rPr>
                <w:rFonts w:ascii="Aptos" w:hAnsi="Aptos" w:eastAsia="Aptos"/>
                <w:b w:val="0"/>
                <w:sz w:val="17"/>
              </w:rPr>
              <w:t>Total in-memory builder items</w:t>
            </w:r>
          </w:p>
        </w:tc>
        <w:tc>
          <w:tcPr>
            <w:tcW w:type="dxa" w:w="5112"/>
            <w:vAlign w:val="center"/>
            <w:shd w:fill="FFFFFF"/>
          </w:tcPr>
          <w:p>
            <w:pPr>
              <w:spacing w:after="0"/>
            </w:pPr>
            <w:r/>
            <w:r>
              <w:rPr>
                <w:rFonts w:ascii="Aptos" w:hAnsi="Aptos" w:eastAsia="Aptos"/>
                <w:b w:val="0"/>
                <w:sz w:val="17"/>
              </w:rPr>
              <w:t>1,387</w:t>
            </w:r>
          </w:p>
        </w:tc>
      </w:tr>
      <w:tr>
        <w:tc>
          <w:tcPr>
            <w:tcW w:type="dxa" w:w="5112"/>
            <w:vAlign w:val="center"/>
            <w:shd w:fill="F1F6F9"/>
          </w:tcPr>
          <w:p>
            <w:pPr>
              <w:spacing w:after="0"/>
            </w:pPr>
            <w:r/>
            <w:r>
              <w:rPr>
                <w:rFonts w:ascii="Aptos" w:hAnsi="Aptos" w:eastAsia="Aptos"/>
                <w:b w:val="0"/>
                <w:sz w:val="17"/>
              </w:rPr>
              <w:t>BOM Combined rows loaded</w:t>
            </w:r>
          </w:p>
        </w:tc>
        <w:tc>
          <w:tcPr>
            <w:tcW w:type="dxa" w:w="5112"/>
            <w:vAlign w:val="center"/>
            <w:shd w:fill="F1F6F9"/>
          </w:tcPr>
          <w:p>
            <w:pPr>
              <w:spacing w:after="0"/>
            </w:pPr>
            <w:r/>
            <w:r>
              <w:rPr>
                <w:rFonts w:ascii="Aptos" w:hAnsi="Aptos" w:eastAsia="Aptos"/>
                <w:b w:val="0"/>
                <w:sz w:val="17"/>
              </w:rPr>
              <w:t>866; merged BOM total 1,614</w:t>
            </w:r>
          </w:p>
        </w:tc>
      </w:tr>
    </w:tbl>
    <w:p>
      <w:pPr>
        <w:spacing w:after="20"/>
      </w:pPr>
    </w:p>
    <w:p>
      <w:pPr>
        <w:spacing w:after="100"/>
      </w:pPr>
      <w:r>
        <w:t>The BOM supplement does not change roster membership or pending joins.</w:t>
      </w:r>
    </w:p>
    <w:p>
      <w:pPr>
        <w:pStyle w:val="Heading1"/>
      </w:pPr>
      <w:r>
        <w:t>TP.2 — Which path creates a plan run?</w:t>
      </w:r>
    </w:p>
    <w:p>
      <w:pPr>
        <w:pStyle w:val="Heading2"/>
      </w:pPr>
      <w:r>
        <w:t>TP.2.1 — Plan-creation path</w:t>
      </w:r>
    </w:p>
    <w:p>
      <w:pPr>
        <w:pStyle w:val="ListBullet"/>
        <w:spacing w:after="40"/>
      </w:pPr>
      <w:r>
        <w:t>POST /api/plan/runs creates the draft run.</w:t>
      </w:r>
    </w:p>
    <w:p>
      <w:pPr>
        <w:pStyle w:val="ListBullet"/>
        <w:spacing w:after="40"/>
      </w:pPr>
      <w:r>
        <w:t>For the legacy live-input path used by Plumbing, it calls buildPlanItems(month, segment, { allowUnapprovedMrp: ... }).</w:t>
      </w:r>
    </w:p>
    <w:p>
      <w:pPr>
        <w:pStyle w:val="ListBullet"/>
        <w:spacing w:after="40"/>
      </w:pPr>
      <w:r>
        <w:t>buildPlanItems delegates to the Plumbing workbook builder.</w:t>
      </w:r>
    </w:p>
    <w:p>
      <w:pPr>
        <w:pStyle w:val="ListBullet"/>
        <w:spacing w:after="40"/>
      </w:pPr>
      <w:r>
        <w:t>That builder calls assertPendingJoinIdentity for current and last-month pending with { allowUnmapped: true }.</w:t>
      </w:r>
    </w:p>
    <w:p>
      <w:pPr>
        <w:pStyle w:val="ListBullet"/>
        <w:spacing w:after="40"/>
      </w:pPr>
      <w:r>
        <w:t>Therefore the normal plan-creation path does not enforce the 234-piece unmatched-quantity/fingerprint ceiling for pending roles.</w:t>
      </w:r>
    </w:p>
    <w:p>
      <w:pPr>
        <w:spacing w:after="100"/>
      </w:pPr>
      <w:r>
        <w:t>The normal builder was run in memory with no diagnostic bypass option. It completed successfully and returned 1,387 items.</w:t>
      </w:r>
    </w:p>
    <w:p>
      <w:pPr>
        <w:pStyle w:val="Heading2"/>
      </w:pPr>
      <w:r>
        <w:t>TP.2.2 — Separate validation behavior</w:t>
      </w:r>
    </w:p>
    <w:p>
      <w:pPr>
        <w:spacing w:after="100"/>
      </w:pPr>
      <w:r>
        <w:t>The validation route is different. It builds Plumbing with allowUnreviewedCurrentPending: true, but later performs a separate validationJoinChecks loop and calls assertPendingJoinIdentity without { allowUnmapped: true } for the uploaded current pending. That check can still report the reviewed ceiling as failed.</w:t>
      </w:r>
    </w:p>
    <w:p>
      <w:pPr>
        <w:spacing w:after="100"/>
      </w:pPr>
      <w:r>
        <w:t>The validation code catches that failure and records it as a failed check in the validation response. The current plan-creation route does not use that strict validation call.</w:t>
      </w:r>
    </w:p>
    <w:p>
      <w:pPr>
        <w:spacing w:after="100"/>
      </w:pPr>
      <w:r>
        <w:t>Accordingly, a 422 based specifically on the reviewed pending ceiling is not explained by the current POST /api/plan/runs builder path. It is consistent with a validation path or with a stale server/bundle, but the retained evidence cannot distinguish those two sources for PR.1.</w:t>
      </w:r>
    </w:p>
    <w:p>
      <w:pPr>
        <w:pStyle w:val="Heading2"/>
      </w:pPr>
      <w:r>
        <w:t>TP.2.3 — What still throws and what is conserved</w:t>
      </w:r>
    </w:p>
    <w:p>
      <w:pPr>
        <w:spacing w:after="100"/>
      </w:pPr>
      <w:r>
        <w:t>The pending diagnostics calculate source quantity, joined quantity, unmatched evidence, resolution-loss evidence, and unexplained residual. The reconciliation identity is:</w:t>
      </w:r>
    </w:p>
    <w:p>
      <w:pPr>
        <w:spacing w:after="100"/>
      </w:pPr>
      <w:r>
        <w:t>source = joined + unmatched evidence + resolution-loss evidence + unexplained residual</w:t>
      </w:r>
    </w:p>
    <w:p>
      <w:pPr>
        <w:spacing w:after="100"/>
      </w:pPr>
      <w:r>
        <w:t>The guard still throws when the diagnostic reconciliation is not internally consistent, when a parsed source total differs from the expected source total, or when resolution loss exceeds policy. The post-build assertPlanUsesPendingJoin check verifies that the joined quantity equals the quantity carried by mapped plan rows.</w:t>
      </w:r>
    </w:p>
    <w:p>
      <w:pPr>
        <w:spacing w:after="100"/>
      </w:pPr>
      <w:r>
        <w:t>For the current read, the identities are exact: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23B5D"/>
          </w:tcPr>
          <w:p>
            <w:pPr>
              <w:spacing w:after="0"/>
            </w:pPr>
            <w:r/>
            <w:r>
              <w:rPr>
                <w:rFonts w:ascii="Aptos" w:hAnsi="Aptos" w:eastAsia="Aptos"/>
                <w:b/>
                <w:color w:val="FFFFFF"/>
                <w:sz w:val="17"/>
              </w:rPr>
              <w:t>Source role</w:t>
            </w:r>
          </w:p>
        </w:tc>
        <w:tc>
          <w:tcPr>
            <w:tcW w:type="dxa" w:w="2045"/>
            <w:vAlign w:val="center"/>
            <w:shd w:fill="123B5D"/>
          </w:tcPr>
          <w:p>
            <w:pPr>
              <w:spacing w:after="0"/>
            </w:pPr>
            <w:r/>
            <w:r>
              <w:rPr>
                <w:rFonts w:ascii="Aptos" w:hAnsi="Aptos" w:eastAsia="Aptos"/>
                <w:b/>
                <w:color w:val="FFFFFF"/>
                <w:sz w:val="17"/>
              </w:rPr>
              <w:t>Source</w:t>
            </w:r>
          </w:p>
        </w:tc>
        <w:tc>
          <w:tcPr>
            <w:tcW w:type="dxa" w:w="2045"/>
            <w:vAlign w:val="center"/>
            <w:shd w:fill="123B5D"/>
          </w:tcPr>
          <w:p>
            <w:pPr>
              <w:spacing w:after="0"/>
            </w:pPr>
            <w:r/>
            <w:r>
              <w:rPr>
                <w:rFonts w:ascii="Aptos" w:hAnsi="Aptos" w:eastAsia="Aptos"/>
                <w:b/>
                <w:color w:val="FFFFFF"/>
                <w:sz w:val="17"/>
              </w:rPr>
              <w:t>Joined</w:t>
            </w:r>
          </w:p>
        </w:tc>
        <w:tc>
          <w:tcPr>
            <w:tcW w:type="dxa" w:w="2045"/>
            <w:vAlign w:val="center"/>
            <w:shd w:fill="123B5D"/>
          </w:tcPr>
          <w:p>
            <w:pPr>
              <w:spacing w:after="0"/>
            </w:pPr>
            <w:r/>
            <w:r>
              <w:rPr>
                <w:rFonts w:ascii="Aptos" w:hAnsi="Aptos" w:eastAsia="Aptos"/>
                <w:b/>
                <w:color w:val="FFFFFF"/>
                <w:sz w:val="17"/>
              </w:rPr>
              <w:t>Unclassified / unmatched</w:t>
            </w:r>
          </w:p>
        </w:tc>
        <w:tc>
          <w:tcPr>
            <w:tcW w:type="dxa" w:w="2045"/>
            <w:vAlign w:val="center"/>
            <w:shd w:fill="123B5D"/>
          </w:tcPr>
          <w:p>
            <w:pPr>
              <w:spacing w:after="0"/>
            </w:pPr>
            <w:r/>
            <w:r>
              <w:rPr>
                <w:rFonts w:ascii="Aptos" w:hAnsi="Aptos" w:eastAsia="Aptos"/>
                <w:b/>
                <w:color w:val="FFFFFF"/>
                <w:sz w:val="17"/>
              </w:rPr>
              <w:t>Residual</w:t>
            </w:r>
          </w:p>
        </w:tc>
      </w:tr>
      <w:tr>
        <w:tc>
          <w:tcPr>
            <w:tcW w:type="dxa" w:w="2045"/>
            <w:vAlign w:val="center"/>
            <w:shd w:fill="F1F6F9"/>
          </w:tcPr>
          <w:p>
            <w:pPr>
              <w:spacing w:after="0"/>
            </w:pPr>
            <w:r/>
            <w:r>
              <w:rPr>
                <w:rFonts w:ascii="Aptos" w:hAnsi="Aptos" w:eastAsia="Aptos"/>
                <w:b w:val="0"/>
                <w:sz w:val="17"/>
              </w:rPr>
              <w:t>Current pending</w:t>
            </w:r>
          </w:p>
        </w:tc>
        <w:tc>
          <w:tcPr>
            <w:tcW w:type="dxa" w:w="2045"/>
            <w:vAlign w:val="center"/>
            <w:shd w:fill="F1F6F9"/>
          </w:tcPr>
          <w:p>
            <w:pPr>
              <w:spacing w:after="0"/>
            </w:pPr>
            <w:r/>
            <w:r>
              <w:rPr>
                <w:rFonts w:ascii="Aptos" w:hAnsi="Aptos" w:eastAsia="Aptos"/>
                <w:b w:val="0"/>
                <w:sz w:val="17"/>
              </w:rPr>
              <w:t>70,180</w:t>
            </w:r>
          </w:p>
        </w:tc>
        <w:tc>
          <w:tcPr>
            <w:tcW w:type="dxa" w:w="2045"/>
            <w:vAlign w:val="center"/>
            <w:shd w:fill="F1F6F9"/>
          </w:tcPr>
          <w:p>
            <w:pPr>
              <w:spacing w:after="0"/>
            </w:pPr>
            <w:r/>
            <w:r>
              <w:rPr>
                <w:rFonts w:ascii="Aptos" w:hAnsi="Aptos" w:eastAsia="Aptos"/>
                <w:b w:val="0"/>
                <w:sz w:val="17"/>
              </w:rPr>
              <w:t>36,794</w:t>
            </w:r>
          </w:p>
        </w:tc>
        <w:tc>
          <w:tcPr>
            <w:tcW w:type="dxa" w:w="2045"/>
            <w:vAlign w:val="center"/>
            <w:shd w:fill="F1F6F9"/>
          </w:tcPr>
          <w:p>
            <w:pPr>
              <w:spacing w:after="0"/>
            </w:pPr>
            <w:r/>
            <w:r>
              <w:rPr>
                <w:rFonts w:ascii="Aptos" w:hAnsi="Aptos" w:eastAsia="Aptos"/>
                <w:b w:val="0"/>
                <w:sz w:val="17"/>
              </w:rPr>
              <w:t>33,386</w:t>
            </w:r>
          </w:p>
        </w:tc>
        <w:tc>
          <w:tcPr>
            <w:tcW w:type="dxa" w:w="2045"/>
            <w:vAlign w:val="center"/>
            <w:shd w:fill="F1F6F9"/>
          </w:tcPr>
          <w:p>
            <w:pPr>
              <w:spacing w:after="0"/>
            </w:pPr>
            <w:r/>
            <w:r>
              <w:rPr>
                <w:rFonts w:ascii="Aptos" w:hAnsi="Aptos" w:eastAsia="Aptos"/>
                <w:b w:val="0"/>
                <w:sz w:val="17"/>
              </w:rPr>
              <w:t>0</w:t>
            </w:r>
          </w:p>
        </w:tc>
      </w:tr>
      <w:tr>
        <w:tc>
          <w:tcPr>
            <w:tcW w:type="dxa" w:w="2045"/>
            <w:vAlign w:val="center"/>
            <w:shd w:fill="FFFFFF"/>
          </w:tcPr>
          <w:p>
            <w:pPr>
              <w:spacing w:after="0"/>
            </w:pPr>
            <w:r/>
            <w:r>
              <w:rPr>
                <w:rFonts w:ascii="Aptos" w:hAnsi="Aptos" w:eastAsia="Aptos"/>
                <w:b w:val="0"/>
                <w:sz w:val="17"/>
              </w:rPr>
              <w:t>Last-month pending</w:t>
            </w:r>
          </w:p>
        </w:tc>
        <w:tc>
          <w:tcPr>
            <w:tcW w:type="dxa" w:w="2045"/>
            <w:vAlign w:val="center"/>
            <w:shd w:fill="FFFFFF"/>
          </w:tcPr>
          <w:p>
            <w:pPr>
              <w:spacing w:after="0"/>
            </w:pPr>
            <w:r/>
            <w:r>
              <w:rPr>
                <w:rFonts w:ascii="Aptos" w:hAnsi="Aptos" w:eastAsia="Aptos"/>
                <w:b w:val="0"/>
                <w:sz w:val="17"/>
              </w:rPr>
              <w:t>232,214</w:t>
            </w:r>
          </w:p>
        </w:tc>
        <w:tc>
          <w:tcPr>
            <w:tcW w:type="dxa" w:w="2045"/>
            <w:vAlign w:val="center"/>
            <w:shd w:fill="FFFFFF"/>
          </w:tcPr>
          <w:p>
            <w:pPr>
              <w:spacing w:after="0"/>
            </w:pPr>
            <w:r/>
            <w:r>
              <w:rPr>
                <w:rFonts w:ascii="Aptos" w:hAnsi="Aptos" w:eastAsia="Aptos"/>
                <w:b w:val="0"/>
                <w:sz w:val="17"/>
              </w:rPr>
              <w:t>224,623</w:t>
            </w:r>
          </w:p>
        </w:tc>
        <w:tc>
          <w:tcPr>
            <w:tcW w:type="dxa" w:w="2045"/>
            <w:vAlign w:val="center"/>
            <w:shd w:fill="FFFFFF"/>
          </w:tcPr>
          <w:p>
            <w:pPr>
              <w:spacing w:after="0"/>
            </w:pPr>
            <w:r/>
            <w:r>
              <w:rPr>
                <w:rFonts w:ascii="Aptos" w:hAnsi="Aptos" w:eastAsia="Aptos"/>
                <w:b w:val="0"/>
                <w:sz w:val="17"/>
              </w:rPr>
              <w:t>7,591</w:t>
            </w:r>
          </w:p>
        </w:tc>
        <w:tc>
          <w:tcPr>
            <w:tcW w:type="dxa" w:w="2045"/>
            <w:vAlign w:val="center"/>
            <w:shd w:fill="FFFFFF"/>
          </w:tcPr>
          <w:p>
            <w:pPr>
              <w:spacing w:after="0"/>
            </w:pPr>
            <w:r/>
            <w:r>
              <w:rPr>
                <w:rFonts w:ascii="Aptos" w:hAnsi="Aptos" w:eastAsia="Aptos"/>
                <w:b w:val="0"/>
                <w:sz w:val="17"/>
              </w:rPr>
              <w:t>0</w:t>
            </w:r>
          </w:p>
        </w:tc>
      </w:tr>
    </w:tbl>
    <w:p>
      <w:pPr>
        <w:spacing w:after="20"/>
      </w:pPr>
    </w:p>
    <w:p>
      <w:pPr>
        <w:spacing w:after="100"/>
      </w:pPr>
      <w:r>
        <w:t>The current aggregation therefore produces source = joined + Unclassified for both pending roles. However, that total identity is assembled from the diagnostic evidence plus the post-build mapped-row check; there is not one single assertion that directly compares the Unclassified item sum to the unmatched evidence sum.</w:t>
      </w:r>
    </w:p>
    <w:p>
      <w:pPr>
        <w:pStyle w:val="Heading1"/>
      </w:pPr>
      <w:r>
        <w:t>TP.3 — The 64-code question</w:t>
      </w:r>
    </w:p>
    <w:p>
      <w:pPr>
        <w:spacing w:after="100"/>
      </w:pPr>
      <w:r>
        <w:t>Confirmed: the current 64 unmatched code identities exactly match the PB7 CSV set. The CSV contains 68 raw source rows because several codes repeat; those rows aggregate to 64 distinct codes carrying 33,386 pieces.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23B5D"/>
          </w:tcPr>
          <w:p>
            <w:pPr>
              <w:spacing w:after="0"/>
            </w:pPr>
            <w:r/>
            <w:r>
              <w:rPr>
                <w:rFonts w:ascii="Aptos" w:hAnsi="Aptos" w:eastAsia="Aptos"/>
                <w:b/>
                <w:color w:val="FFFFFF"/>
                <w:sz w:val="17"/>
              </w:rPr>
              <w:t>Comparison</w:t>
            </w:r>
          </w:p>
        </w:tc>
        <w:tc>
          <w:tcPr>
            <w:tcW w:type="dxa" w:w="5112"/>
            <w:vAlign w:val="center"/>
            <w:shd w:fill="123B5D"/>
          </w:tcPr>
          <w:p>
            <w:pPr>
              <w:spacing w:after="0"/>
            </w:pPr>
            <w:r/>
            <w:r>
              <w:rPr>
                <w:rFonts w:ascii="Aptos" w:hAnsi="Aptos" w:eastAsia="Aptos"/>
                <w:b/>
                <w:color w:val="FFFFFF"/>
                <w:sz w:val="17"/>
              </w:rPr>
              <w:t>Result</w:t>
            </w:r>
          </w:p>
        </w:tc>
      </w:tr>
      <w:tr>
        <w:tc>
          <w:tcPr>
            <w:tcW w:type="dxa" w:w="5112"/>
            <w:vAlign w:val="center"/>
            <w:shd w:fill="F1F6F9"/>
          </w:tcPr>
          <w:p>
            <w:pPr>
              <w:spacing w:after="0"/>
            </w:pPr>
            <w:r/>
            <w:r>
              <w:rPr>
                <w:rFonts w:ascii="Aptos" w:hAnsi="Aptos" w:eastAsia="Aptos"/>
                <w:b w:val="0"/>
                <w:sz w:val="17"/>
              </w:rPr>
              <w:t>Current diagnostic code identities</w:t>
            </w:r>
          </w:p>
        </w:tc>
        <w:tc>
          <w:tcPr>
            <w:tcW w:type="dxa" w:w="5112"/>
            <w:vAlign w:val="center"/>
            <w:shd w:fill="F1F6F9"/>
          </w:tcPr>
          <w:p>
            <w:pPr>
              <w:spacing w:after="0"/>
            </w:pPr>
            <w:r/>
            <w:r>
              <w:rPr>
                <w:rFonts w:ascii="Aptos" w:hAnsi="Aptos" w:eastAsia="Aptos"/>
                <w:b w:val="0"/>
                <w:sz w:val="17"/>
              </w:rPr>
              <w:t>64</w:t>
            </w:r>
          </w:p>
        </w:tc>
      </w:tr>
      <w:tr>
        <w:tc>
          <w:tcPr>
            <w:tcW w:type="dxa" w:w="5112"/>
            <w:vAlign w:val="center"/>
            <w:shd w:fill="FFFFFF"/>
          </w:tcPr>
          <w:p>
            <w:pPr>
              <w:spacing w:after="0"/>
            </w:pPr>
            <w:r/>
            <w:r>
              <w:rPr>
                <w:rFonts w:ascii="Aptos" w:hAnsi="Aptos" w:eastAsia="Aptos"/>
                <w:b w:val="0"/>
                <w:sz w:val="17"/>
              </w:rPr>
              <w:t>PB7 CSV distinct codes</w:t>
            </w:r>
          </w:p>
        </w:tc>
        <w:tc>
          <w:tcPr>
            <w:tcW w:type="dxa" w:w="5112"/>
            <w:vAlign w:val="center"/>
            <w:shd w:fill="FFFFFF"/>
          </w:tcPr>
          <w:p>
            <w:pPr>
              <w:spacing w:after="0"/>
            </w:pPr>
            <w:r/>
            <w:r>
              <w:rPr>
                <w:rFonts w:ascii="Aptos" w:hAnsi="Aptos" w:eastAsia="Aptos"/>
                <w:b w:val="0"/>
                <w:sz w:val="17"/>
              </w:rPr>
              <w:t>64</w:t>
            </w:r>
          </w:p>
        </w:tc>
      </w:tr>
      <w:tr>
        <w:tc>
          <w:tcPr>
            <w:tcW w:type="dxa" w:w="5112"/>
            <w:vAlign w:val="center"/>
            <w:shd w:fill="F1F6F9"/>
          </w:tcPr>
          <w:p>
            <w:pPr>
              <w:spacing w:after="0"/>
            </w:pPr>
            <w:r/>
            <w:r>
              <w:rPr>
                <w:rFonts w:ascii="Aptos" w:hAnsi="Aptos" w:eastAsia="Aptos"/>
                <w:b w:val="0"/>
                <w:sz w:val="17"/>
              </w:rPr>
              <w:t>CSV-only codes</w:t>
            </w:r>
          </w:p>
        </w:tc>
        <w:tc>
          <w:tcPr>
            <w:tcW w:type="dxa" w:w="5112"/>
            <w:vAlign w:val="center"/>
            <w:shd w:fill="F1F6F9"/>
          </w:tcPr>
          <w:p>
            <w:pPr>
              <w:spacing w:after="0"/>
            </w:pPr>
            <w:r/>
            <w:r>
              <w:rPr>
                <w:rFonts w:ascii="Aptos" w:hAnsi="Aptos" w:eastAsia="Aptos"/>
                <w:b w:val="0"/>
                <w:sz w:val="17"/>
              </w:rPr>
              <w:t>0</w:t>
            </w:r>
          </w:p>
        </w:tc>
      </w:tr>
      <w:tr>
        <w:tc>
          <w:tcPr>
            <w:tcW w:type="dxa" w:w="5112"/>
            <w:vAlign w:val="center"/>
            <w:shd w:fill="FFFFFF"/>
          </w:tcPr>
          <w:p>
            <w:pPr>
              <w:spacing w:after="0"/>
            </w:pPr>
            <w:r/>
            <w:r>
              <w:rPr>
                <w:rFonts w:ascii="Aptos" w:hAnsi="Aptos" w:eastAsia="Aptos"/>
                <w:b w:val="0"/>
                <w:sz w:val="17"/>
              </w:rPr>
              <w:t>Current-only codes</w:t>
            </w:r>
          </w:p>
        </w:tc>
        <w:tc>
          <w:tcPr>
            <w:tcW w:type="dxa" w:w="5112"/>
            <w:vAlign w:val="center"/>
            <w:shd w:fill="FFFFFF"/>
          </w:tcPr>
          <w:p>
            <w:pPr>
              <w:spacing w:after="0"/>
            </w:pPr>
            <w:r/>
            <w:r>
              <w:rPr>
                <w:rFonts w:ascii="Aptos" w:hAnsi="Aptos" w:eastAsia="Aptos"/>
                <w:b w:val="0"/>
                <w:sz w:val="17"/>
              </w:rPr>
              <w:t>0</w:t>
            </w:r>
          </w:p>
        </w:tc>
      </w:tr>
      <w:tr>
        <w:tc>
          <w:tcPr>
            <w:tcW w:type="dxa" w:w="5112"/>
            <w:vAlign w:val="center"/>
            <w:shd w:fill="F1F6F9"/>
          </w:tcPr>
          <w:p>
            <w:pPr>
              <w:spacing w:after="0"/>
            </w:pPr>
            <w:r/>
            <w:r>
              <w:rPr>
                <w:rFonts w:ascii="Aptos" w:hAnsi="Aptos" w:eastAsia="Aptos"/>
                <w:b w:val="0"/>
                <w:sz w:val="17"/>
              </w:rPr>
              <w:t>Current diagnostic quantity</w:t>
            </w:r>
          </w:p>
        </w:tc>
        <w:tc>
          <w:tcPr>
            <w:tcW w:type="dxa" w:w="5112"/>
            <w:vAlign w:val="center"/>
            <w:shd w:fill="F1F6F9"/>
          </w:tcPr>
          <w:p>
            <w:pPr>
              <w:spacing w:after="0"/>
            </w:pPr>
            <w:r/>
            <w:r>
              <w:rPr>
                <w:rFonts w:ascii="Aptos" w:hAnsi="Aptos" w:eastAsia="Aptos"/>
                <w:b w:val="0"/>
                <w:sz w:val="17"/>
              </w:rPr>
              <w:t>33,386</w:t>
            </w:r>
          </w:p>
        </w:tc>
      </w:tr>
      <w:tr>
        <w:tc>
          <w:tcPr>
            <w:tcW w:type="dxa" w:w="5112"/>
            <w:vAlign w:val="center"/>
            <w:shd w:fill="FFFFFF"/>
          </w:tcPr>
          <w:p>
            <w:pPr>
              <w:spacing w:after="0"/>
            </w:pPr>
            <w:r/>
            <w:r>
              <w:rPr>
                <w:rFonts w:ascii="Aptos" w:hAnsi="Aptos" w:eastAsia="Aptos"/>
                <w:b w:val="0"/>
                <w:sz w:val="17"/>
              </w:rPr>
              <w:t>All diagnostic reasons</w:t>
            </w:r>
          </w:p>
        </w:tc>
        <w:tc>
          <w:tcPr>
            <w:tcW w:type="dxa" w:w="5112"/>
            <w:vAlign w:val="center"/>
            <w:shd w:fill="FFFFFF"/>
          </w:tcPr>
          <w:p>
            <w:pPr>
              <w:spacing w:after="0"/>
            </w:pPr>
            <w:r/>
            <w:r>
              <w:rPr>
                <w:rFonts w:ascii="Aptos" w:hAnsi="Aptos" w:eastAsia="Aptos"/>
                <w:b w:val="0"/>
                <w:sz w:val="17"/>
              </w:rPr>
              <w:t>NO_ROSTER_MATCH</w:t>
            </w:r>
          </w:p>
        </w:tc>
      </w:tr>
    </w:tbl>
    <w:p>
      <w:pPr>
        <w:spacing w:after="20"/>
      </w:pPr>
    </w:p>
    <w:p>
      <w:pPr>
        <w:spacing w:after="100"/>
      </w:pPr>
      <w:r>
        <w:t>The phrase “64 with Prayag” refers to this diagnostic set; it is not a separate stored catalogue requiring an additional reconciliation. The unrelated PTMT Cocks Standard figure of 64 codes should not be mixed into the Plumbing result.</w:t>
      </w:r>
    </w:p>
    <w:p>
      <w:pPr>
        <w:pStyle w:val="Heading1"/>
      </w:pPr>
      <w:r>
        <w:t>Final read-only conclusion</w:t>
      </w:r>
    </w:p>
    <w:p>
      <w:pPr>
        <w:spacing w:after="100"/>
      </w:pPr>
      <w:r>
        <w:t>The reproducible current-pending value is 33,386 unmatched pieces with fingerprint 8faa2fbd…. The current normal plan-creation builder already routes unmatched pending into Unclassified, while the validation route retains a separate strict reviewed-ceiling check. The 19,012 PR.1 value cannot be attributed exactly without its request trace or fingerprint, but it is not reproduced by either upload #18 or #21 against the current roster.</w:t>
      </w:r>
    </w:p>
    <w:p>
      <w:pPr>
        <w:spacing w:after="100"/>
      </w:pPr>
      <w:r>
        <w:t>No change is recommended or performed in this read-only step.</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TP read-only reconciliation  •  9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B7C89"/>
        <w:sz w:val="16"/>
      </w:rPr>
      <w:t>PRAYAG INDIA  |  PLUMBING PRODUCTION PLANNING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23B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5A7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September Plumbing TP Read-only Reconciliation</dc:title>
  <dc:subject>Two pending-join values and plan-creation paths</dc:subject>
  <dc:creator>Replit Agent</dc:creator>
  <cp:keywords/>
  <dc:description>generated by python-docx</dc:description>
  <cp:lastModifiedBy/>
  <cp:revision>1</cp:revision>
  <dcterms:created xsi:type="dcterms:W3CDTF">2013-12-23T23:15:00Z</dcterms:created>
  <dcterms:modified xsi:type="dcterms:W3CDTF">2013-12-23T23:15:00Z</dcterms:modified>
  <cp:category/>
</cp:coreProperties>
</file>