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Plumbing Capacity Investigation</w:t>
      </w:r>
    </w:p>
    <w:p>
      <w:pPr>
        <w:jc w:val="center"/>
      </w:pPr>
      <w:r>
        <w:rPr>
          <w:i/>
          <w:color w:val="5A5A5A"/>
          <w:sz w:val="24"/>
        </w:rPr>
        <w:t>September 2026 PTMT / Plumbing planning baseline</w:t>
      </w:r>
    </w:p>
    <w:p>
      <w:pPr>
        <w:jc w:val="center"/>
      </w:pPr>
      <w:r>
        <w:rPr>
          <w:color w:val="646464"/>
          <w:sz w:val="18"/>
        </w:rPr>
        <w:t>Prepared 09 September 2026</w:t>
      </w:r>
    </w:p>
    <w:p>
      <w:pPr>
        <w:pStyle w:val="Heading1"/>
      </w:pPr>
      <w:r>
        <w:t>Executive conclusion</w:t>
      </w:r>
    </w:p>
    <w:p>
      <w:r>
        <w:rPr>
          <w:b/>
        </w:rPr>
        <w:t xml:space="preserve">The empty Plumbing capacity table was a seeded-state problem and a source/mapping problem, not evidence that the plant has no production data. </w:t>
      </w:r>
      <w:r>
        <w:t>After the existing Plumbing recompute was run, seven categories produced usable derived rates. Five categories remain at zero and thin-data because their production rows are not reaching the category join.</w:t>
      </w:r>
    </w:p>
    <w:p>
      <w:pPr>
        <w:pStyle w:val="ListNumber"/>
        <w:spacing w:after="60"/>
      </w:pPr>
      <w:r>
        <w:t>The recompute populated seven categories without creating capacity overrides, changing plans, or adding roster items.</w:t>
      </w:r>
    </w:p>
    <w:p>
      <w:pPr>
        <w:pStyle w:val="ListNumber"/>
        <w:spacing w:after="60"/>
      </w:pPr>
      <w:r>
        <w:t>The current derivation window is nominally 11 June–09 September 2026, but the capacity cache contains only August and September actuals.</w:t>
      </w:r>
    </w:p>
    <w:p>
      <w:pPr>
        <w:pStyle w:val="ListNumber"/>
        <w:spacing w:after="60"/>
      </w:pPr>
      <w:r>
        <w:t>June and July are not present in the capacity ingestion cache, and there are no Plumbing rows in plant_source_configs. The monitoring workbook resolver is not reused by the capacity path.</w:t>
      </w:r>
    </w:p>
    <w:p>
      <w:pPr>
        <w:pStyle w:val="ListNumber"/>
        <w:spacing w:after="60"/>
      </w:pPr>
      <w:r>
        <w:t>AGRI Fitting has real production evidence but remains zero because normalized production-code matching is not used by the cached capacity join.</w:t>
      </w:r>
    </w:p>
    <w:p>
      <w:pPr>
        <w:pStyle w:val="ListNumber"/>
        <w:spacing w:after="60"/>
      </w:pPr>
      <w:r>
        <w:t>HDPE is held as a future thirteenth category. PPR and other no-tab MRP families remain series evidence only.</w:t>
      </w:r>
    </w:p>
    <w:p>
      <w:pPr>
        <w:pStyle w:val="Heading1"/>
      </w:pPr>
      <w:r>
        <w:t>Derived capacity by category</w:t>
      </w:r>
    </w:p>
    <w:p>
      <w:r>
        <w:t>Window requested: 2026-06-11 through 2026-09-09. Thin-data threshold: fewer than 10 observed production days. All populated suggested/selected capacities equal the calculated p90/day.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Days observed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Mean/day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P90/day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Best day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CPVC Pipe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3730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5800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6605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Usable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CPVC Fitting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22499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30800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38300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Usable</w:t>
            </w:r>
          </w:p>
        </w:tc>
      </w:tr>
      <w:tr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CPVC Solvent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Thin / unmapped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UPVC Pipe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3021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4715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6430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Usable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UPVC Fitting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15645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23550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34650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Usable</w:t>
            </w:r>
          </w:p>
        </w:tc>
      </w:tr>
      <w:tr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UPVC Solvent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Thin / unmapped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SWR Pipe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1871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3240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4139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Usable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SWR Fitting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5917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7416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10083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Usable</w:t>
            </w:r>
          </w:p>
        </w:tc>
      </w:tr>
      <w:tr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SWR Solvent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Thin / unmapped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AGRI Pipe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582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917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2495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Usable</w:t>
            </w:r>
          </w:p>
        </w:tc>
      </w:tr>
      <w:tr>
        <w:tc>
          <w:tcPr>
            <w:tcW w:type="dxa" w:w="1704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8"/>
              </w:rPr>
              <w:t>AGRI Fitting</w:t>
            </w:r>
          </w:p>
        </w:tc>
        <w:tc>
          <w:tcPr>
            <w:tcW w:type="dxa" w:w="1704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8"/>
              </w:rPr>
              <w:t>Mapping defect</w:t>
            </w:r>
          </w:p>
        </w:tc>
      </w:tr>
      <w:tr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AGRI Solvent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ptos" w:hAnsi="Aptos"/>
                <w:b w:val="0"/>
                <w:sz w:val="18"/>
              </w:rPr>
              <w:t>Thin / unmapped</w:t>
            </w:r>
          </w:p>
        </w:tc>
      </w:tr>
    </w:tbl>
    <w:p>
      <w:pPr>
        <w:pStyle w:val="Heading1"/>
      </w:pPr>
      <w:r>
        <w:t>Why daysObserved is zero</w:t>
      </w:r>
    </w:p>
    <w:p>
      <w:pPr>
        <w:pStyle w:val="Heading2"/>
      </w:pPr>
      <w:r>
        <w:t>1. The engine did run, but only against available cached months</w:t>
      </w:r>
    </w:p>
    <w:p>
      <w:r>
        <w:rPr>
          <w:b/>
        </w:rPr>
        <w:t xml:space="preserve">The explicit recompute was executed successfully. </w:t>
      </w:r>
      <w:r>
        <w:t>It returned nonzero statistics for seven categories, proving that the derivation code can read and aggregate Plumbing actuals.</w:t>
      </w:r>
    </w:p>
    <w:p>
      <w:pPr>
        <w:pStyle w:val="ListBullet"/>
        <w:spacing w:after="40"/>
      </w:pPr>
      <w:r>
        <w:t>Cached August 2026 actuals: 1,035 rows.</w:t>
      </w:r>
    </w:p>
    <w:p>
      <w:pPr>
        <w:pStyle w:val="ListBullet"/>
        <w:spacing w:after="40"/>
      </w:pPr>
      <w:r>
        <w:t>Cached September 2026 actuals: 235 rows.</w:t>
      </w:r>
    </w:p>
    <w:p>
      <w:pPr>
        <w:pStyle w:val="ListBullet"/>
        <w:spacing w:after="40"/>
      </w:pPr>
      <w:r>
        <w:t>Cached June 2026 actuals: none.</w:t>
      </w:r>
    </w:p>
    <w:p>
      <w:pPr>
        <w:pStyle w:val="ListBullet"/>
        <w:spacing w:after="40"/>
      </w:pPr>
      <w:r>
        <w:t>Cached July 2026 actuals: none.</w:t>
      </w:r>
    </w:p>
    <w:p>
      <w:pPr>
        <w:pStyle w:val="ListBullet"/>
        <w:spacing w:after="40"/>
      </w:pPr>
      <w:r>
        <w:t>Plumbing source-config rows: none.</w:t>
      </w:r>
    </w:p>
    <w:p>
      <w:r>
        <w:t>Therefore, the current numbers are provisional August–September results rather than a complete June–September capacity baseline.</w:t>
      </w:r>
    </w:p>
    <w:p>
      <w:pPr>
        <w:pStyle w:val="Heading2"/>
      </w:pPr>
      <w:r>
        <w:t>2. AGRI Fitting is a confirmed code-mapping defect</w:t>
      </w:r>
    </w:p>
    <w:p>
      <w:r>
        <w:rPr>
          <w:b/>
        </w:rPr>
        <w:t xml:space="preserve">AGRI Fitting should not be zero based on the available production evidence. </w:t>
      </w:r>
      <w:r>
        <w:t>The cached actuals contain 86 AGRI Fitting production rows across 43 codes, totalling 60,600 quantity, when production codes are normalized by removing punctuation and spaces.</w:t>
      </w:r>
    </w:p>
    <w:p>
      <w:pPr>
        <w:pStyle w:val="ListBullet"/>
        <w:spacing w:after="40"/>
      </w:pPr>
      <w:r>
        <w:t>The Sheet3 reader knows the normalized-code rule, such as A465 matching A-465.</w:t>
      </w:r>
    </w:p>
    <w:p>
      <w:pPr>
        <w:pStyle w:val="ListBullet"/>
        <w:spacing w:after="40"/>
      </w:pPr>
      <w:r>
        <w:t>The cached capacity path retains the raw code and matches item_master using the raw value.</w:t>
      </w:r>
    </w:p>
    <w:p>
      <w:pPr>
        <w:pStyle w:val="ListBullet"/>
        <w:spacing w:after="40"/>
      </w:pPr>
      <w:r>
        <w:t>The normalized AGRI Fitting rows therefore fail the capacity join and are discarded before daily statistics are calculated.</w:t>
      </w:r>
    </w:p>
    <w:p>
      <w:pPr>
        <w:pStyle w:val="Heading2"/>
      </w:pPr>
      <w:r>
        <w:t>3. Solvents have no recognized category coverage</w:t>
      </w:r>
    </w:p>
    <w:p>
      <w:r>
        <w:t>The solvent rows do not currently reach CPVC Solvent, UPVC Solvent, SWR Solvent, or AGRI Solvent as recognized capacity categories.</w:t>
      </w:r>
    </w:p>
    <w:p>
      <w:pPr>
        <w:pStyle w:val="ListBullet"/>
        <w:spacing w:after="40"/>
      </w:pPr>
      <w:r>
        <w:t>item_master contains only three CPVC Solvent rows and one UPVC Solvent row.</w:t>
      </w:r>
    </w:p>
    <w:p>
      <w:pPr>
        <w:pStyle w:val="ListBullet"/>
        <w:spacing w:after="40"/>
      </w:pPr>
      <w:r>
        <w:t>There are no item-master rows for SWR Solvent or AGRI Solvent.</w:t>
      </w:r>
    </w:p>
    <w:p>
      <w:pPr>
        <w:pStyle w:val="ListBullet"/>
        <w:spacing w:after="40"/>
      </w:pPr>
      <w:r>
        <w:t>After punctuation-insensitive matching, 259 cached production rows still remain unmapped to any Plumbing item-master category.</w:t>
      </w:r>
    </w:p>
    <w:p>
      <w:pPr>
        <w:pStyle w:val="ListBullet"/>
        <w:spacing w:after="40"/>
      </w:pPr>
      <w:r>
        <w:t>The raw Sheet3 cache carries date, code, and quantity, but not Pipe/Fitting/Solvent category. Its fallback group is PLUMBING, which is not one of the twelve capacity categories.</w:t>
      </w:r>
    </w:p>
    <w:p>
      <w:pPr>
        <w:pStyle w:val="Heading2"/>
      </w:pPr>
      <w:r>
        <w:t>4. Units are not the cause of zero days</w:t>
      </w:r>
    </w:p>
    <w:p>
      <w:r>
        <w:t>The source reader reads Sheet3 column C as production quantity and performs no kg-to-pieces conversion. The code does not expose a unit field, so the business unit should still be confirmed before accepting the numerical rates. However, a kg-versus-pieces issue would distort the rate magnitude; it would not make daysObserved zero for rows that already match a category. The zeroes occur before unit interpretation, at source coverage and category matching.</w:t>
      </w:r>
    </w:p>
    <w:p>
      <w:pPr>
        <w:pStyle w:val="Heading1"/>
      </w:pPr>
      <w:r>
        <w:t>Roster and category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Family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HDPE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Hold as future category 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Confirmed genuine workbook material with its own detailed tab and PIPE section, but it needs an approved capacity basis after the existing twelve are validated.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PPR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Remain series 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396 MRP codes, but no PPR planning tab; do not promote it to a separate executable category.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Other no-tab families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Remain series 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workbook evidence that Prayag plans them as independent categories; do not guess mappings into the twelve.</w:t>
            </w:r>
          </w:p>
        </w:tc>
      </w:tr>
    </w:tbl>
    <w:p>
      <w:pPr>
        <w:pStyle w:val="Heading1"/>
      </w:pPr>
      <w:r>
        <w:t>Required next actions</w:t>
      </w:r>
    </w:p>
    <w:p>
      <w:pPr>
        <w:pStyle w:val="ListNumber"/>
        <w:spacing w:after="60"/>
      </w:pPr>
      <w:r>
        <w:t>Populate the Plumbing capacity ingestion cache for all intended historical months, including June and July, using the same workbook resolver that monitoring uses or by creating the required Plumbing source-config rows.</w:t>
      </w:r>
    </w:p>
    <w:p>
      <w:pPr>
        <w:pStyle w:val="ListNumber"/>
        <w:spacing w:after="60"/>
      </w:pPr>
      <w:r>
        <w:t>Carry the normalized production code into cached actuals, or apply the same normalization in the capacity join.</w:t>
      </w:r>
    </w:p>
    <w:p>
      <w:pPr>
        <w:pStyle w:val="ListNumber"/>
        <w:spacing w:after="60"/>
      </w:pPr>
      <w:r>
        <w:t>Produce an explicit category diagnostic for all unmapped production codes before assigning solvent or other category labels.</w:t>
      </w:r>
    </w:p>
    <w:p>
      <w:pPr>
        <w:pStyle w:val="ListNumber"/>
        <w:spacing w:after="60"/>
      </w:pPr>
      <w:r>
        <w:t>Recompute the twelve categories over the complete source window.</w:t>
      </w:r>
    </w:p>
    <w:p>
      <w:pPr>
        <w:pStyle w:val="ListNumber"/>
        <w:spacing w:after="60"/>
      </w:pPr>
      <w:r>
        <w:t>Keep categories below 10 observed days flagged thin-data; do not fill them with synthetic rates or manual overrides.</w:t>
      </w:r>
    </w:p>
    <w:p>
      <w:pPr>
        <w:pStyle w:val="ListNumber"/>
        <w:spacing w:after="60"/>
      </w:pPr>
      <w:r>
        <w:t>Only after the twelve-category baseline is complete should HDPE be added as category 13 with its own reviewed capacity basis.</w:t>
      </w:r>
    </w:p>
    <w:p>
      <w:pPr>
        <w:pStyle w:val="Heading1"/>
      </w:pPr>
      <w:r>
        <w:t>Source workbook</w:t>
      </w:r>
    </w:p>
    <w:p>
      <w:r>
        <w:t xml:space="preserve">Daily Production PLUMBING SEP 2026: </w:t>
      </w:r>
      <w:hyperlink r:id="rId11">
        <w:r>
          <w:rPr>
            <w:color w:val="0563C1"/>
            <w:u w:val="single"/>
          </w:rPr>
          <w:t>Open Google Sheet</w:t>
        </w:r>
      </w:hyperlink>
    </w:p>
    <w:p>
      <w:pPr>
        <w:spacing w:before="160"/>
      </w:pPr>
      <w:r>
        <w:rPr>
          <w:i/>
          <w:color w:val="5A5A5A"/>
        </w:rPr>
        <w:t>Scope note: No roster rows, HDPE capacity row, capacity overrides, or plan-run changes were made as part of this investigation.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Plumbing capacity investigation • Development derivation • 09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PRAYAG INDIA  |  PLUMBING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oogle.com/spreadsheets/d/1Eu6KHZdt6ynww7fWp-mMa2e8V9JRLJFYWPMYUZGOsD0/edit?ouid=1081359046164544616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