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6"/>
        </w:rPr>
        <w:t>Plumbing Stage A</w:t>
      </w:r>
    </w:p>
    <w:p>
      <w:pPr>
        <w:jc w:val="center"/>
      </w:pPr>
      <w:r>
        <w:rPr>
          <w:color w:val="2F5597"/>
          <w:sz w:val="34"/>
        </w:rPr>
        <w:t>Read-Only Source, Category, and Roster Audit</w:t>
      </w:r>
    </w:p>
    <w:p>
      <w:pPr>
        <w:spacing w:before="360"/>
        <w:jc w:val="center"/>
      </w:pPr>
      <w:r>
        <w:rPr>
          <w:b/>
          <w:sz w:val="24"/>
        </w:rPr>
        <w:t>Prayag India Production Planning</w:t>
      </w:r>
    </w:p>
    <w:p>
      <w:pPr>
        <w:jc w:val="center"/>
      </w:pPr>
      <w:r>
        <w:rPr>
          <w:sz w:val="22"/>
        </w:rPr>
        <w:t>8 September 2026</w:t>
      </w:r>
    </w:p>
    <w:p>
      <w:pPr>
        <w:spacing w:before="700" w:after="200"/>
      </w:pPr>
      <w:r>
        <w:rPr>
          <w:b/>
        </w:rPr>
        <w:t xml:space="preserve">Scope status: </w:t>
      </w:r>
      <w:r>
        <w:t>Read-only. No code, data, override, plan, upload, scheduler, validation, recompute, or deployment changes were made.</w:t>
      </w:r>
    </w:p>
    <w:p>
      <w:pPr>
        <w:spacing w:after="100"/>
      </w:pPr>
      <w:r>
        <w:t>This report records current application behavior and source observations for PA.1–PA.8. It reports values and mappings rather than issuing a pass/fail verdict.</w:t>
      </w:r>
    </w:p>
    <w:p>
      <w:pPr>
        <w:spacing w:after="100"/>
      </w:pPr>
      <w:r>
        <w:t>Important boundaries: H4a and Stage I remain untouched. No new plan or recompute was run.</w:t>
      </w:r>
    </w:p>
    <w:p>
      <w:r>
        <w:br w:type="page"/>
      </w:r>
    </w:p>
    <w:p>
      <w:pPr>
        <w:pStyle w:val="Heading1"/>
      </w:pPr>
      <w:r>
        <w:t>Executive source facts</w:t>
      </w:r>
    </w:p>
    <w:p>
      <w:pPr>
        <w:pStyle w:val="ListBullet"/>
        <w:spacing w:after="40"/>
      </w:pPr>
      <w:r>
        <w:t>For Plumbing, FG Stock is a previous-source-month input: an August FG Stock workbook feeds the September plan. This differs from PTMT.</w:t>
      </w:r>
    </w:p>
    <w:p>
      <w:pPr>
        <w:pStyle w:val="ListBullet"/>
        <w:spacing w:after="40"/>
      </w:pPr>
      <w:r>
        <w:t>The app currently models 12 canonical Plumbing categories, plus an Unclassified buffer row. Prayag’s source distinguishes 15 material/type lines because FITTINGS and FITTING remain separate source labels for CPVC and UPVC.</w:t>
      </w:r>
    </w:p>
    <w:p>
      <w:pPr>
        <w:pStyle w:val="ListBullet"/>
        <w:spacing w:after="40"/>
      </w:pPr>
      <w:r>
        <w:t>Plumbing pending scope currently accepts PLUMBING, P, PL, AGRI, CPVC, UPVC, and SWR segment labels. In the current upload, PL is treated as Plumbing and PT is treated as PTMT.</w:t>
      </w:r>
    </w:p>
    <w:p>
      <w:pPr>
        <w:pStyle w:val="ListBullet"/>
        <w:spacing w:after="40"/>
      </w:pPr>
      <w:r>
        <w:t>A multiplier of 2.0 exists for CPVC Solvent. The current multiplier handling does not impose a 1.5 maximum.</w:t>
      </w:r>
    </w:p>
    <w:p>
      <w:pPr>
        <w:pStyle w:val="ListBullet"/>
        <w:spacing w:after="40"/>
      </w:pPr>
      <w:r>
        <w:t>AGRI is present in the effective September roster. HDPE is not represented in the effective September planning roster.</w:t>
      </w:r>
    </w:p>
    <w:p>
      <w:pPr>
        <w:pStyle w:val="ListBullet"/>
        <w:spacing w:after="40"/>
      </w:pPr>
      <w:r>
        <w:t>The latest stored development Plumbing FG upload is the July-named file, which derives to planning month 2026-08. The August-named file referenced by the audit is not currently stored in the development upload table.</w:t>
      </w:r>
    </w:p>
    <w:p>
      <w:pPr>
        <w:pStyle w:val="Heading1"/>
      </w:pPr>
      <w:r>
        <w:t>PA.1 — What the app currently models</w:t>
      </w:r>
    </w:p>
    <w:p>
      <w:pPr>
        <w:spacing w:after="100"/>
      </w:pPr>
      <w:r>
        <w:t>The current canonical Plumbing categories are:</w:t>
      </w:r>
    </w:p>
    <w:p>
      <w:pPr>
        <w:pStyle w:val="ListBullet2"/>
        <w:spacing w:after="40"/>
      </w:pPr>
      <w:r>
        <w:t>CPVC Pipe</w:t>
      </w:r>
    </w:p>
    <w:p>
      <w:pPr>
        <w:pStyle w:val="ListBullet2"/>
        <w:spacing w:after="40"/>
      </w:pPr>
      <w:r>
        <w:t>CPVC Fitting</w:t>
      </w:r>
    </w:p>
    <w:p>
      <w:pPr>
        <w:pStyle w:val="ListBullet2"/>
        <w:spacing w:after="40"/>
      </w:pPr>
      <w:r>
        <w:t>CPVC Solvent</w:t>
      </w:r>
    </w:p>
    <w:p>
      <w:pPr>
        <w:pStyle w:val="ListBullet2"/>
        <w:spacing w:after="40"/>
      </w:pPr>
      <w:r>
        <w:t>UPVC Pipe</w:t>
      </w:r>
    </w:p>
    <w:p>
      <w:pPr>
        <w:pStyle w:val="ListBullet2"/>
        <w:spacing w:after="40"/>
      </w:pPr>
      <w:r>
        <w:t>UPVC Fitting</w:t>
      </w:r>
    </w:p>
    <w:p>
      <w:pPr>
        <w:pStyle w:val="ListBullet2"/>
        <w:spacing w:after="40"/>
      </w:pPr>
      <w:r>
        <w:t>UPVC Solvent</w:t>
      </w:r>
    </w:p>
    <w:p>
      <w:pPr>
        <w:pStyle w:val="ListBullet2"/>
        <w:spacing w:after="40"/>
      </w:pPr>
      <w:r>
        <w:t>SWR Pipe</w:t>
      </w:r>
    </w:p>
    <w:p>
      <w:pPr>
        <w:pStyle w:val="ListBullet2"/>
        <w:spacing w:after="40"/>
      </w:pPr>
      <w:r>
        <w:t>SWR Fitting</w:t>
      </w:r>
    </w:p>
    <w:p>
      <w:pPr>
        <w:pStyle w:val="ListBullet2"/>
        <w:spacing w:after="40"/>
      </w:pPr>
      <w:r>
        <w:t>SWR Solvent</w:t>
      </w:r>
    </w:p>
    <w:p>
      <w:pPr>
        <w:pStyle w:val="ListBullet2"/>
        <w:spacing w:after="40"/>
      </w:pPr>
      <w:r>
        <w:t>AGRI Pipe</w:t>
      </w:r>
    </w:p>
    <w:p>
      <w:pPr>
        <w:pStyle w:val="ListBullet2"/>
        <w:spacing w:after="40"/>
      </w:pPr>
      <w:r>
        <w:t>AGRI Fitting</w:t>
      </w:r>
    </w:p>
    <w:p>
      <w:pPr>
        <w:pStyle w:val="ListBullet2"/>
        <w:spacing w:after="40"/>
      </w:pPr>
      <w:r>
        <w:t>AGRI Solvent</w:t>
      </w:r>
    </w:p>
    <w:p>
      <w:pPr>
        <w:spacing w:after="100"/>
      </w:pPr>
      <w:r>
        <w:t>There is also an Unclassified row in buffer_categories, but it is not one of the normal executable Plumbing categories.</w:t>
      </w:r>
    </w:p>
    <w:p>
      <w:pPr>
        <w:spacing w:after="100"/>
      </w:pPr>
      <w:r>
        <w:t>The category model comes from the Plumbing category constants, workbook material/type parsing, and FG Stock category mapping during item_master upsert. The current plan path uses the workbook’s per-row type rather than deriving Pipe/Fitting/Solvent directly from FG Stock.</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880"/>
            <w:vAlign w:val="center"/>
            <w:shd w:fill="17365D"/>
          </w:tcPr>
          <w:p>
            <w:pPr>
              <w:spacing w:after="0"/>
            </w:pPr>
            <w:r/>
            <w:r>
              <w:rPr>
                <w:rFonts w:ascii="Aptos" w:hAnsi="Aptos" w:eastAsia="Aptos"/>
                <w:b/>
                <w:color w:val="FFFFFF"/>
                <w:sz w:val="16"/>
              </w:rPr>
              <w:t>Category</w:t>
            </w:r>
          </w:p>
        </w:tc>
        <w:tc>
          <w:tcPr>
            <w:tcW w:type="dxa" w:w="1440"/>
            <w:vAlign w:val="center"/>
            <w:shd w:fill="17365D"/>
          </w:tcPr>
          <w:p>
            <w:pPr>
              <w:spacing w:after="0"/>
            </w:pPr>
            <w:r/>
            <w:r>
              <w:rPr>
                <w:rFonts w:ascii="Aptos" w:hAnsi="Aptos" w:eastAsia="Aptos"/>
                <w:b/>
                <w:color w:val="FFFFFF"/>
                <w:sz w:val="16"/>
              </w:rPr>
              <w:t>Multiplier</w:t>
            </w:r>
          </w:p>
        </w:tc>
        <w:tc>
          <w:tcPr>
            <w:tcW w:type="dxa" w:w="1440"/>
            <w:vAlign w:val="center"/>
            <w:shd w:fill="17365D"/>
          </w:tcPr>
          <w:p>
            <w:pPr>
              <w:spacing w:after="0"/>
            </w:pPr>
            <w:r/>
            <w:r>
              <w:rPr>
                <w:rFonts w:ascii="Aptos" w:hAnsi="Aptos" w:eastAsia="Aptos"/>
                <w:b/>
                <w:color w:val="FFFFFF"/>
                <w:sz w:val="16"/>
              </w:rPr>
              <w:t>Override</w:t>
            </w:r>
          </w:p>
        </w:tc>
        <w:tc>
          <w:tcPr>
            <w:tcW w:type="dxa" w:w="1440"/>
            <w:vAlign w:val="center"/>
            <w:shd w:fill="17365D"/>
          </w:tcPr>
          <w:p>
            <w:pPr>
              <w:spacing w:after="0"/>
            </w:pPr>
            <w:r/>
            <w:r>
              <w:rPr>
                <w:rFonts w:ascii="Aptos" w:hAnsi="Aptos" w:eastAsia="Aptos"/>
                <w:b/>
                <w:color w:val="FFFFFF"/>
                <w:sz w:val="16"/>
              </w:rPr>
              <w:t>Suggested</w:t>
            </w:r>
          </w:p>
        </w:tc>
      </w:tr>
      <w:tr>
        <w:trPr>
          <w:cantSplit/>
        </w:trPr>
        <w:tc>
          <w:tcPr>
            <w:tcW w:type="dxa" w:w="2880"/>
            <w:vAlign w:val="center"/>
          </w:tcPr>
          <w:p>
            <w:pPr>
              <w:spacing w:after="0"/>
            </w:pPr>
            <w:r/>
            <w:r>
              <w:rPr>
                <w:rFonts w:ascii="Aptos" w:hAnsi="Aptos" w:eastAsia="Aptos"/>
                <w:b w:val="0"/>
                <w:sz w:val="16"/>
              </w:rPr>
              <w:t>AGRI Fitting</w:t>
            </w:r>
          </w:p>
        </w:tc>
        <w:tc>
          <w:tcPr>
            <w:tcW w:type="dxa" w:w="1440"/>
            <w:vAlign w:val="center"/>
          </w:tcPr>
          <w:p>
            <w:pPr>
              <w:spacing w:after="0"/>
            </w:pPr>
            <w:r/>
            <w:r>
              <w:rPr>
                <w:rFonts w:ascii="Aptos" w:hAnsi="Aptos" w:eastAsia="Aptos"/>
                <w:b w:val="0"/>
                <w:sz w:val="16"/>
              </w:rPr>
              <w:t>1.27</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1.27</w:t>
            </w:r>
          </w:p>
        </w:tc>
      </w:tr>
      <w:tr>
        <w:trPr>
          <w:cantSplit/>
        </w:trPr>
        <w:tc>
          <w:tcPr>
            <w:tcW w:type="dxa" w:w="2880"/>
            <w:vAlign w:val="center"/>
            <w:shd w:fill="EAF2F8"/>
          </w:tcPr>
          <w:p>
            <w:pPr>
              <w:spacing w:after="0"/>
            </w:pPr>
            <w:r/>
            <w:r>
              <w:rPr>
                <w:rFonts w:ascii="Aptos" w:hAnsi="Aptos" w:eastAsia="Aptos"/>
                <w:b w:val="0"/>
                <w:sz w:val="16"/>
              </w:rPr>
              <w:t>AGRI Pipe</w:t>
            </w:r>
          </w:p>
        </w:tc>
        <w:tc>
          <w:tcPr>
            <w:tcW w:type="dxa" w:w="1440"/>
            <w:vAlign w:val="center"/>
            <w:shd w:fill="EAF2F8"/>
          </w:tcPr>
          <w:p>
            <w:pPr>
              <w:spacing w:after="0"/>
            </w:pPr>
            <w:r/>
            <w:r>
              <w:rPr>
                <w:rFonts w:ascii="Aptos" w:hAnsi="Aptos" w:eastAsia="Aptos"/>
                <w:b w:val="0"/>
                <w:sz w:val="16"/>
              </w:rPr>
              <w:t>1.38</w:t>
            </w:r>
          </w:p>
        </w:tc>
        <w:tc>
          <w:tcPr>
            <w:tcW w:type="dxa" w:w="1440"/>
            <w:vAlign w:val="center"/>
            <w:shd w:fill="EAF2F8"/>
          </w:tcPr>
          <w:p>
            <w:pPr>
              <w:spacing w:after="0"/>
            </w:pPr>
            <w:r/>
            <w:r>
              <w:rPr>
                <w:rFonts w:ascii="Aptos" w:hAnsi="Aptos" w:eastAsia="Aptos"/>
                <w:b w:val="0"/>
                <w:sz w:val="16"/>
              </w:rPr>
              <w:t>null</w:t>
            </w:r>
          </w:p>
        </w:tc>
        <w:tc>
          <w:tcPr>
            <w:tcW w:type="dxa" w:w="1440"/>
            <w:vAlign w:val="center"/>
            <w:shd w:fill="EAF2F8"/>
          </w:tcPr>
          <w:p>
            <w:pPr>
              <w:spacing w:after="0"/>
            </w:pPr>
            <w:r/>
            <w:r>
              <w:rPr>
                <w:rFonts w:ascii="Aptos" w:hAnsi="Aptos" w:eastAsia="Aptos"/>
                <w:b w:val="0"/>
                <w:sz w:val="16"/>
              </w:rPr>
              <w:t>1.38</w:t>
            </w:r>
          </w:p>
        </w:tc>
      </w:tr>
      <w:tr>
        <w:trPr>
          <w:cantSplit/>
        </w:trPr>
        <w:tc>
          <w:tcPr>
            <w:tcW w:type="dxa" w:w="2880"/>
            <w:vAlign w:val="center"/>
          </w:tcPr>
          <w:p>
            <w:pPr>
              <w:spacing w:after="0"/>
            </w:pPr>
            <w:r/>
            <w:r>
              <w:rPr>
                <w:rFonts w:ascii="Aptos" w:hAnsi="Aptos" w:eastAsia="Aptos"/>
                <w:b w:val="0"/>
                <w:sz w:val="16"/>
              </w:rPr>
              <w:t>AGRI Solvent</w:t>
            </w:r>
          </w:p>
        </w:tc>
        <w:tc>
          <w:tcPr>
            <w:tcW w:type="dxa" w:w="1440"/>
            <w:vAlign w:val="center"/>
          </w:tcPr>
          <w:p>
            <w:pPr>
              <w:spacing w:after="0"/>
            </w:pPr>
            <w:r/>
            <w:r>
              <w:rPr>
                <w:rFonts w:ascii="Aptos" w:hAnsi="Aptos" w:eastAsia="Aptos"/>
                <w:b w:val="0"/>
                <w:sz w:val="16"/>
              </w:rPr>
              <w:t>1.60</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1.60</w:t>
            </w:r>
          </w:p>
        </w:tc>
      </w:tr>
      <w:tr>
        <w:trPr>
          <w:cantSplit/>
        </w:trPr>
        <w:tc>
          <w:tcPr>
            <w:tcW w:type="dxa" w:w="2880"/>
            <w:vAlign w:val="center"/>
            <w:shd w:fill="EAF2F8"/>
          </w:tcPr>
          <w:p>
            <w:pPr>
              <w:spacing w:after="0"/>
            </w:pPr>
            <w:r/>
            <w:r>
              <w:rPr>
                <w:rFonts w:ascii="Aptos" w:hAnsi="Aptos" w:eastAsia="Aptos"/>
                <w:b w:val="0"/>
                <w:sz w:val="16"/>
              </w:rPr>
              <w:t>CPVC Fitting</w:t>
            </w:r>
          </w:p>
        </w:tc>
        <w:tc>
          <w:tcPr>
            <w:tcW w:type="dxa" w:w="1440"/>
            <w:vAlign w:val="center"/>
            <w:shd w:fill="EAF2F8"/>
          </w:tcPr>
          <w:p>
            <w:pPr>
              <w:spacing w:after="0"/>
            </w:pPr>
            <w:r/>
            <w:r>
              <w:rPr>
                <w:rFonts w:ascii="Aptos" w:hAnsi="Aptos" w:eastAsia="Aptos"/>
                <w:b w:val="0"/>
                <w:sz w:val="16"/>
              </w:rPr>
              <w:t>1.24</w:t>
            </w:r>
          </w:p>
        </w:tc>
        <w:tc>
          <w:tcPr>
            <w:tcW w:type="dxa" w:w="1440"/>
            <w:vAlign w:val="center"/>
            <w:shd w:fill="EAF2F8"/>
          </w:tcPr>
          <w:p>
            <w:pPr>
              <w:spacing w:after="0"/>
            </w:pPr>
            <w:r/>
            <w:r>
              <w:rPr>
                <w:rFonts w:ascii="Aptos" w:hAnsi="Aptos" w:eastAsia="Aptos"/>
                <w:b w:val="0"/>
                <w:sz w:val="16"/>
              </w:rPr>
              <w:t>null</w:t>
            </w:r>
          </w:p>
        </w:tc>
        <w:tc>
          <w:tcPr>
            <w:tcW w:type="dxa" w:w="1440"/>
            <w:vAlign w:val="center"/>
            <w:shd w:fill="EAF2F8"/>
          </w:tcPr>
          <w:p>
            <w:pPr>
              <w:spacing w:after="0"/>
            </w:pPr>
            <w:r/>
            <w:r>
              <w:rPr>
                <w:rFonts w:ascii="Aptos" w:hAnsi="Aptos" w:eastAsia="Aptos"/>
                <w:b w:val="0"/>
                <w:sz w:val="16"/>
              </w:rPr>
              <w:t>1.24</w:t>
            </w:r>
          </w:p>
        </w:tc>
      </w:tr>
      <w:tr>
        <w:trPr>
          <w:cantSplit/>
        </w:trPr>
        <w:tc>
          <w:tcPr>
            <w:tcW w:type="dxa" w:w="2880"/>
            <w:vAlign w:val="center"/>
          </w:tcPr>
          <w:p>
            <w:pPr>
              <w:spacing w:after="0"/>
            </w:pPr>
            <w:r/>
            <w:r>
              <w:rPr>
                <w:rFonts w:ascii="Aptos" w:hAnsi="Aptos" w:eastAsia="Aptos"/>
                <w:b w:val="0"/>
                <w:sz w:val="16"/>
              </w:rPr>
              <w:t>CPVC Pipe</w:t>
            </w:r>
          </w:p>
        </w:tc>
        <w:tc>
          <w:tcPr>
            <w:tcW w:type="dxa" w:w="1440"/>
            <w:vAlign w:val="center"/>
          </w:tcPr>
          <w:p>
            <w:pPr>
              <w:spacing w:after="0"/>
            </w:pPr>
            <w:r/>
            <w:r>
              <w:rPr>
                <w:rFonts w:ascii="Aptos" w:hAnsi="Aptos" w:eastAsia="Aptos"/>
                <w:b w:val="0"/>
                <w:sz w:val="16"/>
              </w:rPr>
              <w:t>1.28</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1.28</w:t>
            </w:r>
          </w:p>
        </w:tc>
      </w:tr>
      <w:tr>
        <w:trPr>
          <w:cantSplit/>
        </w:trPr>
        <w:tc>
          <w:tcPr>
            <w:tcW w:type="dxa" w:w="2880"/>
            <w:vAlign w:val="center"/>
            <w:shd w:fill="EAF2F8"/>
          </w:tcPr>
          <w:p>
            <w:pPr>
              <w:spacing w:after="0"/>
            </w:pPr>
            <w:r/>
            <w:r>
              <w:rPr>
                <w:rFonts w:ascii="Aptos" w:hAnsi="Aptos" w:eastAsia="Aptos"/>
                <w:b w:val="0"/>
                <w:sz w:val="16"/>
              </w:rPr>
              <w:t>CPVC Solvent</w:t>
            </w:r>
          </w:p>
        </w:tc>
        <w:tc>
          <w:tcPr>
            <w:tcW w:type="dxa" w:w="1440"/>
            <w:vAlign w:val="center"/>
            <w:shd w:fill="EAF2F8"/>
          </w:tcPr>
          <w:p>
            <w:pPr>
              <w:spacing w:after="0"/>
            </w:pPr>
            <w:r/>
            <w:r>
              <w:rPr>
                <w:rFonts w:ascii="Aptos" w:hAnsi="Aptos" w:eastAsia="Aptos"/>
                <w:b w:val="0"/>
                <w:sz w:val="16"/>
              </w:rPr>
              <w:t>1.30</w:t>
            </w:r>
          </w:p>
        </w:tc>
        <w:tc>
          <w:tcPr>
            <w:tcW w:type="dxa" w:w="1440"/>
            <w:vAlign w:val="center"/>
            <w:shd w:fill="EAF2F8"/>
          </w:tcPr>
          <w:p>
            <w:pPr>
              <w:spacing w:after="0"/>
            </w:pPr>
            <w:r/>
            <w:r>
              <w:rPr>
                <w:rFonts w:ascii="Aptos" w:hAnsi="Aptos" w:eastAsia="Aptos"/>
                <w:b w:val="0"/>
                <w:sz w:val="16"/>
              </w:rPr>
              <w:t>null</w:t>
            </w:r>
          </w:p>
        </w:tc>
        <w:tc>
          <w:tcPr>
            <w:tcW w:type="dxa" w:w="1440"/>
            <w:vAlign w:val="center"/>
            <w:shd w:fill="EAF2F8"/>
          </w:tcPr>
          <w:p>
            <w:pPr>
              <w:spacing w:after="0"/>
            </w:pPr>
            <w:r/>
            <w:r>
              <w:rPr>
                <w:rFonts w:ascii="Aptos" w:hAnsi="Aptos" w:eastAsia="Aptos"/>
                <w:b w:val="0"/>
                <w:sz w:val="16"/>
              </w:rPr>
              <w:t>1.30</w:t>
            </w:r>
          </w:p>
        </w:tc>
      </w:tr>
      <w:tr>
        <w:trPr>
          <w:cantSplit/>
        </w:trPr>
        <w:tc>
          <w:tcPr>
            <w:tcW w:type="dxa" w:w="2880"/>
            <w:vAlign w:val="center"/>
          </w:tcPr>
          <w:p>
            <w:pPr>
              <w:spacing w:after="0"/>
            </w:pPr>
            <w:r/>
            <w:r>
              <w:rPr>
                <w:rFonts w:ascii="Aptos" w:hAnsi="Aptos" w:eastAsia="Aptos"/>
                <w:b w:val="0"/>
                <w:sz w:val="16"/>
              </w:rPr>
              <w:t>SWR Fitting</w:t>
            </w:r>
          </w:p>
        </w:tc>
        <w:tc>
          <w:tcPr>
            <w:tcW w:type="dxa" w:w="1440"/>
            <w:vAlign w:val="center"/>
          </w:tcPr>
          <w:p>
            <w:pPr>
              <w:spacing w:after="0"/>
            </w:pPr>
            <w:r/>
            <w:r>
              <w:rPr>
                <w:rFonts w:ascii="Aptos" w:hAnsi="Aptos" w:eastAsia="Aptos"/>
                <w:b w:val="0"/>
                <w:sz w:val="16"/>
              </w:rPr>
              <w:t>1.43</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1.43</w:t>
            </w:r>
          </w:p>
        </w:tc>
      </w:tr>
      <w:tr>
        <w:trPr>
          <w:cantSplit/>
        </w:trPr>
        <w:tc>
          <w:tcPr>
            <w:tcW w:type="dxa" w:w="2880"/>
            <w:vAlign w:val="center"/>
            <w:shd w:fill="EAF2F8"/>
          </w:tcPr>
          <w:p>
            <w:pPr>
              <w:spacing w:after="0"/>
            </w:pPr>
            <w:r/>
            <w:r>
              <w:rPr>
                <w:rFonts w:ascii="Aptos" w:hAnsi="Aptos" w:eastAsia="Aptos"/>
                <w:b w:val="0"/>
                <w:sz w:val="16"/>
              </w:rPr>
              <w:t>SWR Pipe</w:t>
            </w:r>
          </w:p>
        </w:tc>
        <w:tc>
          <w:tcPr>
            <w:tcW w:type="dxa" w:w="1440"/>
            <w:vAlign w:val="center"/>
            <w:shd w:fill="EAF2F8"/>
          </w:tcPr>
          <w:p>
            <w:pPr>
              <w:spacing w:after="0"/>
            </w:pPr>
            <w:r/>
            <w:r>
              <w:rPr>
                <w:rFonts w:ascii="Aptos" w:hAnsi="Aptos" w:eastAsia="Aptos"/>
                <w:b w:val="0"/>
                <w:sz w:val="16"/>
              </w:rPr>
              <w:t>1.31</w:t>
            </w:r>
          </w:p>
        </w:tc>
        <w:tc>
          <w:tcPr>
            <w:tcW w:type="dxa" w:w="1440"/>
            <w:vAlign w:val="center"/>
            <w:shd w:fill="EAF2F8"/>
          </w:tcPr>
          <w:p>
            <w:pPr>
              <w:spacing w:after="0"/>
            </w:pPr>
            <w:r/>
            <w:r>
              <w:rPr>
                <w:rFonts w:ascii="Aptos" w:hAnsi="Aptos" w:eastAsia="Aptos"/>
                <w:b w:val="0"/>
                <w:sz w:val="16"/>
              </w:rPr>
              <w:t>null</w:t>
            </w:r>
          </w:p>
        </w:tc>
        <w:tc>
          <w:tcPr>
            <w:tcW w:type="dxa" w:w="1440"/>
            <w:vAlign w:val="center"/>
            <w:shd w:fill="EAF2F8"/>
          </w:tcPr>
          <w:p>
            <w:pPr>
              <w:spacing w:after="0"/>
            </w:pPr>
            <w:r/>
            <w:r>
              <w:rPr>
                <w:rFonts w:ascii="Aptos" w:hAnsi="Aptos" w:eastAsia="Aptos"/>
                <w:b w:val="0"/>
                <w:sz w:val="16"/>
              </w:rPr>
              <w:t>1.31</w:t>
            </w:r>
          </w:p>
        </w:tc>
      </w:tr>
      <w:tr>
        <w:trPr>
          <w:cantSplit/>
        </w:trPr>
        <w:tc>
          <w:tcPr>
            <w:tcW w:type="dxa" w:w="2880"/>
            <w:vAlign w:val="center"/>
          </w:tcPr>
          <w:p>
            <w:pPr>
              <w:spacing w:after="0"/>
            </w:pPr>
            <w:r/>
            <w:r>
              <w:rPr>
                <w:rFonts w:ascii="Aptos" w:hAnsi="Aptos" w:eastAsia="Aptos"/>
                <w:b w:val="0"/>
                <w:sz w:val="16"/>
              </w:rPr>
              <w:t>SWR Solvent</w:t>
            </w:r>
          </w:p>
        </w:tc>
        <w:tc>
          <w:tcPr>
            <w:tcW w:type="dxa" w:w="1440"/>
            <w:vAlign w:val="center"/>
          </w:tcPr>
          <w:p>
            <w:pPr>
              <w:spacing w:after="0"/>
            </w:pPr>
            <w:r/>
            <w:r>
              <w:rPr>
                <w:rFonts w:ascii="Aptos" w:hAnsi="Aptos" w:eastAsia="Aptos"/>
                <w:b w:val="0"/>
                <w:sz w:val="16"/>
              </w:rPr>
              <w:t>1.00</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null</w:t>
            </w:r>
          </w:p>
        </w:tc>
      </w:tr>
      <w:tr>
        <w:trPr>
          <w:cantSplit/>
        </w:trPr>
        <w:tc>
          <w:tcPr>
            <w:tcW w:type="dxa" w:w="2880"/>
            <w:vAlign w:val="center"/>
            <w:shd w:fill="EAF2F8"/>
          </w:tcPr>
          <w:p>
            <w:pPr>
              <w:spacing w:after="0"/>
            </w:pPr>
            <w:r/>
            <w:r>
              <w:rPr>
                <w:rFonts w:ascii="Aptos" w:hAnsi="Aptos" w:eastAsia="Aptos"/>
                <w:b w:val="0"/>
                <w:sz w:val="16"/>
              </w:rPr>
              <w:t>UPVC Fitting</w:t>
            </w:r>
          </w:p>
        </w:tc>
        <w:tc>
          <w:tcPr>
            <w:tcW w:type="dxa" w:w="1440"/>
            <w:vAlign w:val="center"/>
            <w:shd w:fill="EAF2F8"/>
          </w:tcPr>
          <w:p>
            <w:pPr>
              <w:spacing w:after="0"/>
            </w:pPr>
            <w:r/>
            <w:r>
              <w:rPr>
                <w:rFonts w:ascii="Aptos" w:hAnsi="Aptos" w:eastAsia="Aptos"/>
                <w:b w:val="0"/>
                <w:sz w:val="16"/>
              </w:rPr>
              <w:t>1.23</w:t>
            </w:r>
          </w:p>
        </w:tc>
        <w:tc>
          <w:tcPr>
            <w:tcW w:type="dxa" w:w="1440"/>
            <w:vAlign w:val="center"/>
            <w:shd w:fill="EAF2F8"/>
          </w:tcPr>
          <w:p>
            <w:pPr>
              <w:spacing w:after="0"/>
            </w:pPr>
            <w:r/>
            <w:r>
              <w:rPr>
                <w:rFonts w:ascii="Aptos" w:hAnsi="Aptos" w:eastAsia="Aptos"/>
                <w:b w:val="0"/>
                <w:sz w:val="16"/>
              </w:rPr>
              <w:t>null</w:t>
            </w:r>
          </w:p>
        </w:tc>
        <w:tc>
          <w:tcPr>
            <w:tcW w:type="dxa" w:w="1440"/>
            <w:vAlign w:val="center"/>
            <w:shd w:fill="EAF2F8"/>
          </w:tcPr>
          <w:p>
            <w:pPr>
              <w:spacing w:after="0"/>
            </w:pPr>
            <w:r/>
            <w:r>
              <w:rPr>
                <w:rFonts w:ascii="Aptos" w:hAnsi="Aptos" w:eastAsia="Aptos"/>
                <w:b w:val="0"/>
                <w:sz w:val="16"/>
              </w:rPr>
              <w:t>1.23</w:t>
            </w:r>
          </w:p>
        </w:tc>
      </w:tr>
      <w:tr>
        <w:trPr>
          <w:cantSplit/>
        </w:trPr>
        <w:tc>
          <w:tcPr>
            <w:tcW w:type="dxa" w:w="2880"/>
            <w:vAlign w:val="center"/>
          </w:tcPr>
          <w:p>
            <w:pPr>
              <w:spacing w:after="0"/>
            </w:pPr>
            <w:r/>
            <w:r>
              <w:rPr>
                <w:rFonts w:ascii="Aptos" w:hAnsi="Aptos" w:eastAsia="Aptos"/>
                <w:b w:val="0"/>
                <w:sz w:val="16"/>
              </w:rPr>
              <w:t>UPVC Pipe</w:t>
            </w:r>
          </w:p>
        </w:tc>
        <w:tc>
          <w:tcPr>
            <w:tcW w:type="dxa" w:w="1440"/>
            <w:vAlign w:val="center"/>
          </w:tcPr>
          <w:p>
            <w:pPr>
              <w:spacing w:after="0"/>
            </w:pPr>
            <w:r/>
            <w:r>
              <w:rPr>
                <w:rFonts w:ascii="Aptos" w:hAnsi="Aptos" w:eastAsia="Aptos"/>
                <w:b w:val="0"/>
                <w:sz w:val="16"/>
              </w:rPr>
              <w:t>1.33</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1.33</w:t>
            </w:r>
          </w:p>
        </w:tc>
      </w:tr>
      <w:tr>
        <w:trPr>
          <w:cantSplit/>
        </w:trPr>
        <w:tc>
          <w:tcPr>
            <w:tcW w:type="dxa" w:w="2880"/>
            <w:vAlign w:val="center"/>
            <w:shd w:fill="EAF2F8"/>
          </w:tcPr>
          <w:p>
            <w:pPr>
              <w:spacing w:after="0"/>
            </w:pPr>
            <w:r/>
            <w:r>
              <w:rPr>
                <w:rFonts w:ascii="Aptos" w:hAnsi="Aptos" w:eastAsia="Aptos"/>
                <w:b w:val="0"/>
                <w:sz w:val="16"/>
              </w:rPr>
              <w:t>UPVC Solvent</w:t>
            </w:r>
          </w:p>
        </w:tc>
        <w:tc>
          <w:tcPr>
            <w:tcW w:type="dxa" w:w="1440"/>
            <w:vAlign w:val="center"/>
            <w:shd w:fill="EAF2F8"/>
          </w:tcPr>
          <w:p>
            <w:pPr>
              <w:spacing w:after="0"/>
            </w:pPr>
            <w:r/>
            <w:r>
              <w:rPr>
                <w:rFonts w:ascii="Aptos" w:hAnsi="Aptos" w:eastAsia="Aptos"/>
                <w:b w:val="0"/>
                <w:sz w:val="16"/>
              </w:rPr>
              <w:t>1.59</w:t>
            </w:r>
          </w:p>
        </w:tc>
        <w:tc>
          <w:tcPr>
            <w:tcW w:type="dxa" w:w="1440"/>
            <w:vAlign w:val="center"/>
            <w:shd w:fill="EAF2F8"/>
          </w:tcPr>
          <w:p>
            <w:pPr>
              <w:spacing w:after="0"/>
            </w:pPr>
            <w:r/>
            <w:r>
              <w:rPr>
                <w:rFonts w:ascii="Aptos" w:hAnsi="Aptos" w:eastAsia="Aptos"/>
                <w:b w:val="0"/>
                <w:sz w:val="16"/>
              </w:rPr>
              <w:t>null</w:t>
            </w:r>
          </w:p>
        </w:tc>
        <w:tc>
          <w:tcPr>
            <w:tcW w:type="dxa" w:w="1440"/>
            <w:vAlign w:val="center"/>
            <w:shd w:fill="EAF2F8"/>
          </w:tcPr>
          <w:p>
            <w:pPr>
              <w:spacing w:after="0"/>
            </w:pPr>
            <w:r/>
            <w:r>
              <w:rPr>
                <w:rFonts w:ascii="Aptos" w:hAnsi="Aptos" w:eastAsia="Aptos"/>
                <w:b w:val="0"/>
                <w:sz w:val="16"/>
              </w:rPr>
              <w:t>1.59</w:t>
            </w:r>
          </w:p>
        </w:tc>
      </w:tr>
      <w:tr>
        <w:trPr>
          <w:cantSplit/>
        </w:trPr>
        <w:tc>
          <w:tcPr>
            <w:tcW w:type="dxa" w:w="2880"/>
            <w:vAlign w:val="center"/>
          </w:tcPr>
          <w:p>
            <w:pPr>
              <w:spacing w:after="0"/>
            </w:pPr>
            <w:r/>
            <w:r>
              <w:rPr>
                <w:rFonts w:ascii="Aptos" w:hAnsi="Aptos" w:eastAsia="Aptos"/>
                <w:b w:val="0"/>
                <w:sz w:val="16"/>
              </w:rPr>
              <w:t>Unclassified</w:t>
            </w:r>
          </w:p>
        </w:tc>
        <w:tc>
          <w:tcPr>
            <w:tcW w:type="dxa" w:w="1440"/>
            <w:vAlign w:val="center"/>
          </w:tcPr>
          <w:p>
            <w:pPr>
              <w:spacing w:after="0"/>
            </w:pPr>
            <w:r/>
            <w:r>
              <w:rPr>
                <w:rFonts w:ascii="Aptos" w:hAnsi="Aptos" w:eastAsia="Aptos"/>
                <w:b w:val="0"/>
                <w:sz w:val="16"/>
              </w:rPr>
              <w:t>1.00</w:t>
            </w:r>
          </w:p>
        </w:tc>
        <w:tc>
          <w:tcPr>
            <w:tcW w:type="dxa" w:w="1440"/>
            <w:vAlign w:val="center"/>
          </w:tcPr>
          <w:p>
            <w:pPr>
              <w:spacing w:after="0"/>
            </w:pPr>
            <w:r/>
            <w:r>
              <w:rPr>
                <w:rFonts w:ascii="Aptos" w:hAnsi="Aptos" w:eastAsia="Aptos"/>
                <w:b w:val="0"/>
                <w:sz w:val="16"/>
              </w:rPr>
              <w:t>null</w:t>
            </w:r>
          </w:p>
        </w:tc>
        <w:tc>
          <w:tcPr>
            <w:tcW w:type="dxa" w:w="1440"/>
            <w:vAlign w:val="center"/>
          </w:tcPr>
          <w:p>
            <w:pPr>
              <w:spacing w:after="0"/>
            </w:pPr>
            <w:r/>
            <w:r>
              <w:rPr>
                <w:rFonts w:ascii="Aptos" w:hAnsi="Aptos" w:eastAsia="Aptos"/>
                <w:b w:val="0"/>
                <w:sz w:val="16"/>
              </w:rPr>
              <w:t>null</w:t>
            </w:r>
          </w:p>
        </w:tc>
      </w:tr>
    </w:tbl>
    <w:p>
      <w:pPr>
        <w:spacing w:after="0"/>
      </w:pPr>
    </w:p>
    <w:p>
      <w:pPr>
        <w:spacing w:after="100"/>
      </w:pPr>
      <w:r>
        <w:t>AGRI is present. HDPE has no canonical category row, no effective HDPE planning tab, and no effective September roster rows.</w:t>
      </w:r>
    </w:p>
    <w:p>
      <w:pPr>
        <w:spacing w:after="100"/>
      </w:pPr>
      <w:r>
        <w:t>Multiplier bounds: workbook per-row parsing accepts 0.5 through 3.0 inclusive. Values outside that range fall back. Buffer-category API updates reject non-numeric or negative values, so the API/database bound is non-negative rather than capped at 1.5.</w:t>
      </w:r>
    </w:p>
    <w:p>
      <w:pPr>
        <w:pStyle w:val="Heading1"/>
      </w:pPr>
      <w:r>
        <w:t>PA.2 — Upload kind and period detection</w:t>
      </w:r>
    </w:p>
    <w:p>
      <w:pPr>
        <w:spacing w:after="100"/>
      </w:pPr>
      <w:r>
        <w:t>The Plumbing FG Stock upload is a month-lagged source. The upload period is selected using an explicit YYYY-MM value when supplied, otherwise a recognized filename month/year, otherwise the upload timestamp.</w:t>
      </w:r>
    </w:p>
    <w:p>
      <w:pPr>
        <w:spacing w:after="100"/>
      </w:pPr>
      <w:r>
        <w:t>For the exact filename “FG Stock and Pending production month of August.xlsx”, the filename parser finds no year beside August. It therefore returns no source month and falls back to the upload date. If uploaded on 8 September 2026, it derives to planning month 2026-09. If uploaded in August, it derives to 2026-08 and is not selected for a September plan.</w:t>
      </w:r>
    </w:p>
    <w:p>
      <w:pPr>
        <w:spacing w:after="100"/>
      </w:pPr>
      <w:r>
        <w:t>Worksheet behavior:</w:t>
      </w:r>
    </w:p>
    <w:p>
      <w:pPr>
        <w:pStyle w:val="ListBullet"/>
        <w:spacing w:after="40"/>
      </w:pPr>
      <w:r>
        <w:t>The workbook contains FG Stock and Pending Prod. The FG Stock tab carries Item Code and Net Stock; Pending Prod. does not.</w:t>
      </w:r>
    </w:p>
    <w:p>
      <w:pPr>
        <w:pStyle w:val="ListBullet"/>
        <w:spacing w:after="40"/>
      </w:pPr>
      <w:r>
        <w:t>Generic worksheet inspection scans the first 10 rows using general header hints and can fall back to the accepted worksheet name FG Stock.</w:t>
      </w:r>
    </w:p>
    <w:p>
      <w:pPr>
        <w:pStyle w:val="ListBullet"/>
        <w:spacing w:after="40"/>
      </w:pPr>
      <w:r>
        <w:t>The Plumbing-specific parser scans the first 15 rows, indexes 0 through 14, for a row containing both Item Code and Net Stock.</w:t>
      </w:r>
    </w:p>
    <w:p>
      <w:pPr>
        <w:pStyle w:val="ListBullet"/>
        <w:spacing w:after="40"/>
      </w:pPr>
      <w:r>
        <w:t>The described header is row 4, zero-based index 3. If no matching header is found in the first 15 rows, the parser leaves the header index at 0 rather than raising a dedicated header error.</w:t>
      </w:r>
    </w:p>
    <w:p>
      <w:pPr>
        <w:pStyle w:val="Heading1"/>
      </w:pPr>
      <w:r>
        <w:t>PA.3 — Plumbing pending segment filter</w:t>
      </w:r>
    </w:p>
    <w:p>
      <w:pPr>
        <w:spacing w:after="100"/>
      </w:pPr>
      <w:r>
        <w:t>The current filter accepts these segment values: PLUMBING, P, PL, AGRI, CPVC, UPVC, and SWR.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160"/>
            <w:vAlign w:val="center"/>
            <w:shd w:fill="17365D"/>
          </w:tcPr>
          <w:p>
            <w:pPr>
              <w:spacing w:after="0"/>
            </w:pPr>
            <w:r/>
            <w:r>
              <w:rPr>
                <w:rFonts w:ascii="Aptos" w:hAnsi="Aptos" w:eastAsia="Aptos"/>
                <w:b/>
                <w:color w:val="FFFFFF"/>
                <w:sz w:val="16"/>
              </w:rPr>
              <w:t>Segment</w:t>
            </w:r>
          </w:p>
        </w:tc>
        <w:tc>
          <w:tcPr>
            <w:tcW w:type="dxa" w:w="1440"/>
            <w:vAlign w:val="center"/>
            <w:shd w:fill="17365D"/>
          </w:tcPr>
          <w:p>
            <w:pPr>
              <w:spacing w:after="0"/>
            </w:pPr>
            <w:r/>
            <w:r>
              <w:rPr>
                <w:rFonts w:ascii="Aptos" w:hAnsi="Aptos" w:eastAsia="Aptos"/>
                <w:b/>
                <w:color w:val="FFFFFF"/>
                <w:sz w:val="16"/>
              </w:rPr>
              <w:t>Rows</w:t>
            </w:r>
          </w:p>
        </w:tc>
        <w:tc>
          <w:tcPr>
            <w:tcW w:type="dxa" w:w="1872"/>
            <w:vAlign w:val="center"/>
            <w:shd w:fill="17365D"/>
          </w:tcPr>
          <w:p>
            <w:pPr>
              <w:spacing w:after="0"/>
            </w:pPr>
            <w:r/>
            <w:r>
              <w:rPr>
                <w:rFonts w:ascii="Aptos" w:hAnsi="Aptos" w:eastAsia="Aptos"/>
                <w:b/>
                <w:color w:val="FFFFFF"/>
                <w:sz w:val="16"/>
              </w:rPr>
              <w:t>Balance Qty</w:t>
            </w:r>
          </w:p>
        </w:tc>
      </w:tr>
      <w:tr>
        <w:trPr>
          <w:cantSplit/>
        </w:trPr>
        <w:tc>
          <w:tcPr>
            <w:tcW w:type="dxa" w:w="2160"/>
            <w:vAlign w:val="center"/>
          </w:tcPr>
          <w:p>
            <w:pPr>
              <w:spacing w:after="0"/>
            </w:pPr>
            <w:r/>
            <w:r>
              <w:rPr>
                <w:rFonts w:ascii="Aptos" w:hAnsi="Aptos" w:eastAsia="Aptos"/>
                <w:b w:val="0"/>
                <w:sz w:val="16"/>
              </w:rPr>
              <w:t>PLUMBING</w:t>
            </w:r>
          </w:p>
        </w:tc>
        <w:tc>
          <w:tcPr>
            <w:tcW w:type="dxa" w:w="1440"/>
            <w:vAlign w:val="center"/>
          </w:tcPr>
          <w:p>
            <w:pPr>
              <w:spacing w:after="0"/>
            </w:pPr>
            <w:r/>
            <w:r>
              <w:rPr>
                <w:rFonts w:ascii="Aptos" w:hAnsi="Aptos" w:eastAsia="Aptos"/>
                <w:b w:val="0"/>
                <w:sz w:val="16"/>
              </w:rPr>
              <w:t>170</w:t>
            </w:r>
          </w:p>
        </w:tc>
        <w:tc>
          <w:tcPr>
            <w:tcW w:type="dxa" w:w="1872"/>
            <w:vAlign w:val="center"/>
          </w:tcPr>
          <w:p>
            <w:pPr>
              <w:spacing w:after="0"/>
            </w:pPr>
            <w:r/>
            <w:r>
              <w:rPr>
                <w:rFonts w:ascii="Aptos" w:hAnsi="Aptos" w:eastAsia="Aptos"/>
                <w:b w:val="0"/>
                <w:sz w:val="16"/>
              </w:rPr>
              <w:t>68,003</w:t>
            </w:r>
          </w:p>
        </w:tc>
      </w:tr>
      <w:tr>
        <w:trPr>
          <w:cantSplit/>
        </w:trPr>
        <w:tc>
          <w:tcPr>
            <w:tcW w:type="dxa" w:w="2160"/>
            <w:vAlign w:val="center"/>
            <w:shd w:fill="EAF2F8"/>
          </w:tcPr>
          <w:p>
            <w:pPr>
              <w:spacing w:after="0"/>
            </w:pPr>
            <w:r/>
            <w:r>
              <w:rPr>
                <w:rFonts w:ascii="Aptos" w:hAnsi="Aptos" w:eastAsia="Aptos"/>
                <w:b w:val="0"/>
                <w:sz w:val="16"/>
              </w:rPr>
              <w:t>PL</w:t>
            </w:r>
          </w:p>
        </w:tc>
        <w:tc>
          <w:tcPr>
            <w:tcW w:type="dxa" w:w="1440"/>
            <w:vAlign w:val="center"/>
            <w:shd w:fill="EAF2F8"/>
          </w:tcPr>
          <w:p>
            <w:pPr>
              <w:spacing w:after="0"/>
            </w:pPr>
            <w:r/>
            <w:r>
              <w:rPr>
                <w:rFonts w:ascii="Aptos" w:hAnsi="Aptos" w:eastAsia="Aptos"/>
                <w:b w:val="0"/>
                <w:sz w:val="16"/>
              </w:rPr>
              <w:t>9</w:t>
            </w:r>
          </w:p>
        </w:tc>
        <w:tc>
          <w:tcPr>
            <w:tcW w:type="dxa" w:w="1872"/>
            <w:vAlign w:val="center"/>
            <w:shd w:fill="EAF2F8"/>
          </w:tcPr>
          <w:p>
            <w:pPr>
              <w:spacing w:after="0"/>
            </w:pPr>
            <w:r/>
            <w:r>
              <w:rPr>
                <w:rFonts w:ascii="Aptos" w:hAnsi="Aptos" w:eastAsia="Aptos"/>
                <w:b w:val="0"/>
                <w:sz w:val="16"/>
              </w:rPr>
              <w:t>1,789</w:t>
            </w:r>
          </w:p>
        </w:tc>
      </w:tr>
      <w:tr>
        <w:trPr>
          <w:cantSplit/>
        </w:trPr>
        <w:tc>
          <w:tcPr>
            <w:tcW w:type="dxa" w:w="2160"/>
            <w:vAlign w:val="center"/>
          </w:tcPr>
          <w:p>
            <w:pPr>
              <w:spacing w:after="0"/>
            </w:pPr>
            <w:r/>
            <w:r>
              <w:rPr>
                <w:rFonts w:ascii="Aptos" w:hAnsi="Aptos" w:eastAsia="Aptos"/>
                <w:b w:val="0"/>
                <w:sz w:val="16"/>
              </w:rPr>
              <w:t>AGRI</w:t>
            </w:r>
          </w:p>
        </w:tc>
        <w:tc>
          <w:tcPr>
            <w:tcW w:type="dxa" w:w="1440"/>
            <w:vAlign w:val="center"/>
          </w:tcPr>
          <w:p>
            <w:pPr>
              <w:spacing w:after="0"/>
            </w:pPr>
            <w:r/>
            <w:r>
              <w:rPr>
                <w:rFonts w:ascii="Aptos" w:hAnsi="Aptos" w:eastAsia="Aptos"/>
                <w:b w:val="0"/>
                <w:sz w:val="16"/>
              </w:rPr>
              <w:t>6</w:t>
            </w:r>
          </w:p>
        </w:tc>
        <w:tc>
          <w:tcPr>
            <w:tcW w:type="dxa" w:w="1872"/>
            <w:vAlign w:val="center"/>
          </w:tcPr>
          <w:p>
            <w:pPr>
              <w:spacing w:after="0"/>
            </w:pPr>
            <w:r/>
            <w:r>
              <w:rPr>
                <w:rFonts w:ascii="Aptos" w:hAnsi="Aptos" w:eastAsia="Aptos"/>
                <w:b w:val="0"/>
                <w:sz w:val="16"/>
              </w:rPr>
              <w:t>388</w:t>
            </w:r>
          </w:p>
        </w:tc>
      </w:tr>
      <w:tr>
        <w:trPr>
          <w:cantSplit/>
        </w:trPr>
        <w:tc>
          <w:tcPr>
            <w:tcW w:type="dxa" w:w="2160"/>
            <w:vAlign w:val="center"/>
            <w:shd w:fill="EAF2F8"/>
          </w:tcPr>
          <w:p>
            <w:pPr>
              <w:spacing w:after="0"/>
            </w:pPr>
            <w:r/>
            <w:r>
              <w:rPr>
                <w:rFonts w:ascii="Aptos" w:hAnsi="Aptos" w:eastAsia="Aptos"/>
                <w:b w:val="0"/>
                <w:sz w:val="16"/>
              </w:rPr>
              <w:t>Plumbing total</w:t>
            </w:r>
          </w:p>
        </w:tc>
        <w:tc>
          <w:tcPr>
            <w:tcW w:type="dxa" w:w="1440"/>
            <w:vAlign w:val="center"/>
            <w:shd w:fill="EAF2F8"/>
          </w:tcPr>
          <w:p>
            <w:pPr>
              <w:spacing w:after="0"/>
            </w:pPr>
            <w:r/>
            <w:r>
              <w:rPr>
                <w:rFonts w:ascii="Aptos" w:hAnsi="Aptos" w:eastAsia="Aptos"/>
                <w:b w:val="0"/>
                <w:sz w:val="16"/>
              </w:rPr>
              <w:t>185</w:t>
            </w:r>
          </w:p>
        </w:tc>
        <w:tc>
          <w:tcPr>
            <w:tcW w:type="dxa" w:w="1872"/>
            <w:vAlign w:val="center"/>
            <w:shd w:fill="EAF2F8"/>
          </w:tcPr>
          <w:p>
            <w:pPr>
              <w:spacing w:after="0"/>
            </w:pPr>
            <w:r/>
            <w:r>
              <w:rPr>
                <w:rFonts w:ascii="Aptos" w:hAnsi="Aptos" w:eastAsia="Aptos"/>
                <w:b w:val="0"/>
                <w:sz w:val="16"/>
              </w:rPr>
              <w:t>70,180</w:t>
            </w:r>
          </w:p>
        </w:tc>
      </w:tr>
    </w:tbl>
    <w:p>
      <w:pPr>
        <w:spacing w:after="0"/>
      </w:pPr>
    </w:p>
    <w:p>
      <w:pPr>
        <w:spacing w:after="100"/>
      </w:pPr>
      <w:r>
        <w:t>The current stored pending upload therefore produces 70,180 pieces from the PLUMBING + PL + AGRI rows.</w:t>
      </w:r>
    </w:p>
    <w:p>
      <w:pPr>
        <w:spacing w:after="100"/>
      </w:pPr>
      <w:r>
        <w:t>PL rows: 9 rows and 6 distinct codes:</w:t>
      </w:r>
    </w:p>
    <w:p>
      <w:pPr>
        <w:spacing w:after="100"/>
      </w:pPr>
      <w:r>
        <w:t>5110S, PB132, PB232, PG45, PLB162, UH86-S</w:t>
      </w:r>
    </w:p>
    <w:p>
      <w:pPr>
        <w:spacing w:after="100"/>
      </w:pPr>
      <w:r>
        <w:t>PT rows: 92 rows totaling 156 pieces. PT is treated as PTMT, not Plumbing. Distinct PT codes observed:</w:t>
      </w:r>
    </w:p>
    <w:p>
      <w:pPr>
        <w:spacing w:after="100"/>
      </w:pPr>
      <w:r>
        <w:t>120-R, 121-S, 123-D, 123-S, 123-WS, 124-W, 124-WS, 125-S, 125-WS, 129-S, 130-D, 1311, 132-D, 132-P, 1322-S, 1323, 1375-B, 1375-SF, 1375-SFG, 1391-M, 140, 144-D, 145-S, 147-S, 149-S, 1491, 150-D, 163, 164, 1821-C, 186, 187, 189, 190, 192, 199, 328, 342, 513, 701, 704, HPT-21, HPT-65, HPTA-14, P-121, PTA-53</w:t>
      </w:r>
    </w:p>
    <w:p>
      <w:pPr>
        <w:pStyle w:val="Heading1"/>
      </w:pPr>
      <w:r>
        <w:t>PA.4 — FG Stock category mapping</w:t>
      </w:r>
    </w:p>
    <w:p>
      <w:pPr>
        <w:spacing w:after="100"/>
      </w:pPr>
      <w:r>
        <w:t>The upload-side mapping function is inferPlumbingCategory(rawCategory, itemName). Matching is case-insensitive. TRADING rows are checked first; a Trading row maps to Solvent only when the item name contains SOLVENT or CEMENT and the material is known. Unknown or excluded rows are skipped.</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vAlign w:val="center"/>
            <w:shd w:fill="17365D"/>
          </w:tcPr>
          <w:p>
            <w:pPr>
              <w:spacing w:after="0"/>
            </w:pPr>
            <w:r/>
            <w:r>
              <w:rPr>
                <w:rFonts w:ascii="Aptos" w:hAnsi="Aptos" w:eastAsia="Aptos"/>
                <w:b/>
                <w:color w:val="FFFFFF"/>
                <w:sz w:val="16"/>
              </w:rPr>
              <w:t>Source Category</w:t>
            </w:r>
          </w:p>
        </w:tc>
        <w:tc>
          <w:tcPr>
            <w:tcW w:type="dxa" w:w="6912"/>
            <w:vAlign w:val="center"/>
            <w:shd w:fill="17365D"/>
          </w:tcPr>
          <w:p>
            <w:pPr>
              <w:spacing w:after="0"/>
            </w:pPr>
            <w:r/>
            <w:r>
              <w:rPr>
                <w:rFonts w:ascii="Aptos" w:hAnsi="Aptos" w:eastAsia="Aptos"/>
                <w:b/>
                <w:color w:val="FFFFFF"/>
                <w:sz w:val="16"/>
              </w:rPr>
              <w:t>Current Mapping</w:t>
            </w:r>
          </w:p>
        </w:tc>
      </w:tr>
      <w:tr>
        <w:trPr>
          <w:cantSplit/>
        </w:trPr>
        <w:tc>
          <w:tcPr>
            <w:tcW w:type="dxa" w:w="2448"/>
            <w:vAlign w:val="center"/>
          </w:tcPr>
          <w:p>
            <w:pPr>
              <w:spacing w:after="0"/>
            </w:pPr>
            <w:r/>
            <w:r>
              <w:rPr>
                <w:rFonts w:ascii="Aptos" w:hAnsi="Aptos" w:eastAsia="Aptos"/>
                <w:b w:val="0"/>
                <w:sz w:val="16"/>
              </w:rPr>
              <w:t>CPVC-FG</w:t>
            </w:r>
          </w:p>
        </w:tc>
        <w:tc>
          <w:tcPr>
            <w:tcW w:type="dxa" w:w="6912"/>
            <w:vAlign w:val="center"/>
          </w:tcPr>
          <w:p>
            <w:pPr>
              <w:spacing w:after="0"/>
            </w:pPr>
            <w:r/>
            <w:r>
              <w:rPr>
                <w:rFonts w:ascii="Aptos" w:hAnsi="Aptos" w:eastAsia="Aptos"/>
                <w:b w:val="0"/>
                <w:sz w:val="16"/>
              </w:rPr>
              <w:t>CPVC Fitting</w:t>
            </w:r>
          </w:p>
        </w:tc>
      </w:tr>
      <w:tr>
        <w:trPr>
          <w:cantSplit/>
        </w:trPr>
        <w:tc>
          <w:tcPr>
            <w:tcW w:type="dxa" w:w="2448"/>
            <w:vAlign w:val="center"/>
            <w:shd w:fill="EAF2F8"/>
          </w:tcPr>
          <w:p>
            <w:pPr>
              <w:spacing w:after="0"/>
            </w:pPr>
            <w:r/>
            <w:r>
              <w:rPr>
                <w:rFonts w:ascii="Aptos" w:hAnsi="Aptos" w:eastAsia="Aptos"/>
                <w:b w:val="0"/>
                <w:sz w:val="16"/>
              </w:rPr>
              <w:t>CPVC-PIPE</w:t>
            </w:r>
          </w:p>
        </w:tc>
        <w:tc>
          <w:tcPr>
            <w:tcW w:type="dxa" w:w="6912"/>
            <w:vAlign w:val="center"/>
            <w:shd w:fill="EAF2F8"/>
          </w:tcPr>
          <w:p>
            <w:pPr>
              <w:spacing w:after="0"/>
            </w:pPr>
            <w:r/>
            <w:r>
              <w:rPr>
                <w:rFonts w:ascii="Aptos" w:hAnsi="Aptos" w:eastAsia="Aptos"/>
                <w:b w:val="0"/>
                <w:sz w:val="16"/>
              </w:rPr>
              <w:t>CPVC Pipe</w:t>
            </w:r>
          </w:p>
        </w:tc>
      </w:tr>
      <w:tr>
        <w:trPr>
          <w:cantSplit/>
        </w:trPr>
        <w:tc>
          <w:tcPr>
            <w:tcW w:type="dxa" w:w="2448"/>
            <w:vAlign w:val="center"/>
          </w:tcPr>
          <w:p>
            <w:pPr>
              <w:spacing w:after="0"/>
            </w:pPr>
            <w:r/>
            <w:r>
              <w:rPr>
                <w:rFonts w:ascii="Aptos" w:hAnsi="Aptos" w:eastAsia="Aptos"/>
                <w:b w:val="0"/>
                <w:sz w:val="16"/>
              </w:rPr>
              <w:t>CPVC-TRADING</w:t>
            </w:r>
          </w:p>
        </w:tc>
        <w:tc>
          <w:tcPr>
            <w:tcW w:type="dxa" w:w="6912"/>
            <w:vAlign w:val="center"/>
          </w:tcPr>
          <w:p>
            <w:pPr>
              <w:spacing w:after="0"/>
            </w:pPr>
            <w:r/>
            <w:r>
              <w:rPr>
                <w:rFonts w:ascii="Aptos" w:hAnsi="Aptos" w:eastAsia="Aptos"/>
                <w:b w:val="0"/>
                <w:sz w:val="16"/>
              </w:rPr>
              <w:t>CPVC Solvent only when item name contains Solvent/Cement; otherwise skipped</w:t>
            </w:r>
          </w:p>
        </w:tc>
      </w:tr>
      <w:tr>
        <w:trPr>
          <w:cantSplit/>
        </w:trPr>
        <w:tc>
          <w:tcPr>
            <w:tcW w:type="dxa" w:w="2448"/>
            <w:vAlign w:val="center"/>
            <w:shd w:fill="EAF2F8"/>
          </w:tcPr>
          <w:p>
            <w:pPr>
              <w:spacing w:after="0"/>
            </w:pPr>
            <w:r/>
            <w:r>
              <w:rPr>
                <w:rFonts w:ascii="Aptos" w:hAnsi="Aptos" w:eastAsia="Aptos"/>
                <w:b w:val="0"/>
                <w:sz w:val="16"/>
              </w:rPr>
              <w:t>UPVC-FG</w:t>
            </w:r>
          </w:p>
        </w:tc>
        <w:tc>
          <w:tcPr>
            <w:tcW w:type="dxa" w:w="6912"/>
            <w:vAlign w:val="center"/>
            <w:shd w:fill="EAF2F8"/>
          </w:tcPr>
          <w:p>
            <w:pPr>
              <w:spacing w:after="0"/>
            </w:pPr>
            <w:r/>
            <w:r>
              <w:rPr>
                <w:rFonts w:ascii="Aptos" w:hAnsi="Aptos" w:eastAsia="Aptos"/>
                <w:b w:val="0"/>
                <w:sz w:val="16"/>
              </w:rPr>
              <w:t>UPVC Fitting</w:t>
            </w:r>
          </w:p>
        </w:tc>
      </w:tr>
      <w:tr>
        <w:trPr>
          <w:cantSplit/>
        </w:trPr>
        <w:tc>
          <w:tcPr>
            <w:tcW w:type="dxa" w:w="2448"/>
            <w:vAlign w:val="center"/>
          </w:tcPr>
          <w:p>
            <w:pPr>
              <w:spacing w:after="0"/>
            </w:pPr>
            <w:r/>
            <w:r>
              <w:rPr>
                <w:rFonts w:ascii="Aptos" w:hAnsi="Aptos" w:eastAsia="Aptos"/>
                <w:b w:val="0"/>
                <w:sz w:val="16"/>
              </w:rPr>
              <w:t>UPVC-PIPE</w:t>
            </w:r>
          </w:p>
        </w:tc>
        <w:tc>
          <w:tcPr>
            <w:tcW w:type="dxa" w:w="6912"/>
            <w:vAlign w:val="center"/>
          </w:tcPr>
          <w:p>
            <w:pPr>
              <w:spacing w:after="0"/>
            </w:pPr>
            <w:r/>
            <w:r>
              <w:rPr>
                <w:rFonts w:ascii="Aptos" w:hAnsi="Aptos" w:eastAsia="Aptos"/>
                <w:b w:val="0"/>
                <w:sz w:val="16"/>
              </w:rPr>
              <w:t>UPVC Pipe</w:t>
            </w:r>
          </w:p>
        </w:tc>
      </w:tr>
      <w:tr>
        <w:trPr>
          <w:cantSplit/>
        </w:trPr>
        <w:tc>
          <w:tcPr>
            <w:tcW w:type="dxa" w:w="2448"/>
            <w:vAlign w:val="center"/>
            <w:shd w:fill="EAF2F8"/>
          </w:tcPr>
          <w:p>
            <w:pPr>
              <w:spacing w:after="0"/>
            </w:pPr>
            <w:r/>
            <w:r>
              <w:rPr>
                <w:rFonts w:ascii="Aptos" w:hAnsi="Aptos" w:eastAsia="Aptos"/>
                <w:b w:val="0"/>
                <w:sz w:val="16"/>
              </w:rPr>
              <w:t>UPVC-TRADING</w:t>
            </w:r>
          </w:p>
        </w:tc>
        <w:tc>
          <w:tcPr>
            <w:tcW w:type="dxa" w:w="6912"/>
            <w:vAlign w:val="center"/>
            <w:shd w:fill="EAF2F8"/>
          </w:tcPr>
          <w:p>
            <w:pPr>
              <w:spacing w:after="0"/>
            </w:pPr>
            <w:r/>
            <w:r>
              <w:rPr>
                <w:rFonts w:ascii="Aptos" w:hAnsi="Aptos" w:eastAsia="Aptos"/>
                <w:b w:val="0"/>
                <w:sz w:val="16"/>
              </w:rPr>
              <w:t>UPVC Solvent only when item name contains Solvent/Cement; otherwise skipped</w:t>
            </w:r>
          </w:p>
        </w:tc>
      </w:tr>
      <w:tr>
        <w:trPr>
          <w:cantSplit/>
        </w:trPr>
        <w:tc>
          <w:tcPr>
            <w:tcW w:type="dxa" w:w="2448"/>
            <w:vAlign w:val="center"/>
          </w:tcPr>
          <w:p>
            <w:pPr>
              <w:spacing w:after="0"/>
            </w:pPr>
            <w:r/>
            <w:r>
              <w:rPr>
                <w:rFonts w:ascii="Aptos" w:hAnsi="Aptos" w:eastAsia="Aptos"/>
                <w:b w:val="0"/>
                <w:sz w:val="16"/>
              </w:rPr>
              <w:t>SWR-FG</w:t>
            </w:r>
          </w:p>
        </w:tc>
        <w:tc>
          <w:tcPr>
            <w:tcW w:type="dxa" w:w="6912"/>
            <w:vAlign w:val="center"/>
          </w:tcPr>
          <w:p>
            <w:pPr>
              <w:spacing w:after="0"/>
            </w:pPr>
            <w:r/>
            <w:r>
              <w:rPr>
                <w:rFonts w:ascii="Aptos" w:hAnsi="Aptos" w:eastAsia="Aptos"/>
                <w:b w:val="0"/>
                <w:sz w:val="16"/>
              </w:rPr>
              <w:t>SWR Fitting</w:t>
            </w:r>
          </w:p>
        </w:tc>
      </w:tr>
      <w:tr>
        <w:trPr>
          <w:cantSplit/>
        </w:trPr>
        <w:tc>
          <w:tcPr>
            <w:tcW w:type="dxa" w:w="2448"/>
            <w:vAlign w:val="center"/>
            <w:shd w:fill="EAF2F8"/>
          </w:tcPr>
          <w:p>
            <w:pPr>
              <w:spacing w:after="0"/>
            </w:pPr>
            <w:r/>
            <w:r>
              <w:rPr>
                <w:rFonts w:ascii="Aptos" w:hAnsi="Aptos" w:eastAsia="Aptos"/>
                <w:b w:val="0"/>
                <w:sz w:val="16"/>
              </w:rPr>
              <w:t>SWR-PIPE</w:t>
            </w:r>
          </w:p>
        </w:tc>
        <w:tc>
          <w:tcPr>
            <w:tcW w:type="dxa" w:w="6912"/>
            <w:vAlign w:val="center"/>
            <w:shd w:fill="EAF2F8"/>
          </w:tcPr>
          <w:p>
            <w:pPr>
              <w:spacing w:after="0"/>
            </w:pPr>
            <w:r/>
            <w:r>
              <w:rPr>
                <w:rFonts w:ascii="Aptos" w:hAnsi="Aptos" w:eastAsia="Aptos"/>
                <w:b w:val="0"/>
                <w:sz w:val="16"/>
              </w:rPr>
              <w:t>SWR Pipe</w:t>
            </w:r>
          </w:p>
        </w:tc>
      </w:tr>
      <w:tr>
        <w:trPr>
          <w:cantSplit/>
        </w:trPr>
        <w:tc>
          <w:tcPr>
            <w:tcW w:type="dxa" w:w="2448"/>
            <w:vAlign w:val="center"/>
          </w:tcPr>
          <w:p>
            <w:pPr>
              <w:spacing w:after="0"/>
            </w:pPr>
            <w:r/>
            <w:r>
              <w:rPr>
                <w:rFonts w:ascii="Aptos" w:hAnsi="Aptos" w:eastAsia="Aptos"/>
                <w:b w:val="0"/>
                <w:sz w:val="16"/>
              </w:rPr>
              <w:t>SWR-TRADING</w:t>
            </w:r>
          </w:p>
        </w:tc>
        <w:tc>
          <w:tcPr>
            <w:tcW w:type="dxa" w:w="6912"/>
            <w:vAlign w:val="center"/>
          </w:tcPr>
          <w:p>
            <w:pPr>
              <w:spacing w:after="0"/>
            </w:pPr>
            <w:r/>
            <w:r>
              <w:rPr>
                <w:rFonts w:ascii="Aptos" w:hAnsi="Aptos" w:eastAsia="Aptos"/>
                <w:b w:val="0"/>
                <w:sz w:val="16"/>
              </w:rPr>
              <w:t>SWR Solvent only when item name contains Solvent/Cement; otherwise skipped</w:t>
            </w:r>
          </w:p>
        </w:tc>
      </w:tr>
      <w:tr>
        <w:trPr>
          <w:cantSplit/>
        </w:trPr>
        <w:tc>
          <w:tcPr>
            <w:tcW w:type="dxa" w:w="2448"/>
            <w:vAlign w:val="center"/>
            <w:shd w:fill="EAF2F8"/>
          </w:tcPr>
          <w:p>
            <w:pPr>
              <w:spacing w:after="0"/>
            </w:pPr>
            <w:r/>
            <w:r>
              <w:rPr>
                <w:rFonts w:ascii="Aptos" w:hAnsi="Aptos" w:eastAsia="Aptos"/>
                <w:b w:val="0"/>
                <w:sz w:val="16"/>
              </w:rPr>
              <w:t>AGRI-FG</w:t>
            </w:r>
          </w:p>
        </w:tc>
        <w:tc>
          <w:tcPr>
            <w:tcW w:type="dxa" w:w="6912"/>
            <w:vAlign w:val="center"/>
            <w:shd w:fill="EAF2F8"/>
          </w:tcPr>
          <w:p>
            <w:pPr>
              <w:spacing w:after="0"/>
            </w:pPr>
            <w:r/>
            <w:r>
              <w:rPr>
                <w:rFonts w:ascii="Aptos" w:hAnsi="Aptos" w:eastAsia="Aptos"/>
                <w:b w:val="0"/>
                <w:sz w:val="16"/>
              </w:rPr>
              <w:t>AGRI Fitting</w:t>
            </w:r>
          </w:p>
        </w:tc>
      </w:tr>
      <w:tr>
        <w:trPr>
          <w:cantSplit/>
        </w:trPr>
        <w:tc>
          <w:tcPr>
            <w:tcW w:type="dxa" w:w="2448"/>
            <w:vAlign w:val="center"/>
          </w:tcPr>
          <w:p>
            <w:pPr>
              <w:spacing w:after="0"/>
            </w:pPr>
            <w:r/>
            <w:r>
              <w:rPr>
                <w:rFonts w:ascii="Aptos" w:hAnsi="Aptos" w:eastAsia="Aptos"/>
                <w:b w:val="0"/>
                <w:sz w:val="16"/>
              </w:rPr>
              <w:t>Agri-Pipe</w:t>
            </w:r>
          </w:p>
        </w:tc>
        <w:tc>
          <w:tcPr>
            <w:tcW w:type="dxa" w:w="6912"/>
            <w:vAlign w:val="center"/>
          </w:tcPr>
          <w:p>
            <w:pPr>
              <w:spacing w:after="0"/>
            </w:pPr>
            <w:r/>
            <w:r>
              <w:rPr>
                <w:rFonts w:ascii="Aptos" w:hAnsi="Aptos" w:eastAsia="Aptos"/>
                <w:b w:val="0"/>
                <w:sz w:val="16"/>
              </w:rPr>
              <w:t>AGRI Pipe</w:t>
            </w:r>
          </w:p>
        </w:tc>
      </w:tr>
      <w:tr>
        <w:trPr>
          <w:cantSplit/>
        </w:trPr>
        <w:tc>
          <w:tcPr>
            <w:tcW w:type="dxa" w:w="2448"/>
            <w:vAlign w:val="center"/>
            <w:shd w:fill="EAF2F8"/>
          </w:tcPr>
          <w:p>
            <w:pPr>
              <w:spacing w:after="0"/>
            </w:pPr>
            <w:r/>
            <w:r>
              <w:rPr>
                <w:rFonts w:ascii="Aptos" w:hAnsi="Aptos" w:eastAsia="Aptos"/>
                <w:b w:val="0"/>
                <w:sz w:val="16"/>
              </w:rPr>
              <w:t>Agri-Trading</w:t>
            </w:r>
          </w:p>
        </w:tc>
        <w:tc>
          <w:tcPr>
            <w:tcW w:type="dxa" w:w="6912"/>
            <w:vAlign w:val="center"/>
            <w:shd w:fill="EAF2F8"/>
          </w:tcPr>
          <w:p>
            <w:pPr>
              <w:spacing w:after="0"/>
            </w:pPr>
            <w:r/>
            <w:r>
              <w:rPr>
                <w:rFonts w:ascii="Aptos" w:hAnsi="Aptos" w:eastAsia="Aptos"/>
                <w:b w:val="0"/>
                <w:sz w:val="16"/>
              </w:rPr>
              <w:t>AGRI Solvent only when item name contains Solvent/Cement; otherwise skipped</w:t>
            </w:r>
          </w:p>
        </w:tc>
      </w:tr>
      <w:tr>
        <w:trPr>
          <w:cantSplit/>
        </w:trPr>
        <w:tc>
          <w:tcPr>
            <w:tcW w:type="dxa" w:w="2448"/>
            <w:vAlign w:val="center"/>
          </w:tcPr>
          <w:p>
            <w:pPr>
              <w:spacing w:after="0"/>
            </w:pPr>
            <w:r/>
            <w:r>
              <w:rPr>
                <w:rFonts w:ascii="Aptos" w:hAnsi="Aptos" w:eastAsia="Aptos"/>
                <w:b w:val="0"/>
                <w:sz w:val="16"/>
              </w:rPr>
              <w:t>Colum Pipe</w:t>
            </w:r>
          </w:p>
        </w:tc>
        <w:tc>
          <w:tcPr>
            <w:tcW w:type="dxa" w:w="6912"/>
            <w:vAlign w:val="center"/>
          </w:tcPr>
          <w:p>
            <w:pPr>
              <w:spacing w:after="0"/>
            </w:pPr>
            <w:r/>
            <w:r>
              <w:rPr>
                <w:rFonts w:ascii="Aptos" w:hAnsi="Aptos" w:eastAsia="Aptos"/>
                <w:b w:val="0"/>
                <w:sz w:val="16"/>
              </w:rPr>
              <w:t>Skipped</w:t>
            </w:r>
          </w:p>
        </w:tc>
      </w:tr>
      <w:tr>
        <w:trPr>
          <w:cantSplit/>
        </w:trPr>
        <w:tc>
          <w:tcPr>
            <w:tcW w:type="dxa" w:w="2448"/>
            <w:vAlign w:val="center"/>
            <w:shd w:fill="EAF2F8"/>
          </w:tcPr>
          <w:p>
            <w:pPr>
              <w:spacing w:after="0"/>
            </w:pPr>
            <w:r/>
            <w:r>
              <w:rPr>
                <w:rFonts w:ascii="Aptos" w:hAnsi="Aptos" w:eastAsia="Aptos"/>
                <w:b w:val="0"/>
                <w:sz w:val="16"/>
              </w:rPr>
              <w:t>OPVC PIPE</w:t>
            </w:r>
          </w:p>
        </w:tc>
        <w:tc>
          <w:tcPr>
            <w:tcW w:type="dxa" w:w="6912"/>
            <w:vAlign w:val="center"/>
            <w:shd w:fill="EAF2F8"/>
          </w:tcPr>
          <w:p>
            <w:pPr>
              <w:spacing w:after="0"/>
            </w:pPr>
            <w:r/>
            <w:r>
              <w:rPr>
                <w:rFonts w:ascii="Aptos" w:hAnsi="Aptos" w:eastAsia="Aptos"/>
                <w:b w:val="0"/>
                <w:sz w:val="16"/>
              </w:rPr>
              <w:t>Skipped</w:t>
            </w:r>
          </w:p>
        </w:tc>
      </w:tr>
      <w:tr>
        <w:trPr>
          <w:cantSplit/>
        </w:trPr>
        <w:tc>
          <w:tcPr>
            <w:tcW w:type="dxa" w:w="2448"/>
            <w:vAlign w:val="center"/>
          </w:tcPr>
          <w:p>
            <w:pPr>
              <w:spacing w:after="0"/>
            </w:pPr>
            <w:r/>
            <w:r>
              <w:rPr>
                <w:rFonts w:ascii="Aptos" w:hAnsi="Aptos" w:eastAsia="Aptos"/>
                <w:b w:val="0"/>
                <w:sz w:val="16"/>
              </w:rPr>
              <w:t>PPR Fittimg</w:t>
            </w:r>
          </w:p>
        </w:tc>
        <w:tc>
          <w:tcPr>
            <w:tcW w:type="dxa" w:w="6912"/>
            <w:vAlign w:val="center"/>
          </w:tcPr>
          <w:p>
            <w:pPr>
              <w:spacing w:after="0"/>
            </w:pPr>
            <w:r/>
            <w:r>
              <w:rPr>
                <w:rFonts w:ascii="Aptos" w:hAnsi="Aptos" w:eastAsia="Aptos"/>
                <w:b w:val="0"/>
                <w:sz w:val="16"/>
              </w:rPr>
              <w:t>Skipped</w:t>
            </w:r>
          </w:p>
        </w:tc>
      </w:tr>
      <w:tr>
        <w:trPr>
          <w:cantSplit/>
        </w:trPr>
        <w:tc>
          <w:tcPr>
            <w:tcW w:type="dxa" w:w="2448"/>
            <w:vAlign w:val="center"/>
            <w:shd w:fill="EAF2F8"/>
          </w:tcPr>
          <w:p>
            <w:pPr>
              <w:spacing w:after="0"/>
            </w:pPr>
            <w:r/>
            <w:r>
              <w:rPr>
                <w:rFonts w:ascii="Aptos" w:hAnsi="Aptos" w:eastAsia="Aptos"/>
                <w:b w:val="0"/>
                <w:sz w:val="16"/>
              </w:rPr>
              <w:t>Trading</w:t>
            </w:r>
          </w:p>
        </w:tc>
        <w:tc>
          <w:tcPr>
            <w:tcW w:type="dxa" w:w="6912"/>
            <w:vAlign w:val="center"/>
            <w:shd w:fill="EAF2F8"/>
          </w:tcPr>
          <w:p>
            <w:pPr>
              <w:spacing w:after="0"/>
            </w:pPr>
            <w:r/>
            <w:r>
              <w:rPr>
                <w:rFonts w:ascii="Aptos" w:hAnsi="Aptos" w:eastAsia="Aptos"/>
                <w:b w:val="0"/>
                <w:sz w:val="16"/>
              </w:rPr>
              <w:t>Skipped unless a known material is also present</w:t>
            </w:r>
          </w:p>
        </w:tc>
      </w:tr>
      <w:tr>
        <w:trPr>
          <w:cantSplit/>
        </w:trPr>
        <w:tc>
          <w:tcPr>
            <w:tcW w:type="dxa" w:w="2448"/>
            <w:vAlign w:val="center"/>
          </w:tcPr>
          <w:p>
            <w:pPr>
              <w:spacing w:after="0"/>
            </w:pPr>
            <w:r/>
            <w:r>
              <w:rPr>
                <w:rFonts w:ascii="Aptos" w:hAnsi="Aptos" w:eastAsia="Aptos"/>
                <w:b w:val="0"/>
                <w:sz w:val="16"/>
              </w:rPr>
              <w:t>WATER TANK</w:t>
            </w:r>
          </w:p>
        </w:tc>
        <w:tc>
          <w:tcPr>
            <w:tcW w:type="dxa" w:w="6912"/>
            <w:vAlign w:val="center"/>
          </w:tcPr>
          <w:p>
            <w:pPr>
              <w:spacing w:after="0"/>
            </w:pPr>
            <w:r/>
            <w:r>
              <w:rPr>
                <w:rFonts w:ascii="Aptos" w:hAnsi="Aptos" w:eastAsia="Aptos"/>
                <w:b w:val="0"/>
                <w:sz w:val="16"/>
              </w:rPr>
              <w:t>Skipped</w:t>
            </w:r>
          </w:p>
        </w:tc>
      </w:tr>
    </w:tbl>
    <w:p>
      <w:pPr>
        <w:spacing w:after="0"/>
      </w:pPr>
    </w:p>
    <w:p>
      <w:pPr>
        <w:spacing w:after="100"/>
      </w:pPr>
      <w:r>
        <w:t>Unrecognized source categories are skipped during the Plumbing item_master upsert; they do not become Unclassified rows. The current plan build does not use FG Stock category to determine the plan type. It uses the workbook’s per-row type while FG Stock supplies stock and last-month pending quantities.</w:t>
      </w:r>
    </w:p>
    <w:p>
      <w:pPr>
        <w:pStyle w:val="Heading1"/>
      </w:pPr>
      <w:r>
        <w:t>PA.5 — Negative Net Stock handling</w:t>
      </w:r>
    </w:p>
    <w:p>
      <w:pPr>
        <w:pStyle w:val="ListBullet"/>
        <w:spacing w:after="40"/>
      </w:pPr>
      <w:r>
        <w:t>Positive Net Stock becomes opening stock.</w:t>
      </w:r>
    </w:p>
    <w:p>
      <w:pPr>
        <w:pStyle w:val="ListBullet"/>
        <w:spacing w:after="40"/>
      </w:pPr>
      <w:r>
        <w:t>Negative Net Stock becomes abs(Net Stock) as pending-last-month.</w:t>
      </w:r>
    </w:p>
    <w:p>
      <w:pPr>
        <w:pStyle w:val="ListBullet"/>
        <w:spacing w:after="40"/>
      </w:pPr>
      <w:r>
        <w:t>Zero Net Stock is ignored.</w:t>
      </w:r>
    </w:p>
    <w:p>
      <w:pPr>
        <w:pStyle w:val="ListBullet"/>
        <w:spacing w:after="40"/>
      </w:pPr>
      <w:r>
        <w:t>Negative values are not added to opening stock.</w:t>
      </w:r>
    </w:p>
    <w:p>
      <w:pPr>
        <w:pStyle w:val="ListBullet"/>
        <w:spacing w:after="40"/>
      </w:pPr>
      <w:r>
        <w:t>The plan path reads FG Stock only; Pending Prod. is not read.</w:t>
      </w:r>
    </w:p>
    <w:p>
      <w:pPr>
        <w:pStyle w:val="ListBullet"/>
        <w:spacing w:after="40"/>
      </w:pPr>
      <w:r>
        <w:t>This prevents double-counting when Pending Prod. mirrors the negative Net Stock values.</w:t>
      </w:r>
    </w:p>
    <w:p>
      <w:pPr>
        <w:pStyle w:val="Heading1"/>
      </w:pPr>
      <w:r>
        <w:t>PA.6 — Current effective September Plumbing roster</w:t>
      </w:r>
    </w:p>
    <w:p>
      <w:pPr>
        <w:spacing w:after="100"/>
      </w:pPr>
      <w:r>
        <w:t>A read-only call to the configured September Plumbing workbook returned 1,140 raw parsed rows. Twenty untyped section/header rows were dropped, leaving 1,120 effective typed roster rows.</w:t>
      </w:r>
    </w:p>
    <w:tbl>
      <w:tblPr>
        <w:tblStyle w:val="TableGrid"/>
        <w:tblW w:type="auto" w:w="0"/>
        <w:jc w:val="center"/>
        <w:tblLook w:firstColumn="1" w:firstRow="1" w:lastColumn="0" w:lastRow="0" w:noHBand="0" w:noVBand="1" w:val="04A0"/>
      </w:tblPr>
      <w:tblGrid>
        <w:gridCol w:w="5040"/>
        <w:gridCol w:w="5040"/>
      </w:tblGrid>
      <w:tr>
        <w:trPr>
          <w:cantSplit/>
        </w:trPr>
        <w:tc>
          <w:tcPr>
            <w:tcW w:type="dxa" w:w="4608"/>
            <w:vAlign w:val="center"/>
            <w:shd w:fill="17365D"/>
          </w:tcPr>
          <w:p>
            <w:pPr>
              <w:spacing w:after="0"/>
            </w:pPr>
            <w:r/>
            <w:r>
              <w:rPr>
                <w:rFonts w:ascii="Aptos" w:hAnsi="Aptos" w:eastAsia="Aptos"/>
                <w:b/>
                <w:color w:val="FFFFFF"/>
                <w:sz w:val="16"/>
              </w:rPr>
              <w:t>Category</w:t>
            </w:r>
          </w:p>
        </w:tc>
        <w:tc>
          <w:tcPr>
            <w:tcW w:type="dxa" w:w="2160"/>
            <w:vAlign w:val="center"/>
            <w:shd w:fill="17365D"/>
          </w:tcPr>
          <w:p>
            <w:pPr>
              <w:spacing w:after="0"/>
            </w:pPr>
            <w:r/>
            <w:r>
              <w:rPr>
                <w:rFonts w:ascii="Aptos" w:hAnsi="Aptos" w:eastAsia="Aptos"/>
                <w:b/>
                <w:color w:val="FFFFFF"/>
                <w:sz w:val="16"/>
              </w:rPr>
              <w:t>Effective Rows</w:t>
            </w:r>
          </w:p>
        </w:tc>
      </w:tr>
      <w:tr>
        <w:trPr>
          <w:cantSplit/>
        </w:trPr>
        <w:tc>
          <w:tcPr>
            <w:tcW w:type="dxa" w:w="4608"/>
            <w:vAlign w:val="center"/>
          </w:tcPr>
          <w:p>
            <w:pPr>
              <w:spacing w:after="0"/>
            </w:pPr>
            <w:r/>
            <w:r>
              <w:rPr>
                <w:rFonts w:ascii="Aptos" w:hAnsi="Aptos" w:eastAsia="Aptos"/>
                <w:b w:val="0"/>
                <w:sz w:val="16"/>
              </w:rPr>
              <w:t>CPVC Pipe</w:t>
            </w:r>
          </w:p>
        </w:tc>
        <w:tc>
          <w:tcPr>
            <w:tcW w:type="dxa" w:w="2160"/>
            <w:vAlign w:val="center"/>
          </w:tcPr>
          <w:p>
            <w:pPr>
              <w:spacing w:after="0"/>
            </w:pPr>
            <w:r/>
            <w:r>
              <w:rPr>
                <w:rFonts w:ascii="Aptos" w:hAnsi="Aptos" w:eastAsia="Aptos"/>
                <w:b w:val="0"/>
                <w:sz w:val="16"/>
              </w:rPr>
              <w:t>40</w:t>
            </w:r>
          </w:p>
        </w:tc>
      </w:tr>
      <w:tr>
        <w:trPr>
          <w:cantSplit/>
        </w:trPr>
        <w:tc>
          <w:tcPr>
            <w:tcW w:type="dxa" w:w="4608"/>
            <w:vAlign w:val="center"/>
            <w:shd w:fill="EAF2F8"/>
          </w:tcPr>
          <w:p>
            <w:pPr>
              <w:spacing w:after="0"/>
            </w:pPr>
            <w:r/>
            <w:r>
              <w:rPr>
                <w:rFonts w:ascii="Aptos" w:hAnsi="Aptos" w:eastAsia="Aptos"/>
                <w:b w:val="0"/>
                <w:sz w:val="16"/>
              </w:rPr>
              <w:t>CPVC Fitting</w:t>
            </w:r>
          </w:p>
        </w:tc>
        <w:tc>
          <w:tcPr>
            <w:tcW w:type="dxa" w:w="2160"/>
            <w:vAlign w:val="center"/>
            <w:shd w:fill="EAF2F8"/>
          </w:tcPr>
          <w:p>
            <w:pPr>
              <w:spacing w:after="0"/>
            </w:pPr>
            <w:r/>
            <w:r>
              <w:rPr>
                <w:rFonts w:ascii="Aptos" w:hAnsi="Aptos" w:eastAsia="Aptos"/>
                <w:b w:val="0"/>
                <w:sz w:val="16"/>
              </w:rPr>
              <w:t>244</w:t>
            </w:r>
          </w:p>
        </w:tc>
      </w:tr>
      <w:tr>
        <w:trPr>
          <w:cantSplit/>
        </w:trPr>
        <w:tc>
          <w:tcPr>
            <w:tcW w:type="dxa" w:w="4608"/>
            <w:vAlign w:val="center"/>
          </w:tcPr>
          <w:p>
            <w:pPr>
              <w:spacing w:after="0"/>
            </w:pPr>
            <w:r/>
            <w:r>
              <w:rPr>
                <w:rFonts w:ascii="Aptos" w:hAnsi="Aptos" w:eastAsia="Aptos"/>
                <w:b w:val="0"/>
                <w:sz w:val="16"/>
              </w:rPr>
              <w:t>CPVC Solvent</w:t>
            </w:r>
          </w:p>
        </w:tc>
        <w:tc>
          <w:tcPr>
            <w:tcW w:type="dxa" w:w="2160"/>
            <w:vAlign w:val="center"/>
          </w:tcPr>
          <w:p>
            <w:pPr>
              <w:spacing w:after="0"/>
            </w:pPr>
            <w:r/>
            <w:r>
              <w:rPr>
                <w:rFonts w:ascii="Aptos" w:hAnsi="Aptos" w:eastAsia="Aptos"/>
                <w:b w:val="0"/>
                <w:sz w:val="16"/>
              </w:rPr>
              <w:t>9</w:t>
            </w:r>
          </w:p>
        </w:tc>
      </w:tr>
      <w:tr>
        <w:trPr>
          <w:cantSplit/>
        </w:trPr>
        <w:tc>
          <w:tcPr>
            <w:tcW w:type="dxa" w:w="4608"/>
            <w:vAlign w:val="center"/>
            <w:shd w:fill="EAF2F8"/>
          </w:tcPr>
          <w:p>
            <w:pPr>
              <w:spacing w:after="0"/>
            </w:pPr>
            <w:r/>
            <w:r>
              <w:rPr>
                <w:rFonts w:ascii="Aptos" w:hAnsi="Aptos" w:eastAsia="Aptos"/>
                <w:b w:val="0"/>
                <w:sz w:val="16"/>
              </w:rPr>
              <w:t>UPVC Pipe</w:t>
            </w:r>
          </w:p>
        </w:tc>
        <w:tc>
          <w:tcPr>
            <w:tcW w:type="dxa" w:w="2160"/>
            <w:vAlign w:val="center"/>
            <w:shd w:fill="EAF2F8"/>
          </w:tcPr>
          <w:p>
            <w:pPr>
              <w:spacing w:after="0"/>
            </w:pPr>
            <w:r/>
            <w:r>
              <w:rPr>
                <w:rFonts w:ascii="Aptos" w:hAnsi="Aptos" w:eastAsia="Aptos"/>
                <w:b w:val="0"/>
                <w:sz w:val="16"/>
              </w:rPr>
              <w:t>52</w:t>
            </w:r>
          </w:p>
        </w:tc>
      </w:tr>
      <w:tr>
        <w:trPr>
          <w:cantSplit/>
        </w:trPr>
        <w:tc>
          <w:tcPr>
            <w:tcW w:type="dxa" w:w="4608"/>
            <w:vAlign w:val="center"/>
          </w:tcPr>
          <w:p>
            <w:pPr>
              <w:spacing w:after="0"/>
            </w:pPr>
            <w:r/>
            <w:r>
              <w:rPr>
                <w:rFonts w:ascii="Aptos" w:hAnsi="Aptos" w:eastAsia="Aptos"/>
                <w:b w:val="0"/>
                <w:sz w:val="16"/>
              </w:rPr>
              <w:t>UPVC Fitting</w:t>
            </w:r>
          </w:p>
        </w:tc>
        <w:tc>
          <w:tcPr>
            <w:tcW w:type="dxa" w:w="2160"/>
            <w:vAlign w:val="center"/>
          </w:tcPr>
          <w:p>
            <w:pPr>
              <w:spacing w:after="0"/>
            </w:pPr>
            <w:r/>
            <w:r>
              <w:rPr>
                <w:rFonts w:ascii="Aptos" w:hAnsi="Aptos" w:eastAsia="Aptos"/>
                <w:b w:val="0"/>
                <w:sz w:val="16"/>
              </w:rPr>
              <w:t>242</w:t>
            </w:r>
          </w:p>
        </w:tc>
      </w:tr>
      <w:tr>
        <w:trPr>
          <w:cantSplit/>
        </w:trPr>
        <w:tc>
          <w:tcPr>
            <w:tcW w:type="dxa" w:w="4608"/>
            <w:vAlign w:val="center"/>
            <w:shd w:fill="EAF2F8"/>
          </w:tcPr>
          <w:p>
            <w:pPr>
              <w:spacing w:after="0"/>
            </w:pPr>
            <w:r/>
            <w:r>
              <w:rPr>
                <w:rFonts w:ascii="Aptos" w:hAnsi="Aptos" w:eastAsia="Aptos"/>
                <w:b w:val="0"/>
                <w:sz w:val="16"/>
              </w:rPr>
              <w:t>UPVC Solvent</w:t>
            </w:r>
          </w:p>
        </w:tc>
        <w:tc>
          <w:tcPr>
            <w:tcW w:type="dxa" w:w="2160"/>
            <w:vAlign w:val="center"/>
            <w:shd w:fill="EAF2F8"/>
          </w:tcPr>
          <w:p>
            <w:pPr>
              <w:spacing w:after="0"/>
            </w:pPr>
            <w:r/>
            <w:r>
              <w:rPr>
                <w:rFonts w:ascii="Aptos" w:hAnsi="Aptos" w:eastAsia="Aptos"/>
                <w:b w:val="0"/>
                <w:sz w:val="16"/>
              </w:rPr>
              <w:t>30</w:t>
            </w:r>
          </w:p>
        </w:tc>
      </w:tr>
      <w:tr>
        <w:trPr>
          <w:cantSplit/>
        </w:trPr>
        <w:tc>
          <w:tcPr>
            <w:tcW w:type="dxa" w:w="4608"/>
            <w:vAlign w:val="center"/>
          </w:tcPr>
          <w:p>
            <w:pPr>
              <w:spacing w:after="0"/>
            </w:pPr>
            <w:r/>
            <w:r>
              <w:rPr>
                <w:rFonts w:ascii="Aptos" w:hAnsi="Aptos" w:eastAsia="Aptos"/>
                <w:b w:val="0"/>
                <w:sz w:val="16"/>
              </w:rPr>
              <w:t>SWR Pipe</w:t>
            </w:r>
          </w:p>
        </w:tc>
        <w:tc>
          <w:tcPr>
            <w:tcW w:type="dxa" w:w="2160"/>
            <w:vAlign w:val="center"/>
          </w:tcPr>
          <w:p>
            <w:pPr>
              <w:spacing w:after="0"/>
            </w:pPr>
            <w:r/>
            <w:r>
              <w:rPr>
                <w:rFonts w:ascii="Aptos" w:hAnsi="Aptos" w:eastAsia="Aptos"/>
                <w:b w:val="0"/>
                <w:sz w:val="16"/>
              </w:rPr>
              <w:t>160</w:t>
            </w:r>
          </w:p>
        </w:tc>
      </w:tr>
      <w:tr>
        <w:trPr>
          <w:cantSplit/>
        </w:trPr>
        <w:tc>
          <w:tcPr>
            <w:tcW w:type="dxa" w:w="4608"/>
            <w:vAlign w:val="center"/>
            <w:shd w:fill="EAF2F8"/>
          </w:tcPr>
          <w:p>
            <w:pPr>
              <w:spacing w:after="0"/>
            </w:pPr>
            <w:r/>
            <w:r>
              <w:rPr>
                <w:rFonts w:ascii="Aptos" w:hAnsi="Aptos" w:eastAsia="Aptos"/>
                <w:b w:val="0"/>
                <w:sz w:val="16"/>
              </w:rPr>
              <w:t>SWR Fitting</w:t>
            </w:r>
          </w:p>
        </w:tc>
        <w:tc>
          <w:tcPr>
            <w:tcW w:type="dxa" w:w="2160"/>
            <w:vAlign w:val="center"/>
            <w:shd w:fill="EAF2F8"/>
          </w:tcPr>
          <w:p>
            <w:pPr>
              <w:spacing w:after="0"/>
            </w:pPr>
            <w:r/>
            <w:r>
              <w:rPr>
                <w:rFonts w:ascii="Aptos" w:hAnsi="Aptos" w:eastAsia="Aptos"/>
                <w:b w:val="0"/>
                <w:sz w:val="16"/>
              </w:rPr>
              <w:t>134</w:t>
            </w:r>
          </w:p>
        </w:tc>
      </w:tr>
      <w:tr>
        <w:trPr>
          <w:cantSplit/>
        </w:trPr>
        <w:tc>
          <w:tcPr>
            <w:tcW w:type="dxa" w:w="4608"/>
            <w:vAlign w:val="center"/>
          </w:tcPr>
          <w:p>
            <w:pPr>
              <w:spacing w:after="0"/>
            </w:pPr>
            <w:r/>
            <w:r>
              <w:rPr>
                <w:rFonts w:ascii="Aptos" w:hAnsi="Aptos" w:eastAsia="Aptos"/>
                <w:b w:val="0"/>
                <w:sz w:val="16"/>
              </w:rPr>
              <w:t>SWR Solvent</w:t>
            </w:r>
          </w:p>
        </w:tc>
        <w:tc>
          <w:tcPr>
            <w:tcW w:type="dxa" w:w="2160"/>
            <w:vAlign w:val="center"/>
          </w:tcPr>
          <w:p>
            <w:pPr>
              <w:spacing w:after="0"/>
            </w:pPr>
            <w:r/>
            <w:r>
              <w:rPr>
                <w:rFonts w:ascii="Aptos" w:hAnsi="Aptos" w:eastAsia="Aptos"/>
                <w:b w:val="0"/>
                <w:sz w:val="16"/>
              </w:rPr>
              <w:t>3</w:t>
            </w:r>
          </w:p>
        </w:tc>
      </w:tr>
      <w:tr>
        <w:trPr>
          <w:cantSplit/>
        </w:trPr>
        <w:tc>
          <w:tcPr>
            <w:tcW w:type="dxa" w:w="4608"/>
            <w:vAlign w:val="center"/>
            <w:shd w:fill="EAF2F8"/>
          </w:tcPr>
          <w:p>
            <w:pPr>
              <w:spacing w:after="0"/>
            </w:pPr>
            <w:r/>
            <w:r>
              <w:rPr>
                <w:rFonts w:ascii="Aptos" w:hAnsi="Aptos" w:eastAsia="Aptos"/>
                <w:b w:val="0"/>
                <w:sz w:val="16"/>
              </w:rPr>
              <w:t>AGRI Pipe</w:t>
            </w:r>
          </w:p>
        </w:tc>
        <w:tc>
          <w:tcPr>
            <w:tcW w:type="dxa" w:w="2160"/>
            <w:vAlign w:val="center"/>
            <w:shd w:fill="EAF2F8"/>
          </w:tcPr>
          <w:p>
            <w:pPr>
              <w:spacing w:after="0"/>
            </w:pPr>
            <w:r/>
            <w:r>
              <w:rPr>
                <w:rFonts w:ascii="Aptos" w:hAnsi="Aptos" w:eastAsia="Aptos"/>
                <w:b w:val="0"/>
                <w:sz w:val="16"/>
              </w:rPr>
              <w:t>123</w:t>
            </w:r>
          </w:p>
        </w:tc>
      </w:tr>
      <w:tr>
        <w:trPr>
          <w:cantSplit/>
        </w:trPr>
        <w:tc>
          <w:tcPr>
            <w:tcW w:type="dxa" w:w="4608"/>
            <w:vAlign w:val="center"/>
          </w:tcPr>
          <w:p>
            <w:pPr>
              <w:spacing w:after="0"/>
            </w:pPr>
            <w:r/>
            <w:r>
              <w:rPr>
                <w:rFonts w:ascii="Aptos" w:hAnsi="Aptos" w:eastAsia="Aptos"/>
                <w:b w:val="0"/>
                <w:sz w:val="16"/>
              </w:rPr>
              <w:t>AGRI Fitting</w:t>
            </w:r>
          </w:p>
        </w:tc>
        <w:tc>
          <w:tcPr>
            <w:tcW w:type="dxa" w:w="2160"/>
            <w:vAlign w:val="center"/>
          </w:tcPr>
          <w:p>
            <w:pPr>
              <w:spacing w:after="0"/>
            </w:pPr>
            <w:r/>
            <w:r>
              <w:rPr>
                <w:rFonts w:ascii="Aptos" w:hAnsi="Aptos" w:eastAsia="Aptos"/>
                <w:b w:val="0"/>
                <w:sz w:val="16"/>
              </w:rPr>
              <w:t>82</w:t>
            </w:r>
          </w:p>
        </w:tc>
      </w:tr>
      <w:tr>
        <w:trPr>
          <w:cantSplit/>
        </w:trPr>
        <w:tc>
          <w:tcPr>
            <w:tcW w:type="dxa" w:w="4608"/>
            <w:vAlign w:val="center"/>
            <w:shd w:fill="EAF2F8"/>
          </w:tcPr>
          <w:p>
            <w:pPr>
              <w:spacing w:after="0"/>
            </w:pPr>
            <w:r/>
            <w:r>
              <w:rPr>
                <w:rFonts w:ascii="Aptos" w:hAnsi="Aptos" w:eastAsia="Aptos"/>
                <w:b w:val="0"/>
                <w:sz w:val="16"/>
              </w:rPr>
              <w:t>AGRI Solvent</w:t>
            </w:r>
          </w:p>
        </w:tc>
        <w:tc>
          <w:tcPr>
            <w:tcW w:type="dxa" w:w="2160"/>
            <w:vAlign w:val="center"/>
            <w:shd w:fill="EAF2F8"/>
          </w:tcPr>
          <w:p>
            <w:pPr>
              <w:spacing w:after="0"/>
            </w:pPr>
            <w:r/>
            <w:r>
              <w:rPr>
                <w:rFonts w:ascii="Aptos" w:hAnsi="Aptos" w:eastAsia="Aptos"/>
                <w:b w:val="0"/>
                <w:sz w:val="16"/>
              </w:rPr>
              <w:t>1</w:t>
            </w:r>
          </w:p>
        </w:tc>
      </w:tr>
      <w:tr>
        <w:trPr>
          <w:cantSplit/>
        </w:trPr>
        <w:tc>
          <w:tcPr>
            <w:tcW w:type="dxa" w:w="4608"/>
            <w:vAlign w:val="center"/>
          </w:tcPr>
          <w:p>
            <w:pPr>
              <w:spacing w:after="0"/>
            </w:pPr>
            <w:r/>
            <w:r>
              <w:rPr>
                <w:rFonts w:ascii="Aptos" w:hAnsi="Aptos" w:eastAsia="Aptos"/>
                <w:b w:val="0"/>
                <w:sz w:val="16"/>
              </w:rPr>
              <w:t>Total</w:t>
            </w:r>
          </w:p>
        </w:tc>
        <w:tc>
          <w:tcPr>
            <w:tcW w:type="dxa" w:w="2160"/>
            <w:vAlign w:val="center"/>
          </w:tcPr>
          <w:p>
            <w:pPr>
              <w:spacing w:after="0"/>
            </w:pPr>
            <w:r/>
            <w:r>
              <w:rPr>
                <w:rFonts w:ascii="Aptos" w:hAnsi="Aptos" w:eastAsia="Aptos"/>
                <w:b w:val="0"/>
                <w:sz w:val="16"/>
              </w:rPr>
              <w:t>1,120</w:t>
            </w:r>
          </w:p>
        </w:tc>
      </w:tr>
    </w:tbl>
    <w:p>
      <w:pPr>
        <w:spacing w:after="0"/>
      </w:pPr>
    </w:p>
    <w:p>
      <w:pPr>
        <w:spacing w:after="100"/>
      </w:pPr>
      <w:r>
        <w:t>Material totals are CPVC 293, UPVC 324, SWR 297, and AGRI 206. HDPE has zero effective rows.</w:t>
      </w:r>
    </w:p>
    <w:p>
      <w:pPr>
        <w:spacing w:after="100"/>
      </w:pPr>
      <w:r>
        <w:t>The persisted item_master table currently has a smaller Plumbing catalogue of 952 rows and no SWR Solvent row. The effective plan roster is sourced from the current Plumbing workbook rather than simply from the persisted catalogue.</w:t>
      </w:r>
    </w:p>
    <w:p>
      <w:pPr>
        <w:pStyle w:val="Heading1"/>
      </w:pPr>
      <w:r>
        <w:t>PA.7 — FITTINGS versus FITTING</w:t>
      </w:r>
    </w:p>
    <w:p>
      <w:pPr>
        <w:spacing w:after="100"/>
      </w:pPr>
      <w:r>
        <w:t>The app canonicalizes both FITTING and FITTINGS to the single type Fitting.</w:t>
      </w:r>
    </w:p>
    <w:tbl>
      <w:tblPr>
        <w:tblStyle w:val="TableGrid"/>
        <w:tblW w:type="auto" w:w="0"/>
        <w:jc w:val="center"/>
        <w:tblLook w:firstColumn="1" w:firstRow="1" w:lastColumn="0" w:lastRow="0" w:noHBand="0" w:noVBand="1" w:val="04A0"/>
      </w:tblPr>
      <w:tblGrid>
        <w:gridCol w:w="5040"/>
        <w:gridCol w:w="5040"/>
      </w:tblGrid>
      <w:tr>
        <w:trPr>
          <w:cantSplit/>
        </w:trPr>
        <w:tc>
          <w:tcPr>
            <w:tcW w:type="dxa" w:w="5472"/>
            <w:vAlign w:val="center"/>
            <w:shd w:fill="17365D"/>
          </w:tcPr>
          <w:p>
            <w:pPr>
              <w:spacing w:after="0"/>
            </w:pPr>
            <w:r/>
            <w:r>
              <w:rPr>
                <w:rFonts w:ascii="Aptos" w:hAnsi="Aptos" w:eastAsia="Aptos"/>
                <w:b/>
                <w:color w:val="FFFFFF"/>
                <w:sz w:val="16"/>
              </w:rPr>
              <w:t>Source line</w:t>
            </w:r>
          </w:p>
        </w:tc>
        <w:tc>
          <w:tcPr>
            <w:tcW w:type="dxa" w:w="2160"/>
            <w:vAlign w:val="center"/>
            <w:shd w:fill="17365D"/>
          </w:tcPr>
          <w:p>
            <w:pPr>
              <w:spacing w:after="0"/>
            </w:pPr>
            <w:r/>
            <w:r>
              <w:rPr>
                <w:rFonts w:ascii="Aptos" w:hAnsi="Aptos" w:eastAsia="Aptos"/>
                <w:b/>
                <w:color w:val="FFFFFF"/>
                <w:sz w:val="16"/>
              </w:rPr>
              <w:t>Pieces</w:t>
            </w:r>
          </w:p>
        </w:tc>
      </w:tr>
      <w:tr>
        <w:trPr>
          <w:cantSplit/>
        </w:trPr>
        <w:tc>
          <w:tcPr>
            <w:tcW w:type="dxa" w:w="5472"/>
            <w:vAlign w:val="center"/>
          </w:tcPr>
          <w:p>
            <w:pPr>
              <w:spacing w:after="0"/>
            </w:pPr>
            <w:r/>
            <w:r>
              <w:rPr>
                <w:rFonts w:ascii="Aptos" w:hAnsi="Aptos" w:eastAsia="Aptos"/>
                <w:b w:val="0"/>
                <w:sz w:val="16"/>
              </w:rPr>
              <w:t>CPVC FITTINGS source total</w:t>
            </w:r>
          </w:p>
        </w:tc>
        <w:tc>
          <w:tcPr>
            <w:tcW w:type="dxa" w:w="2160"/>
            <w:vAlign w:val="center"/>
          </w:tcPr>
          <w:p>
            <w:pPr>
              <w:spacing w:after="0"/>
            </w:pPr>
            <w:r/>
            <w:r>
              <w:rPr>
                <w:rFonts w:ascii="Aptos" w:hAnsi="Aptos" w:eastAsia="Aptos"/>
                <w:b w:val="0"/>
                <w:sz w:val="16"/>
              </w:rPr>
              <w:t>417,863.5</w:t>
            </w:r>
          </w:p>
        </w:tc>
      </w:tr>
      <w:tr>
        <w:trPr>
          <w:cantSplit/>
        </w:trPr>
        <w:tc>
          <w:tcPr>
            <w:tcW w:type="dxa" w:w="5472"/>
            <w:vAlign w:val="center"/>
            <w:shd w:fill="EAF2F8"/>
          </w:tcPr>
          <w:p>
            <w:pPr>
              <w:spacing w:after="0"/>
            </w:pPr>
            <w:r/>
            <w:r>
              <w:rPr>
                <w:rFonts w:ascii="Aptos" w:hAnsi="Aptos" w:eastAsia="Aptos"/>
                <w:b w:val="0"/>
                <w:sz w:val="16"/>
              </w:rPr>
              <w:t>CPVC FITTING source total</w:t>
            </w:r>
          </w:p>
        </w:tc>
        <w:tc>
          <w:tcPr>
            <w:tcW w:type="dxa" w:w="2160"/>
            <w:vAlign w:val="center"/>
            <w:shd w:fill="EAF2F8"/>
          </w:tcPr>
          <w:p>
            <w:pPr>
              <w:spacing w:after="0"/>
            </w:pPr>
            <w:r/>
            <w:r>
              <w:rPr>
                <w:rFonts w:ascii="Aptos" w:hAnsi="Aptos" w:eastAsia="Aptos"/>
                <w:b w:val="0"/>
                <w:sz w:val="16"/>
              </w:rPr>
              <w:t>160,381.0</w:t>
            </w:r>
          </w:p>
        </w:tc>
      </w:tr>
      <w:tr>
        <w:trPr>
          <w:cantSplit/>
        </w:trPr>
        <w:tc>
          <w:tcPr>
            <w:tcW w:type="dxa" w:w="5472"/>
            <w:vAlign w:val="center"/>
          </w:tcPr>
          <w:p>
            <w:pPr>
              <w:spacing w:after="0"/>
            </w:pPr>
            <w:r/>
            <w:r>
              <w:rPr>
                <w:rFonts w:ascii="Aptos" w:hAnsi="Aptos" w:eastAsia="Aptos"/>
                <w:b w:val="0"/>
                <w:sz w:val="16"/>
              </w:rPr>
              <w:t>Combined CPVC Fitting source total</w:t>
            </w:r>
          </w:p>
        </w:tc>
        <w:tc>
          <w:tcPr>
            <w:tcW w:type="dxa" w:w="2160"/>
            <w:vAlign w:val="center"/>
          </w:tcPr>
          <w:p>
            <w:pPr>
              <w:spacing w:after="0"/>
            </w:pPr>
            <w:r/>
            <w:r>
              <w:rPr>
                <w:rFonts w:ascii="Aptos" w:hAnsi="Aptos" w:eastAsia="Aptos"/>
                <w:b w:val="0"/>
                <w:sz w:val="16"/>
              </w:rPr>
              <w:t>578,244.5</w:t>
            </w:r>
          </w:p>
        </w:tc>
      </w:tr>
    </w:tbl>
    <w:p>
      <w:pPr>
        <w:spacing w:after="0"/>
      </w:pPr>
    </w:p>
    <w:p>
      <w:pPr>
        <w:spacing w:after="100"/>
      </w:pPr>
      <w:r>
        <w:t>The app therefore represents these source lines at one CPVC Fitting category grain. No new plan or recompute was run to produce an app-side September total.</w:t>
      </w:r>
    </w:p>
    <w:p>
      <w:pPr>
        <w:pStyle w:val="Heading1"/>
      </w:pPr>
      <w:r>
        <w:t>PA.8 — Pieces and kilograms</w:t>
      </w:r>
    </w:p>
    <w:p>
      <w:pPr>
        <w:spacing w:after="100"/>
      </w:pPr>
      <w:r>
        <w:t>The app does carry a Plumbing kilogram dimension. At plan-build time it loads the Plumbing BOM weight-per-piece reference from the Google Sheets BOM workbook, merges the NEW and Combined tabs, and gives Combined precedence on code collisions.</w:t>
      </w:r>
    </w:p>
    <w:p>
      <w:pPr>
        <w:pStyle w:val="ListBullet"/>
        <w:spacing w:after="40"/>
      </w:pPr>
      <w:r>
        <w:t>weightKg = planned pieces × weight per piece.</w:t>
      </w:r>
    </w:p>
    <w:p>
      <w:pPr>
        <w:pStyle w:val="ListBullet"/>
        <w:spacing w:after="40"/>
      </w:pPr>
      <w:r>
        <w:t>Items without a BOM weight receive weightKg = 0 and noBomWeight = true; they are not silently removed.</w:t>
      </w:r>
    </w:p>
    <w:p>
      <w:pPr>
        <w:pStyle w:val="ListBullet"/>
        <w:spacing w:after="40"/>
      </w:pPr>
      <w:r>
        <w:t>weightKg is carried on PlanItemWithBom.</w:t>
      </w:r>
    </w:p>
    <w:p>
      <w:pPr>
        <w:pStyle w:val="ListBullet"/>
        <w:spacing w:after="40"/>
      </w:pPr>
      <w:r>
        <w:t>The kilograms value is used by the Plumbing machine-capacity path, monitoring summaries, frozen exports, and Excel exports.</w:t>
      </w:r>
    </w:p>
    <w:p>
      <w:pPr>
        <w:spacing w:after="100"/>
      </w:pPr>
      <w:r>
        <w:t>The kilograms path is therefore present even though the core production-required formula remains piece-based.</w:t>
      </w:r>
    </w:p>
    <w:p>
      <w:pPr>
        <w:spacing w:after="100"/>
      </w:pPr>
      <w:r>
        <w:t>Current formula:</w:t>
      </w:r>
    </w:p>
    <w:p>
      <w:pPr>
        <w:spacing w:after="100"/>
      </w:pPr>
      <w:r>
        <w:t>Production Required = max((average 3-month sale × multiplier) − stock + pending-last-month + current pending, 0)</w:t>
      </w:r>
    </w:p>
    <w:p>
      <w:pPr>
        <w:spacing w:after="100"/>
      </w:pPr>
      <w:r>
        <w:t>The clamp is applied per item before category aggregation.</w:t>
      </w:r>
    </w:p>
    <w:p>
      <w:pPr>
        <w:pStyle w:val="Heading1"/>
      </w:pPr>
      <w:r>
        <w:t>Read-only boundary and outstanding scope</w:t>
      </w:r>
    </w:p>
    <w:p>
      <w:pPr>
        <w:pStyle w:val="ListBullet"/>
        <w:spacing w:after="40"/>
      </w:pPr>
      <w:r>
        <w:t>No plan was created or finalized.</w:t>
      </w:r>
    </w:p>
    <w:p>
      <w:pPr>
        <w:pStyle w:val="ListBullet"/>
        <w:spacing w:after="40"/>
      </w:pPr>
      <w:r>
        <w:t>No recompute or validation endpoint was executed.</w:t>
      </w:r>
    </w:p>
    <w:p>
      <w:pPr>
        <w:pStyle w:val="ListBullet"/>
        <w:spacing w:after="40"/>
      </w:pPr>
      <w:r>
        <w:t>No uploads, overrides, schema, normalizer, scheduler, or deployment settings were changed.</w:t>
      </w:r>
    </w:p>
    <w:p>
      <w:pPr>
        <w:pStyle w:val="ListBullet"/>
        <w:spacing w:after="40"/>
      </w:pPr>
      <w:r>
        <w:t>H4a remains not started.</w:t>
      </w:r>
    </w:p>
    <w:p>
      <w:pPr>
        <w:pStyle w:val="ListBullet"/>
        <w:spacing w:after="40"/>
      </w:pPr>
      <w:r>
        <w:t>Stage I remains open and was not resumed.</w:t>
      </w:r>
    </w:p>
    <w:p>
      <w:pPr>
        <w:spacing w:after="100"/>
      </w:pPr>
      <w:r>
        <w:t>This document records the observed application/source behavior and the current September workbook roster. It does not replace a future approved plan run or a source-data reconciliation.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8 September 2026  |  Read-only audit  |  No plan or recompute executed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Prayag India — Plumbing Stage A Read-Only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Plumbing Stage A Read-Only Source, Category, and Roster Audit</dc:title>
  <dc:subject>PA.1–PA.8 Plumbing audit</dc:subject>
  <dc:creator>Replit Agent</dc:creator>
  <cp:keywords>Prayag, Plumbing, Stage A, read-only, PA.1, PA.8</cp:keywords>
  <dc:description>generated by python-docx</dc:description>
  <cp:lastModifiedBy/>
  <cp:revision>1</cp:revision>
  <dcterms:created xsi:type="dcterms:W3CDTF">2013-12-23T23:15:00Z</dcterms:created>
  <dcterms:modified xsi:type="dcterms:W3CDTF">2013-12-23T23:15:00Z</dcterms:modified>
  <cp:category/>
</cp:coreProperties>
</file>