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e0fb54227995324b540d0a382fd0a739e6c5a7c"/>
    <w:p>
      <w:pPr>
        <w:pStyle w:val="Heading1"/>
      </w:pPr>
      <w:r>
        <w:t xml:space="preserve">Replit Prompt — Auto-calculated Buffer-Stock Multipliers (Seasonality Engine) with Override</w:t>
      </w:r>
    </w:p>
    <w:p>
      <w:pPr>
        <w:pStyle w:val="FirstParagraph"/>
      </w:pPr>
      <w:r>
        <w:t xml:space="preserve">Replace the hard-coded buffer multipliers (currently 1.5 / 1.2 typed by hand) with an</w:t>
      </w:r>
      <w:r>
        <w:t xml:space="preserve"> </w:t>
      </w:r>
      <w:r>
        <w:rPr>
          <w:bCs/>
          <w:b/>
        </w:rPr>
        <w:t xml:space="preserve">engine-derived Suggested multiplier per category</w:t>
      </w:r>
      <w:r>
        <w:t xml:space="preserve">, which the user can</w:t>
      </w:r>
      <w:r>
        <w:t xml:space="preserve"> </w:t>
      </w:r>
      <w:r>
        <w:rPr>
          <w:bCs/>
          <w:b/>
        </w:rPr>
        <w:t xml:space="preserve">override</w:t>
      </w:r>
      <w:r>
        <w:t xml:space="preserve">. Implements Prayag’s</w:t>
      </w:r>
      <w:r>
        <w:t xml:space="preserve"> </w:t>
      </w:r>
      <w:r>
        <w:rPr>
          <w:iCs/>
          <w:i/>
        </w:rPr>
        <w:t xml:space="preserve">Seasonality Logic &amp; Stock-Buffer Multiplier Engine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Core principle:</w:t>
      </w:r>
      <w:r>
        <w:t xml:space="preserve"> </w:t>
      </w:r>
      <w:r>
        <w:t xml:space="preserve">separate</w:t>
      </w:r>
      <w:r>
        <w:t xml:space="preserve"> </w:t>
      </w:r>
      <w:r>
        <w:rPr>
          <w:bCs/>
          <w:b/>
        </w:rPr>
        <w:t xml:space="preserve">seasonality</w:t>
      </w:r>
      <w:r>
        <w:t xml:space="preserve"> </w:t>
      </w:r>
      <w:r>
        <w:t xml:space="preserve">(predictable shape of the year — plan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it) from</w:t>
      </w:r>
      <w:r>
        <w:t xml:space="preserve"> </w:t>
      </w:r>
      <w:r>
        <w:rPr>
          <w:bCs/>
          <w:b/>
        </w:rPr>
        <w:t xml:space="preserve">volatility</w:t>
      </w:r>
      <w:r>
        <w:t xml:space="preserve"> </w:t>
      </w:r>
      <w:r>
        <w:t xml:space="preserve">(the unpredictable residual —</w:t>
      </w:r>
      <w:r>
        <w:t xml:space="preserve"> </w:t>
      </w:r>
      <w:r>
        <w:rPr>
          <w:iCs/>
          <w:i/>
        </w:rPr>
        <w:t xml:space="preserve">buffer</w:t>
      </w:r>
      <w:r>
        <w:t xml:space="preserve"> </w:t>
      </w:r>
      <w:r>
        <w:t xml:space="preserve">against it). Mixing them inflates buffers: a merely seasonal category looks risky and gets over-stocked. So remove the seasonal pattern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measuring risk.</w:t>
      </w:r>
    </w:p>
    <w:p>
      <w:r>
        <w:pict>
          <v:rect style="width:0;height:1.5pt" o:hralign="center" o:hrstd="t" o:hr="t"/>
        </w:pict>
      </w:r>
    </w:p>
    <w:bookmarkStart w:id="20" w:name="data-basis"/>
    <w:p>
      <w:pPr>
        <w:pStyle w:val="Heading2"/>
      </w:pPr>
      <w:r>
        <w:t xml:space="preserve">1. Data basis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Source: order intake</w:t>
      </w:r>
      <w:r>
        <w:t xml:space="preserve"> </w:t>
      </w:r>
      <w:r>
        <w:t xml:space="preserve">(orders received) — the earliest demand signal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sales. From the</w:t>
      </w:r>
      <w:r>
        <w:t xml:space="preserve"> </w:t>
      </w:r>
      <w:r>
        <w:rPr>
          <w:bCs/>
          <w:b/>
        </w:rPr>
        <w:t xml:space="preserve">Order Sheets</w:t>
      </w:r>
      <w:r>
        <w:t xml:space="preserve"> </w:t>
      </w:r>
      <w:r>
        <w:t xml:space="preserve">monthly tabs (line-item: Quantity, GROUP/category, date).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Years: FY2024-25 and FY2025-26</w:t>
      </w:r>
      <w:r>
        <w:t xml:space="preserve"> </w:t>
      </w:r>
      <w:r>
        <w:t xml:space="preserve">only (two clean, complete, like-for-like years).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Exclude FY2023-24</w:t>
      </w:r>
      <w:r>
        <w:t xml:space="preserve"> </w:t>
      </w:r>
      <w:r>
        <w:t xml:space="preserve">(older ERP layout — not comparable; injects noise).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Exclude FY2026-27</w:t>
      </w:r>
      <w:r>
        <w:t xml:space="preserve"> </w:t>
      </w:r>
      <w:r>
        <w:t xml:space="preserve">(part-year — would bias the months it doesn’t cover).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Measure: Quantity (units)</w:t>
      </w:r>
      <w:r>
        <w:t xml:space="preserve"> </w:t>
      </w:r>
      <w:r>
        <w:t xml:space="preserve">— buffers are held in units; avoids price/discount effects.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Grain: category × month.</w:t>
      </w:r>
      <w:r>
        <w:t xml:space="preserve"> </w:t>
      </w:r>
      <w:r>
        <w:t xml:space="preserve">Map each order line to one of the</w:t>
      </w:r>
      <w:r>
        <w:t xml:space="preserve"> </w:t>
      </w:r>
      <w:r>
        <w:rPr>
          <w:bCs/>
          <w:b/>
        </w:rPr>
        <w:t xml:space="preserve">7 PTMT categories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 </w:t>
      </w:r>
      <w:r>
        <w:t xml:space="preserve">(Cocks Standard, Cocks Premium, Faucets &amp; Jetsprays &amp; Shower, Accessorise, Cistern &amp; Seat Cover, Cabinet, Ball Cock).</w:t>
      </w:r>
      <w:r>
        <w:t xml:space="preserve"> </w:t>
      </w:r>
      <w:r>
        <w:rPr>
          <w:iCs/>
          <w:i/>
        </w:rPr>
        <w:t xml:space="preserve">(The published table in the methodology is at segment level — PTMT overall = 1.13× — so the engine must re-run the same algorithm at the 7-category grain.)</w:t>
      </w:r>
    </w:p>
    <w:p>
      <w:r>
        <w:pict>
          <v:rect style="width:0;height:1.5pt" o:hralign="center" o:hrstd="t" o:hr="t"/>
        </w:pict>
      </w:r>
    </w:p>
    <w:bookmarkEnd w:id="20"/>
    <w:bookmarkStart w:id="21" w:name="algorithm-per-category"/>
    <w:p>
      <w:pPr>
        <w:pStyle w:val="Heading2"/>
      </w:pPr>
      <w:r>
        <w:t xml:space="preserve">2. Algorithm (per category)</w:t>
      </w:r>
    </w:p>
    <w:p>
      <w:pPr>
        <w:pStyle w:val="FirstParagraph"/>
      </w:pPr>
      <w:r>
        <w:rPr>
          <w:bCs/>
          <w:b/>
        </w:rPr>
        <w:t xml:space="preserve">Step 1 — Recency-weighted monthly baseline</w:t>
      </w:r>
      <w:r>
        <w:t xml:space="preserve"> </w:t>
      </w:r>
      <w:r>
        <w:t xml:space="preserve">(recent year counted twice):</w:t>
      </w:r>
    </w:p>
    <w:p>
      <w:pPr>
        <w:pStyle w:val="SourceCode"/>
      </w:pPr>
      <w:r>
        <w:rPr>
          <w:rStyle w:val="VerbatimChar"/>
        </w:rPr>
        <w:t xml:space="preserve">weighted_month[m] = ( FY2024-25[m] + 2 × FY2025-26[m] ) / 3        # m = Apr..Mar</w:t>
      </w:r>
    </w:p>
    <w:p>
      <w:pPr>
        <w:pStyle w:val="FirstParagraph"/>
      </w:pPr>
      <w:r>
        <w:rPr>
          <w:bCs/>
          <w:b/>
        </w:rPr>
        <w:t xml:space="preserve">Step 2 — Seasonal Index</w:t>
      </w:r>
      <w:r>
        <w:t xml:space="preserve"> </w:t>
      </w:r>
      <w:r>
        <w:t xml:space="preserve">(unit-free shape; 1.00 = average month):</w:t>
      </w:r>
    </w:p>
    <w:p>
      <w:pPr>
        <w:pStyle w:val="SourceCode"/>
      </w:pPr>
      <w:r>
        <w:rPr>
          <w:rStyle w:val="VerbatimChar"/>
        </w:rPr>
        <w:t xml:space="preserve">avg_month          = AVERAGE( weighted_month[Apr..Mar] )</w:t>
      </w:r>
      <w:r>
        <w:br/>
      </w:r>
      <w:r>
        <w:rPr>
          <w:rStyle w:val="VerbatimChar"/>
        </w:rPr>
        <w:t xml:space="preserve">seasonal_index[m]  = weighted_month[m] / avg_month</w:t>
      </w:r>
    </w:p>
    <w:p>
      <w:pPr>
        <w:pStyle w:val="FirstParagraph"/>
      </w:pPr>
      <w:r>
        <w:rPr>
          <w:bCs/>
          <w:b/>
        </w:rPr>
        <w:t xml:space="preserve">Step 3 — Deseasonalise, then measure volatility (CV):</w:t>
      </w:r>
    </w:p>
    <w:p>
      <w:pPr>
        <w:pStyle w:val="SourceCode"/>
      </w:pPr>
      <w:r>
        <w:rPr>
          <w:rStyle w:val="VerbatimChar"/>
        </w:rPr>
        <w:t xml:space="preserve">deseasonalised[y,m] = actual[y,m] / seasonal_index[m]              # 24 observations</w:t>
      </w:r>
      <w:r>
        <w:br/>
      </w:r>
      <w:r>
        <w:rPr>
          <w:rStyle w:val="VerbatimChar"/>
        </w:rPr>
        <w:t xml:space="preserve">CV = StdDev(deseasonalised) / Mean(deseasonalised)</w:t>
      </w:r>
    </w:p>
    <w:p>
      <w:pPr>
        <w:pStyle w:val="FirstParagraph"/>
      </w:pPr>
      <w:r>
        <w:t xml:space="preserve">Class:</w:t>
      </w:r>
      <w:r>
        <w:t xml:space="preserve"> </w:t>
      </w:r>
      <w:r>
        <w:rPr>
          <w:bCs/>
          <w:b/>
        </w:rPr>
        <w:t xml:space="preserve">Low</w:t>
      </w:r>
      <w:r>
        <w:t xml:space="preserve"> </w:t>
      </w:r>
      <w:r>
        <w:t xml:space="preserve">&lt; 0.15 ·</w:t>
      </w:r>
      <w:r>
        <w:t xml:space="preserve"> </w:t>
      </w:r>
      <w:r>
        <w:rPr>
          <w:bCs/>
          <w:b/>
        </w:rPr>
        <w:t xml:space="preserve">Medium</w:t>
      </w:r>
      <w:r>
        <w:t xml:space="preserve"> </w:t>
      </w:r>
      <w:r>
        <w:t xml:space="preserve">0.15–0.30 ·</w:t>
      </w:r>
      <w:r>
        <w:t xml:space="preserve"> </w:t>
      </w:r>
      <w:r>
        <w:rPr>
          <w:bCs/>
          <w:b/>
        </w:rPr>
        <w:t xml:space="preserve">High</w:t>
      </w:r>
      <w:r>
        <w:t xml:space="preserve"> </w:t>
      </w:r>
      <w:r>
        <w:t xml:space="preserve">&gt; 0.30.</w:t>
      </w:r>
    </w:p>
    <w:p>
      <w:pPr>
        <w:pStyle w:val="BodyText"/>
      </w:pPr>
      <w:r>
        <w:rPr>
          <w:bCs/>
          <w:b/>
        </w:rPr>
        <w:t xml:space="preserve">Step 4 — Suggested multiplier</w:t>
      </w:r>
      <w:r>
        <w:t xml:space="preserve"> </w:t>
      </w:r>
      <w:r>
        <w:t xml:space="preserve">(service-level decision):</w:t>
      </w:r>
    </w:p>
    <w:p>
      <w:pPr>
        <w:pStyle w:val="SourceCode"/>
      </w:pPr>
      <w:r>
        <w:rPr>
          <w:rStyle w:val="VerbatimChar"/>
        </w:rPr>
        <w:t xml:space="preserve">suggested_multiplier = 1 + ( z × CV )</w:t>
      </w:r>
    </w:p>
    <w:p>
      <w:pPr>
        <w:pStyle w:val="FirstParagraph"/>
      </w:pPr>
      <w:r>
        <w:rPr>
          <w:rStyle w:val="VerbatimChar"/>
        </w:rPr>
        <w:t xml:space="preserve">z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configurable</w:t>
      </w:r>
      <w:r>
        <w:t xml:space="preserve">, default</w:t>
      </w:r>
      <w:r>
        <w:t xml:space="preserve"> </w:t>
      </w:r>
      <w:r>
        <w:rPr>
          <w:bCs/>
          <w:b/>
        </w:rPr>
        <w:t xml:space="preserve">1.65 (95% service level)</w:t>
      </w:r>
      <w:r>
        <w:t xml:space="preserve">; also offer 1.28 (90%) and 2.05 (98%). The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covers expected demand;</w:t>
      </w:r>
      <w:r>
        <w:t xml:space="preserve"> </w:t>
      </w:r>
      <w:r>
        <w:rPr>
          <w:rStyle w:val="VerbatimChar"/>
        </w:rPr>
        <w:t xml:space="preserve">z × CV</w:t>
      </w:r>
      <w:r>
        <w:t xml:space="preserve"> </w:t>
      </w:r>
      <w:r>
        <w:t xml:space="preserve">is the safety margin.</w:t>
      </w:r>
    </w:p>
    <w:p>
      <w:pPr>
        <w:pStyle w:val="BodyText"/>
      </w:pPr>
      <w:r>
        <w:rPr>
          <w:bCs/>
          <w:b/>
        </w:rPr>
        <w:t xml:space="preserve">Step 5 — Trend (YoY), damped and capped:</w:t>
      </w:r>
    </w:p>
    <w:p>
      <w:pPr>
        <w:pStyle w:val="SourceCode"/>
      </w:pPr>
      <w:r>
        <w:rPr>
          <w:rStyle w:val="VerbatimChar"/>
        </w:rPr>
        <w:t xml:space="preserve">YoY             = ( FY2025-26 annual − FY2024-25 annual ) / FY2024-25 annual</w:t>
      </w:r>
      <w:r>
        <w:br/>
      </w:r>
      <w:r>
        <w:rPr>
          <w:rStyle w:val="VerbatimChar"/>
        </w:rPr>
        <w:t xml:space="preserve">planning_growth = CLAMP( 0.5 × YoY , -20% , +25% )</w:t>
      </w:r>
    </w:p>
    <w:p>
      <w:pPr>
        <w:pStyle w:val="FirstParagraph"/>
      </w:pPr>
      <w:r>
        <w:t xml:space="preserve">Signal:</w:t>
      </w:r>
      <w:r>
        <w:t xml:space="preserve"> </w:t>
      </w:r>
      <w:r>
        <w:rPr>
          <w:bCs/>
          <w:b/>
        </w:rPr>
        <w:t xml:space="preserve">Growing</w:t>
      </w:r>
      <w:r>
        <w:t xml:space="preserve"> </w:t>
      </w:r>
      <w:r>
        <w:t xml:space="preserve">&gt; +8% ·</w:t>
      </w:r>
      <w:r>
        <w:t xml:space="preserve"> </w:t>
      </w:r>
      <w:r>
        <w:rPr>
          <w:bCs/>
          <w:b/>
        </w:rPr>
        <w:t xml:space="preserve">Declining</w:t>
      </w:r>
      <w:r>
        <w:t xml:space="preserve"> </w:t>
      </w:r>
      <w:r>
        <w:t xml:space="preserve">&lt; −8% · else</w:t>
      </w:r>
      <w:r>
        <w:t xml:space="preserve"> </w:t>
      </w:r>
      <w:r>
        <w:rPr>
          <w:bCs/>
          <w:b/>
        </w:rPr>
        <w:t xml:space="preserve">Stable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Step 6 — Derived outputs:</w:t>
      </w:r>
    </w:p>
    <w:p>
      <w:pPr>
        <w:pStyle w:val="SourceCode"/>
      </w:pPr>
      <w:r>
        <w:rPr>
          <w:rStyle w:val="VerbatimChar"/>
        </w:rPr>
        <w:t xml:space="preserve">month_multiplier[m] = seasonal_index[m] × applied_multiplier</w:t>
      </w:r>
      <w:r>
        <w:br/>
      </w:r>
      <w:r>
        <w:rPr>
          <w:rStyle w:val="VerbatimChar"/>
        </w:rPr>
        <w:t xml:space="preserve">monthly_target[m]   = avg_month × (1 + planning_growth) × seasonal_index[m] × applied_multiplier</w:t>
      </w:r>
    </w:p>
    <w:p>
      <w:r>
        <w:pict>
          <v:rect style="width:0;height:1.5pt" o:hralign="center" o:hrstd="t" o:hr="t"/>
        </w:pict>
      </w:r>
    </w:p>
    <w:bookmarkEnd w:id="21"/>
    <w:bookmarkStart w:id="22" w:name="Xdd074520118815efd779cffb432de99189c5453"/>
    <w:p>
      <w:pPr>
        <w:pStyle w:val="Heading2"/>
      </w:pPr>
      <w:r>
        <w:t xml:space="preserve">3. The override model (three columns — this is the UI)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Who sets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Suggested 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 + z × CV</w:t>
            </w:r>
            <w:r>
              <w:t xml:space="preserve">.</w:t>
            </w:r>
            <w:r>
              <w:t xml:space="preserve"> </w:t>
            </w:r>
            <w:r>
              <w:rPr>
                <w:bCs/>
                <w:b/>
              </w:rPr>
              <w:t xml:space="preserve">Always visible, never overwritten.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Override 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Blank by default.</w:t>
            </w:r>
            <w:r>
              <w:t xml:space="preserve"> </w:t>
            </w:r>
            <w:r>
              <w:t xml:space="preserve">Type a value to override that category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Applied 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IF(Override blank, Suggested, Override)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bCs/>
                <w:b/>
              </w:rPr>
              <w:t xml:space="preserve">this is what all downstream maths uses.</w:t>
            </w:r>
          </w:p>
        </w:tc>
      </w:tr>
    </w:tbl>
    <w:p>
      <w:pPr>
        <w:pStyle w:val="BodyText"/>
      </w:pPr>
      <w:r>
        <w:t xml:space="preserve">Clearing an override</w:t>
      </w:r>
      <w:r>
        <w:t xml:space="preserve"> </w:t>
      </w:r>
      <w:r>
        <w:rPr>
          <w:bCs/>
          <w:b/>
        </w:rPr>
        <w:t xml:space="preserve">snaps back</w:t>
      </w:r>
      <w:r>
        <w:t xml:space="preserve"> </w:t>
      </w:r>
      <w:r>
        <w:t xml:space="preserve">to the engine’s suggestion (nothing is lost). Replace the current single editable box per category with these three columns. The plan’s Buffer Req uses</w:t>
      </w:r>
      <w:r>
        <w:t xml:space="preserve"> </w:t>
      </w:r>
      <w:r>
        <w:rPr>
          <w:bCs/>
          <w:b/>
        </w:rPr>
        <w:t xml:space="preserve">Applied ×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ui-config-buffer-stock-multipliers"/>
    <w:p>
      <w:pPr>
        <w:pStyle w:val="Heading2"/>
      </w:pPr>
      <w:r>
        <w:t xml:space="preserve">4. UI (Config → Buffer-stock multipliers)</w:t>
      </w:r>
    </w:p>
    <w:p>
      <w:pPr>
        <w:pStyle w:val="FirstParagraph"/>
      </w:pPr>
      <w:r>
        <w:t xml:space="preserve">Per category show:</w:t>
      </w:r>
      <w:r>
        <w:t xml:space="preserve"> </w:t>
      </w:r>
      <w:r>
        <w:rPr>
          <w:bCs/>
          <w:b/>
        </w:rPr>
        <w:t xml:space="preserve">Avg month (units) · CV · Class (Low/Med/High) · Suggested × · Override × · Applied × · Peak month + index · YoY · Signal</w:t>
      </w:r>
      <w:r>
        <w:t xml:space="preserve">, plus a global</w:t>
      </w:r>
      <w:r>
        <w:t xml:space="preserve"> </w:t>
      </w:r>
      <w:r>
        <w:rPr>
          <w:bCs/>
          <w:b/>
        </w:rPr>
        <w:t xml:space="preserve">service-level (z)</w:t>
      </w:r>
      <w:r>
        <w:t xml:space="preserve"> </w:t>
      </w:r>
      <w:r>
        <w:t xml:space="preserve">selector and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Recompute</w:t>
      </w:r>
      <w:r>
        <w:rPr>
          <w:bCs/>
          <w:b/>
        </w:rPr>
        <w:t xml:space="preserve">”</w:t>
      </w:r>
      <w:r>
        <w:t xml:space="preserve"> </w:t>
      </w:r>
      <w:r>
        <w:t xml:space="preserve">action. Show a seasonal-index sparkline (Apr→Mar) per category. Colour: Low green · Medium amber · High red.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Cs/>
          <w:b/>
        </w:rPr>
        <w:t xml:space="preserve">Flag on first run:</w:t>
      </w:r>
      <w:r>
        <w:t xml:space="preserve"> </w:t>
      </w:r>
      <w:r>
        <w:t xml:space="preserve">the engine’s suggestions will likely be</w:t>
      </w:r>
      <w:r>
        <w:t xml:space="preserve"> </w:t>
      </w:r>
      <w:r>
        <w:rPr>
          <w:bCs/>
          <w:b/>
        </w:rPr>
        <w:t xml:space="preserve">lower</w:t>
      </w:r>
      <w:r>
        <w:t xml:space="preserve"> </w:t>
      </w:r>
      <w:r>
        <w:t xml:space="preserve">than the current hard-coded 1.5 / 1.2 (segment-level PTMT computes to ≈</w:t>
      </w:r>
      <w:r>
        <w:t xml:space="preserve"> </w:t>
      </w:r>
      <w:r>
        <w:rPr>
          <w:bCs/>
          <w:b/>
        </w:rPr>
        <w:t xml:space="preserve">1.13×</w:t>
      </w:r>
      <w:r>
        <w:t xml:space="preserve">, CV 0.08 — a steady line). This is expected — the current values bundle seasonality into the buffer. Present both, let the planner decide, and keep overrides available.</w:t>
      </w:r>
    </w:p>
    <w:p>
      <w:r>
        <w:pict>
          <v:rect style="width:0;height:1.5pt" o:hralign="center" o:hrstd="t" o:hr="t"/>
        </w:pict>
      </w:r>
    </w:p>
    <w:bookmarkEnd w:id="23"/>
    <w:bookmarkStart w:id="24" w:name="Xf86c941de6cc93686b7aa77f0ce0e1017c990d4"/>
    <w:p>
      <w:pPr>
        <w:pStyle w:val="Heading2"/>
      </w:pPr>
      <w:r>
        <w:t xml:space="preserve">4b. GOLDEN values — the app must reproduce these</w:t>
      </w:r>
    </w:p>
    <w:p>
      <w:pPr>
        <w:pStyle w:val="FirstParagraph"/>
      </w:pPr>
      <w:r>
        <w:t xml:space="preserve">Computed from the two Order Sheets (all 12 monthly tabs each), z = 1.65.</w:t>
      </w:r>
      <w:r>
        <w:t xml:space="preserve"> </w:t>
      </w:r>
      <w:r>
        <w:rPr>
          <w:bCs/>
          <w:b/>
        </w:rPr>
        <w:t xml:space="preserve">Validation anchor: running the algorithm on all PTMT orders reproduces the published segment benchmark exactly — avg 534,259 · CV 0.08 · 1.13× · peak Mar 1.96 · YoY +2% Stable.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Avg month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Suggested 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(current hard-coded)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Peak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YoY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Cocks Standard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393,503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1.15×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2.03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Cocks Premium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1.14×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1.38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Faucets &amp; Jetsprays &amp; Shower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47,701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1.18×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1.90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Accessorise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1.25×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Cistern &amp; Seat Cover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no order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Cabinet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2.73×</w:t>
            </w:r>
            <w:r>
              <w:t xml:space="preserve"> </w:t>
            </w:r>
            <w:r>
              <w:t xml:space="preserve">(thin)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 7.27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Ball Cock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34,901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1.29×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1.78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Stable</w:t>
            </w:r>
          </w:p>
        </w:tc>
      </w:tr>
    </w:tbl>
    <w:p>
      <w:pPr>
        <w:pStyle w:val="BodyText"/>
      </w:pPr>
      <w:r>
        <w:rPr>
          <w:bCs/>
          <w:b/>
        </w:rPr>
        <w:t xml:space="preserve">Data quality issues the app must surface (do not paper over):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Cistern &amp; Seat Cover — no PTMT order rows mapped.</w:t>
      </w:r>
      <w:r>
        <w:t xml:space="preserve"> </w:t>
      </w:r>
      <w:r>
        <w:t xml:space="preserve">Its items are likely ordered under a different GROUP (CP / Sanitaryware) or their codes are missing from</w:t>
      </w:r>
      <w:r>
        <w:t xml:space="preserve"> </w:t>
      </w:r>
      <w:r>
        <w:rPr>
          <w:rStyle w:val="VerbatimChar"/>
        </w:rPr>
        <w:t xml:space="preserve">item_master</w:t>
      </w:r>
      <w:r>
        <w:t xml:space="preserve">. Show</w:t>
      </w:r>
      <w:r>
        <w:t xml:space="preserve"> </w:t>
      </w:r>
      <w:r>
        <w:t xml:space="preserve">“</w:t>
      </w:r>
      <w:r>
        <w:t xml:space="preserve">insufficient data — override required</w:t>
      </w:r>
      <w:r>
        <w:t xml:space="preserve">”</w:t>
      </w:r>
      <w:r>
        <w:t xml:space="preserve">, never a fabricated multiplier.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Cabinet — ~16 units/month.</w:t>
      </w:r>
      <w:r>
        <w:t xml:space="preserve"> </w:t>
      </w:r>
      <w:r>
        <w:t xml:space="preserve">Statistically unreliable (CV 1.05 → 2.73×). Flag</w:t>
      </w:r>
      <w:r>
        <w:t xml:space="preserve"> </w:t>
      </w:r>
      <w:r>
        <w:t xml:space="preserve">“</w:t>
      </w:r>
      <w:r>
        <w:t xml:space="preserve">thin data; handle manually</w:t>
      </w:r>
      <w:r>
        <w:t xml:space="preserve">”</w:t>
      </w:r>
      <w:r>
        <w:t xml:space="preserve"> </w:t>
      </w:r>
      <w:r>
        <w:t xml:space="preserve">per the methodology; do not auto-apply.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~251,801 units of PTMT orders (mostly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PTA-xx</w:t>
      </w:r>
      <w:r>
        <w:rPr>
          <w:bCs/>
          <w:b/>
        </w:rPr>
        <w:t xml:space="preserve"> </w:t>
      </w:r>
      <w:r>
        <w:rPr>
          <w:bCs/>
          <w:b/>
        </w:rPr>
        <w:t xml:space="preserve">codes) map to none of the 7 categories</w:t>
      </w:r>
      <w:r>
        <w:t xml:space="preserve"> </w:t>
      </w:r>
      <w:r>
        <w:t xml:space="preserve">(Connection / Waste Pipe / other). Report as unmapped rather than silently dropping.</w:t>
      </w:r>
    </w:p>
    <w:p>
      <w:pPr>
        <w:pStyle w:val="BodyText"/>
      </w:pPr>
      <w:r>
        <w:t xml:space="preserve">Source tabs:</w:t>
      </w:r>
      <w:r>
        <w:t xml:space="preserve"> </w:t>
      </w:r>
      <w:r>
        <w:rPr>
          <w:bCs/>
          <w:b/>
        </w:rPr>
        <w:t xml:space="preserve">the monthly tabs</w:t>
      </w:r>
      <w:r>
        <w:t xml:space="preserve"> </w:t>
      </w:r>
      <w:r>
        <w:t xml:space="preserve">(</w:t>
      </w:r>
      <w:r>
        <w:rPr>
          <w:rStyle w:val="VerbatimChar"/>
        </w:rPr>
        <w:t xml:space="preserve">Apr, May, June, July, Aug, Sep, Oct, Nov, Dec, Jan, Feb, Mar</w:t>
      </w:r>
      <w:r>
        <w:t xml:space="preserve">)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Combined</w:t>
      </w:r>
      <w:r>
        <w:t xml:space="preserve"> </w:t>
      </w:r>
      <w:r>
        <w:t xml:space="preserve">tab, which holds March only.</w:t>
      </w:r>
      <w:r>
        <w:t xml:space="preserve"> </w:t>
      </w:r>
      <w:r>
        <w:t xml:space="preserve">- Order Sheet 24-25:</w:t>
      </w:r>
      <w:r>
        <w:t xml:space="preserve"> </w:t>
      </w:r>
      <w:r>
        <w:rPr>
          <w:rStyle w:val="VerbatimChar"/>
        </w:rPr>
        <w:t xml:space="preserve">1cT6lWRPJ3oSeYhab-cqeVjJidGitFQsr0DOq-vNn6cI</w:t>
      </w:r>
      <w:r>
        <w:t xml:space="preserve"> </w:t>
      </w:r>
      <w:r>
        <w:t xml:space="preserve">- Order Sheet 25-26:</w:t>
      </w:r>
      <w:r>
        <w:t xml:space="preserve"> </w:t>
      </w:r>
      <w:r>
        <w:rPr>
          <w:rStyle w:val="VerbatimChar"/>
        </w:rPr>
        <w:t xml:space="preserve">1Xzq-gmB6K7iuMcE6gb-O7OpvGgSDU33DzEVyK60LK6E</w:t>
      </w:r>
      <w:r>
        <w:t xml:space="preserve"> </w:t>
      </w:r>
      <w:r>
        <w:t xml:space="preserve">- (Order Sheet 23-24</w:t>
      </w:r>
      <w:r>
        <w:t xml:space="preserve"> </w:t>
      </w:r>
      <w:r>
        <w:rPr>
          <w:rStyle w:val="VerbatimChar"/>
        </w:rPr>
        <w:t xml:space="preserve">1jtSUGE6iT8WuUKi56F4LYqjJgZF42oR1mk51imG8yq8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excluded</w:t>
      </w:r>
      <w:r>
        <w:t xml:space="preserve">, old ERP layout.)</w:t>
      </w:r>
    </w:p>
    <w:p>
      <w:r>
        <w:pict>
          <v:rect style="width:0;height:1.5pt" o:hralign="center" o:hrstd="t" o:hr="t"/>
        </w:pict>
      </w:r>
    </w:p>
    <w:bookmarkEnd w:id="24"/>
    <w:bookmarkStart w:id="25" w:name="X549b3374b1e9712bd3bb2b9ba005d1893253b43"/>
    <w:p>
      <w:pPr>
        <w:pStyle w:val="Heading2"/>
      </w:pPr>
      <w:r>
        <w:t xml:space="preserve">4c. Current-year (FY2026-27) — excluded from the multiplier, but monitored</w:t>
      </w:r>
    </w:p>
    <w:p>
      <w:pPr>
        <w:pStyle w:val="FirstParagraph"/>
      </w:pPr>
      <w:r>
        <w:rPr>
          <w:bCs/>
          <w:b/>
        </w:rPr>
        <w:t xml:space="preserve">FY2026-27 is deliberately NOT an input</w:t>
      </w:r>
      <w:r>
        <w:t xml:space="preserve"> </w:t>
      </w:r>
      <w:r>
        <w:t xml:space="preserve">to the multiplier (a part-year cannot yield a 12-month seasonal index, and would distort CV). Current demand still reaches the plan through the</w:t>
      </w:r>
      <w:r>
        <w:t xml:space="preserve"> </w:t>
      </w:r>
      <w:r>
        <w:rPr>
          <w:bCs/>
          <w:b/>
        </w:rPr>
        <w:t xml:space="preserve">base</w:t>
      </w:r>
      <w:r>
        <w:t xml:space="preserve"> </w:t>
      </w:r>
      <w:r>
        <w:t xml:space="preserve">term:</w:t>
      </w:r>
    </w:p>
    <w:p>
      <w:pPr>
        <w:pStyle w:val="SourceCode"/>
      </w:pPr>
      <w:r>
        <w:rPr>
          <w:rStyle w:val="VerbatimChar"/>
        </w:rPr>
        <w:t xml:space="preserve">Buffer Req = Avg-3-Month-Sale  ×  Applied ×</w:t>
      </w:r>
      <w:r>
        <w:br/>
      </w:r>
      <w:r>
        <w:rPr>
          <w:rStyle w:val="VerbatimChar"/>
        </w:rPr>
        <w:t xml:space="preserve">             └ CURRENT (live FY26-27)   └ HISTORICAL (FY24-25 + FY25-26)</w:t>
      </w:r>
    </w:p>
    <w:p>
      <w:pPr>
        <w:pStyle w:val="FirstParagraph"/>
      </w:pPr>
      <w:r>
        <w:t xml:space="preserve">So rising current demand raises the buffer automatically; only the</w:t>
      </w:r>
      <w:r>
        <w:t xml:space="preserve"> </w:t>
      </w:r>
      <w:r>
        <w:rPr>
          <w:iCs/>
          <w:i/>
        </w:rPr>
        <w:t xml:space="preserve">risk factor</w:t>
      </w:r>
      <w:r>
        <w:t xml:space="preserve"> </w:t>
      </w:r>
      <w:r>
        <w:t xml:space="preserve">is held stable. Two required consequences: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Data-window label (UI):</w:t>
      </w:r>
      <w:r>
        <w:t xml:space="preserve"> </w:t>
      </w:r>
      <w:r>
        <w:t xml:space="preserve">show explicitly under the multipliers 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Suggested × derived from FY24-25 + FY25-26 order intake (24 months). FY2026-27 excluded (part-year); FY2023-24 excluded (old ERP layout).</w:t>
      </w:r>
      <w:r>
        <w:rPr>
          <w:iCs/>
          <w:i/>
        </w:rPr>
        <w:t xml:space="preserve">”</w:t>
      </w:r>
      <w:r>
        <w:t xml:space="preserve"> </w:t>
      </w:r>
      <w:r>
        <w:t xml:space="preserve">No one should assume the multiplier is live.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Current-year drift monitor (a warning, not an input):</w:t>
      </w:r>
      <w:r>
        <w:t xml:space="preserve"> </w:t>
      </w:r>
      <w:r>
        <w:t xml:space="preserve">track FY26-27 actual order intake per category against the model’s</w:t>
      </w:r>
      <w:r>
        <w:t xml:space="preserve"> </w:t>
      </w:r>
      <w:r>
        <w:rPr>
          <w:bCs/>
          <w:b/>
        </w:rPr>
        <w:t xml:space="preserve">expected seasonal shape</w:t>
      </w:r>
      <w:r>
        <w:t xml:space="preserve"> </w:t>
      </w:r>
      <w:r>
        <w:t xml:space="preserve">(</w:t>
      </w:r>
      <w:r>
        <w:rPr>
          <w:rStyle w:val="VerbatimChar"/>
        </w:rPr>
        <w:t xml:space="preserve">avg_month × (1+planning_growth) × seasonal_index[m]</w:t>
      </w:r>
      <w:r>
        <w:t xml:space="preserve">). If a category’s actuals fall outside its historical residual band (e.g. beyond ±z×CV) for</w:t>
      </w:r>
      <w:r>
        <w:t xml:space="preserve"> </w:t>
      </w:r>
      <w:r>
        <w:rPr>
          <w:bCs/>
          <w:b/>
        </w:rPr>
        <w:t xml:space="preserve">2+ consecutive months</w:t>
      </w:r>
      <w:r>
        <w:t xml:space="preserve">, raise</w:t>
      </w:r>
      <w:r>
        <w:t xml:space="preserve"> </w:t>
      </w:r>
      <w:r>
        <w:rPr>
          <w:rStyle w:val="VerbatimChar"/>
          <w:bCs/>
          <w:b/>
        </w:rPr>
        <w:t xml:space="preserve">SEASONALITY_DRIFT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this category is behaving unlike its history; consider an override.</w:t>
      </w:r>
      <w:r>
        <w:t xml:space="preserve">”</w:t>
      </w:r>
      <w:r>
        <w:t xml:space="preserve"> </w:t>
      </w:r>
      <w:r>
        <w:t xml:space="preserve">This gives early warning of a structural change (new channel, lost distributor, relaunch)</w:t>
      </w:r>
      <w:r>
        <w:t xml:space="preserve"> </w:t>
      </w:r>
      <w:r>
        <w:rPr>
          <w:bCs/>
          <w:b/>
        </w:rPr>
        <w:t xml:space="preserve">without polluting the CV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6" w:name="maintenance-guardrails"/>
    <w:p>
      <w:pPr>
        <w:pStyle w:val="Heading2"/>
      </w:pPr>
      <w:r>
        <w:t xml:space="preserve">5. Maintenance &amp; guardrails</w:t>
      </w:r>
    </w:p>
    <w:p>
      <w:pPr>
        <w:numPr>
          <w:ilvl w:val="0"/>
          <w:numId w:val="1004"/>
        </w:numPr>
        <w:pStyle w:val="Compact"/>
      </w:pPr>
      <w:r>
        <w:t xml:space="preserve">When a fiscal year completes,</w:t>
      </w:r>
      <w:r>
        <w:t xml:space="preserve"> </w:t>
      </w:r>
      <w:r>
        <w:rPr>
          <w:bCs/>
          <w:b/>
        </w:rPr>
        <w:t xml:space="preserve">append its 12 monthly figures per category and recompute</w:t>
      </w:r>
      <w:r>
        <w:t xml:space="preserve"> </w:t>
      </w:r>
      <w:r>
        <w:t xml:space="preserve">— Seasonal Index, CV, YoY and all multipliers update automatically;</w:t>
      </w:r>
      <w:r>
        <w:t xml:space="preserve"> </w:t>
      </w:r>
      <w:r>
        <w:rPr>
          <w:bCs/>
          <w:b/>
        </w:rPr>
        <w:t xml:space="preserve">overrides are preserved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Low-volume categories</w:t>
      </w:r>
      <w:r>
        <w:t xml:space="preserve"> </w:t>
      </w:r>
      <w:r>
        <w:t xml:space="preserve">produce unstable multipliers (e.g. Cabinet) — flag them</w:t>
      </w:r>
      <w:r>
        <w:t xml:space="preserve"> </w:t>
      </w:r>
      <w:r>
        <w:t xml:space="preserve">“</w:t>
      </w:r>
      <w:r>
        <w:t xml:space="preserve">statistically thin; handle manually</w:t>
      </w:r>
      <w:r>
        <w:t xml:space="preserve">”</w:t>
      </w:r>
      <w:r>
        <w:t xml:space="preserve"> </w:t>
      </w:r>
      <w:r>
        <w:t xml:space="preserve">rather than trusting the number.</w:t>
      </w:r>
    </w:p>
    <w:p>
      <w:pPr>
        <w:numPr>
          <w:ilvl w:val="0"/>
          <w:numId w:val="1004"/>
        </w:numPr>
        <w:pStyle w:val="Compact"/>
      </w:pPr>
      <w:r>
        <w:t xml:space="preserve">Volatility rests on 24 observations — directionally sound but thin; it tightens each year.</w:t>
      </w:r>
    </w:p>
    <w:p>
      <w:pPr>
        <w:numPr>
          <w:ilvl w:val="0"/>
          <w:numId w:val="1004"/>
        </w:numPr>
        <w:pStyle w:val="Compact"/>
      </w:pPr>
      <w:r>
        <w:t xml:space="preserve">The model assumes the historical seasonal shape continues; a structural change (new channel, lost distributor, relaunch) warrants an override.</w:t>
      </w:r>
    </w:p>
    <w:p>
      <w:pPr>
        <w:numPr>
          <w:ilvl w:val="0"/>
          <w:numId w:val="1004"/>
        </w:numPr>
        <w:pStyle w:val="Compact"/>
      </w:pPr>
      <w:r>
        <w:t xml:space="preserve">Buffers are computed on</w:t>
      </w:r>
      <w:r>
        <w:t xml:space="preserve"> </w:t>
      </w:r>
      <w:r>
        <w:rPr>
          <w:bCs/>
          <w:b/>
        </w:rPr>
        <w:t xml:space="preserve">order intake</w:t>
      </w:r>
      <w:r>
        <w:t xml:space="preserve">; if order-to-dispatch lead time is long/variable, layer lead-time uncertainty separately.</w:t>
      </w:r>
    </w:p>
    <w:p>
      <w:pPr>
        <w:numPr>
          <w:ilvl w:val="0"/>
          <w:numId w:val="1004"/>
        </w:numPr>
        <w:pStyle w:val="Compact"/>
      </w:pPr>
      <w:r>
        <w:t xml:space="preserve">Festivals sit implicitly inside the monthly pattern; Diwali moves (mid-Oct↔mid-Nov), so any festival pre-build should be re-anchored to the actual date, not a fixed month.</w:t>
      </w:r>
    </w:p>
    <w:p>
      <w:r>
        <w:pict>
          <v:rect style="width:0;height:1.5pt" o:hralign="center" o:hrstd="t" o:hr="t"/>
        </w:pict>
      </w:r>
    </w:p>
    <w:bookmarkEnd w:id="26"/>
    <w:bookmarkStart w:id="27" w:name="acceptance-criteria"/>
    <w:p>
      <w:pPr>
        <w:pStyle w:val="Heading2"/>
      </w:pPr>
      <w:r>
        <w:t xml:space="preserve">6. Acceptance criteria</w:t>
      </w:r>
    </w:p>
    <w:p>
      <w:pPr>
        <w:numPr>
          <w:ilvl w:val="0"/>
          <w:numId w:val="1005"/>
        </w:numPr>
        <w:pStyle w:val="Compact"/>
      </w:pPr>
      <w:r>
        <w:t xml:space="preserve">Suggested × is</w:t>
      </w:r>
      <w:r>
        <w:t xml:space="preserve"> </w:t>
      </w:r>
      <w:r>
        <w:rPr>
          <w:bCs/>
          <w:b/>
        </w:rPr>
        <w:t xml:space="preserve">computed</w:t>
      </w:r>
      <w:r>
        <w:t xml:space="preserve">, not typed:</w:t>
      </w:r>
      <w:r>
        <w:t xml:space="preserve"> </w:t>
      </w:r>
      <w:r>
        <w:rPr>
          <w:rStyle w:val="VerbatimChar"/>
        </w:rPr>
        <w:t xml:space="preserve">1 + z × CV</w:t>
      </w:r>
      <w:r>
        <w:t xml:space="preserve">, with CV measured on</w:t>
      </w:r>
      <w:r>
        <w:t xml:space="preserve"> </w:t>
      </w:r>
      <w:r>
        <w:rPr>
          <w:bCs/>
          <w:b/>
        </w:rPr>
        <w:t xml:space="preserve">deseasonalised</w:t>
      </w:r>
      <w:r>
        <w:t xml:space="preserve"> </w:t>
      </w:r>
      <w:r>
        <w:t xml:space="preserve">order-intake residuals (FY24-25 + FY25-26, quantity, per category).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Three-column</w:t>
      </w:r>
      <w:r>
        <w:t xml:space="preserve"> </w:t>
      </w:r>
      <w:r>
        <w:t xml:space="preserve">model works: Suggested (always shown) · Override (blank default) ·</w:t>
      </w:r>
      <w:r>
        <w:t xml:space="preserve"> </w:t>
      </w:r>
      <w:r>
        <w:rPr>
          <w:bCs/>
          <w:b/>
        </w:rPr>
        <w:t xml:space="preserve">Applied</w:t>
      </w:r>
      <w:r>
        <w:t xml:space="preserve"> </w:t>
      </w:r>
      <w:r>
        <w:t xml:space="preserve">(= override or suggested) — and the plan’s Buffer Req consumes</w:t>
      </w:r>
      <w:r>
        <w:t xml:space="preserve"> </w:t>
      </w:r>
      <w:r>
        <w:rPr>
          <w:bCs/>
          <w:b/>
        </w:rPr>
        <w:t xml:space="preserve">Applied ×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Clearing an override restores the suggestion exactly.</w:t>
      </w:r>
    </w:p>
    <w:p>
      <w:pPr>
        <w:numPr>
          <w:ilvl w:val="0"/>
          <w:numId w:val="1005"/>
        </w:numPr>
        <w:pStyle w:val="Compact"/>
      </w:pPr>
      <w:r>
        <w:t xml:space="preserve">Changing</w:t>
      </w:r>
      <w:r>
        <w:t xml:space="preserve"> </w:t>
      </w:r>
      <w:r>
        <w:rPr>
          <w:bCs/>
          <w:b/>
        </w:rPr>
        <w:t xml:space="preserve">z</w:t>
      </w:r>
      <w:r>
        <w:t xml:space="preserve"> </w:t>
      </w:r>
      <w:r>
        <w:t xml:space="preserve">(90/95/98%) re-derives every Suggested × proportionally to each category’s CV (steady lines barely move; erratic lines widen).</w:t>
      </w:r>
    </w:p>
    <w:p>
      <w:pPr>
        <w:numPr>
          <w:ilvl w:val="0"/>
          <w:numId w:val="1005"/>
        </w:numPr>
        <w:pStyle w:val="Compact"/>
      </w:pPr>
      <w:r>
        <w:t xml:space="preserve">Seasonal index averages ≈ 1.00 across the 12 months per category (sanity check);</w:t>
      </w:r>
      <w:r>
        <w:t xml:space="preserve"> </w:t>
      </w:r>
      <w:r>
        <w:rPr>
          <w:rStyle w:val="VerbatimChar"/>
        </w:rPr>
        <w:t xml:space="preserve">month_multiplier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monthly_target</w:t>
      </w:r>
      <w:r>
        <w:t xml:space="preserve"> </w:t>
      </w:r>
      <w:r>
        <w:t xml:space="preserve">compute per §2 Step 6.</w:t>
      </w:r>
    </w:p>
    <w:p>
      <w:pPr>
        <w:numPr>
          <w:ilvl w:val="0"/>
          <w:numId w:val="1005"/>
        </w:numPr>
        <w:pStyle w:val="Compact"/>
      </w:pPr>
      <w:r>
        <w:t xml:space="preserve">Segment-level replication check: running the same algorithm on</w:t>
      </w:r>
      <w:r>
        <w:t xml:space="preserve"> </w:t>
      </w:r>
      <w:r>
        <w:rPr>
          <w:bCs/>
          <w:b/>
        </w:rPr>
        <w:t xml:space="preserve">all PTMT orders</w:t>
      </w:r>
      <w:r>
        <w:t xml:space="preserve"> </w:t>
      </w:r>
      <w:r>
        <w:t xml:space="preserve">reproduces</w:t>
      </w:r>
      <w:r>
        <w:t xml:space="preserve"> </w:t>
      </w:r>
      <w:r>
        <w:rPr>
          <w:bCs/>
          <w:b/>
        </w:rPr>
        <w:t xml:space="preserve">CV 0.08, Suggested 1.13×, peak Mar (1.96), YoY +2% (Stable)</w:t>
      </w:r>
      <w:r>
        <w:t xml:space="preserve"> </w:t>
      </w:r>
      <w:r>
        <w:t xml:space="preserve">— verified achievable.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Per-category output matches the golden table in §4b</w:t>
      </w:r>
      <w:r>
        <w:t xml:space="preserve"> </w:t>
      </w:r>
      <w:r>
        <w:t xml:space="preserve">(Cocks Standard 1.15× · Cocks Premium 1.14× · Faucets 1.18× · Accessorise 1.25× · Ball Cock 1.29×), reading the</w:t>
      </w:r>
      <w:r>
        <w:t xml:space="preserve"> </w:t>
      </w:r>
      <w:r>
        <w:rPr>
          <w:bCs/>
          <w:b/>
        </w:rPr>
        <w:t xml:space="preserve">monthly tabs</w:t>
      </w:r>
      <w:r>
        <w:t xml:space="preserve"> </w:t>
      </w:r>
      <w:r>
        <w:t xml:space="preserve">(not</w:t>
      </w:r>
      <w:r>
        <w:t xml:space="preserve"> </w:t>
      </w:r>
      <w:r>
        <w:rPr>
          <w:rStyle w:val="VerbatimChar"/>
        </w:rPr>
        <w:t xml:space="preserve">Combined</w:t>
      </w:r>
      <w:r>
        <w:t xml:space="preserve">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Cistern &amp; Seat Cover</w:t>
      </w:r>
      <w:r>
        <w:t xml:space="preserve"> </w:t>
      </w:r>
      <w:r>
        <w:t xml:space="preserve">shows</w:t>
      </w:r>
      <w:r>
        <w:t xml:space="preserve"> </w:t>
      </w:r>
      <w:r>
        <w:t xml:space="preserve">“</w:t>
      </w:r>
      <w:r>
        <w:t xml:space="preserve">insufficient data — override required</w:t>
      </w:r>
      <w:r>
        <w:t xml:space="preserve">”</w:t>
      </w:r>
      <w:r>
        <w:t xml:space="preserve"> </w:t>
      </w:r>
      <w:r>
        <w:t xml:space="preserve">(no fabricated number);</w:t>
      </w:r>
      <w:r>
        <w:t xml:space="preserve"> </w:t>
      </w:r>
      <w:r>
        <w:rPr>
          <w:bCs/>
          <w:b/>
        </w:rPr>
        <w:t xml:space="preserve">Cabinet</w:t>
      </w:r>
      <w:r>
        <w:t xml:space="preserve"> </w:t>
      </w:r>
      <w:r>
        <w:t xml:space="preserve">is flagged</w:t>
      </w:r>
      <w:r>
        <w:t xml:space="preserve"> </w:t>
      </w:r>
      <w:r>
        <w:t xml:space="preserve">“</w:t>
      </w:r>
      <w:r>
        <w:t xml:space="preserve">thin data</w:t>
      </w:r>
      <w:r>
        <w:t xml:space="preserve">”</w:t>
      </w:r>
      <w:r>
        <w:t xml:space="preserve">; unmapped PTMT order qty is reported.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FY2026-27 is excluded</w:t>
      </w:r>
      <w:r>
        <w:t xml:space="preserve"> </w:t>
      </w:r>
      <w:r>
        <w:t xml:space="preserve">from the multiplier; the UI shows the data-window label; the</w:t>
      </w:r>
      <w:r>
        <w:t xml:space="preserve"> </w:t>
      </w:r>
      <w:r>
        <w:rPr>
          <w:rStyle w:val="VerbatimChar"/>
          <w:bCs/>
          <w:b/>
        </w:rPr>
        <w:t xml:space="preserve">SEASONALITY_DRIFT</w:t>
      </w:r>
      <w:r>
        <w:t xml:space="preserve"> </w:t>
      </w:r>
      <w:r>
        <w:t xml:space="preserve">monitor fires when current-year intake deviates from the expected seasonal shape for 2+ consecutive months.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2026-07-12T06:15:18Z</dcterms:created>
  <dcterms:modified xsi:type="dcterms:W3CDTF">2026-07-12T06:15:18Z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