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Структурная схема мотортестера</w:t>
      </w:r>
    </w:p>
    <w:p>
      <w:pPr>
        <w:spacing w:after="200"/>
        <w:ind w:firstLine="0"/>
      </w:pPr>
      <w:r>
        <w:t>Описание блоков и принятые границы проекта</w:t>
      </w:r>
    </w:p>
    <w:p>
      <w:r>
        <w:t>Схема Э1 показывает укрупнённую структуру конечного одноканального прибора на STM32F103C8T6 с ёмкостным съёмом сигнала зажигания и приложением Windows 10. Шесть пронумерованных блоков описывают основные функции. Схема является проектной: она не утверждает, что прибор собран, испытан или допущен к высоковольтному подключению.</w:t>
      </w:r>
    </w:p>
    <w:p>
      <w:r>
        <w:t>Сплошные линии обозначают внутренние функциональные связи. Штрихпунктиром показаны внешние объекты и их связи: система зажигания, ПК, источник питания. Стрелки указывают направление сигнала; двусторонние стрелки относятся к обмену данными и командами. Это не схема монтажа или распиновки.</w:t>
      </w:r>
    </w:p>
    <w:p>
      <w:pPr>
        <w:pStyle w:val="Heading1"/>
      </w:pPr>
      <w:r>
        <w:t>1 Ёмкостный датчик</w:t>
      </w:r>
    </w:p>
    <w:p>
      <w:r>
        <w:t>Получает сигнал через электрическое поле вокруг изолированного высоковольтного провода. Непосредственное электрическое соединение с жилой не предусматривается. Геометрия датчика, кабель и входная нагрузка влияют на форму и масштаб сигнала, поэтому конкретная конструкция и калибровка ещё должны быть выбраны. Датчик сам по себе не доказывает гальваническую развязку всей системы.</w:t>
      </w:r>
    </w:p>
    <w:p>
      <w:pPr>
        <w:pStyle w:val="Heading1"/>
      </w:pPr>
      <w:r>
        <w:t>2 Входной аналоговый узел</w:t>
      </w:r>
    </w:p>
    <w:p>
      <w:r>
        <w:t>Объединяет защиту от перегрузок, высокоомное согласование с датчиком, масштабирование, смещение уровня, аналоговую фильтрацию и согласование с входом АЦП. Такое объединение сохраняет простоту структурной схемы; отдельные резисторы, конденсаторы и усилители здесь не показываются. Ранее подготовленные варианты A и B предназначены для низковольтных проверок и не являются готовым входом для датчика зажигания.</w:t>
      </w:r>
    </w:p>
    <w:p>
      <w:pPr>
        <w:pStyle w:val="Heading1"/>
      </w:pPr>
      <w:r>
        <w:t>3 Узел регистрации на STM32F103C8T6</w:t>
      </w:r>
    </w:p>
    <w:p>
      <w:r>
        <w:t>Встроенный 12-разрядный АЦП преобразует входной сигнал в цифровые отсчёты. Таймер задаёт выборки, DMA переносит данные в память, а прошивка управляет буфером, сбором отсчётов, предысторией и передачей результата. Эти внутренние функции объединены в один блок, поскольку относятся к одному микроконтроллеру. Фактические частота, полоса и точность готового прибора подтверждаются отдельно измерениями.</w:t>
      </w:r>
    </w:p>
    <w:p>
      <w:pPr>
        <w:pStyle w:val="Heading1"/>
      </w:pPr>
      <w:r>
        <w:t>4 Интерфейс native USB FS</w:t>
      </w:r>
    </w:p>
    <w:p>
      <w:r>
        <w:t>Передаёт осциллограммы и метаданные на компьютер и принимает команды управления. Это функция встроенного USB-контроллера STM32 и его аппаратного соединения, а не отдельный преобразователь USB–UART. На схеме интерфейс выделен для наглядности. Гальваническую развязку связи необходимо проектировать вместе с питанием и всеми другими путями общей земли; её наличие пока не утверждается.</w:t>
      </w:r>
    </w:p>
    <w:p>
      <w:pPr>
        <w:pStyle w:val="Heading1"/>
      </w:pPr>
      <w:r>
        <w:t>5 ПК и приложение Windows 10</w:t>
      </w:r>
    </w:p>
    <w:p>
      <w:r>
        <w:t>Внешний компьютер задаёт параметры захвата, отображает осциллограммы, сохраняет исходные отсчёты и метаданные и повторно открывает записи. Требуется независимый масштаб по времени и амплитуде, изменяющий только вид графика, а не исходные данные или калибровку. В приложении предусматриваются русский интерфейс и справка. Машинное обучение и автоматическая постановка диагноза в первую версию не входят. Наличие блока на схеме не означает завершённую проверку Windows-сборки или реального USB-подключения.</w:t>
      </w:r>
    </w:p>
    <w:p>
      <w:pPr>
        <w:pStyle w:val="Heading1"/>
      </w:pPr>
      <w:r>
        <w:t>6 Питание и опорные цепи</w:t>
      </w:r>
    </w:p>
    <w:p>
      <w:r>
        <w:t>Формирует необходимые напряжения и опорные уровни, обеспечивает фильтрацию питания аналоговой и цифровой частей. Конкретный источник, схема подачи питания и развязка ещё не выбраны; стрелка от низковольтного источника обозначает функцию, а не готовое подключение. Текущий USB-вариант использует питание от шины и фиксированную подтяжку D+, поэтому нельзя без проверки добавлять параллельное внешнее питание платы.</w:t>
      </w:r>
    </w:p>
    <w:p>
      <w:r>
        <w:t>Имеющийся ноутбучный адаптер с заявленным номиналом 19 В питает модуль ZK-4KX. Эта цепь не назначена источником питания платы на данной схеме. Подавать 19 В непосредственно на STM32 или его плату нельзя. Допустимые входы и уровни определяются после проверки конкретной платы и топологии питания.</w:t>
      </w:r>
    </w:p>
    <w:p>
      <w:pPr>
        <w:pStyle w:val="Heading1"/>
      </w:pPr>
      <w:r>
        <w:t>Режимы записи и границы изменения</w:t>
      </w:r>
    </w:p>
    <w:p>
      <w:r>
        <w:t>Предусмотрены две пользовательские функции: «Запись сейчас» и однократный захват искрового события. Первая должна начинать запись после получения команды микроконтроллером, без ожидания внешней отметки. По уточнению владельца однократный захват должен сохранять один разряд целиком, с горением и затуханием, затем останавливаться. Параметры окна и проверка полноты разряда ещё разрабатываются. Это целевое требование, а не утверждение о завершённом изменении программы.</w:t>
      </w:r>
    </w:p>
    <w:p>
      <w:r>
        <w:t>Один захват не обязательно равен периоду между двумя искрами. Кнопка приложения также не обеспечивает точной временной привязки к команде отдельного стенда. Отсутствие зарегистрированного сигнала само по себе не подтверждает неисправность катушки. Внешний вход запуска из структуры удалён; встроенные способы обнаружения события и совместимость протокола проверяются до изменения кода.</w:t>
      </w:r>
    </w:p>
    <w:p>
      <w:pPr>
        <w:pStyle w:val="Heading1"/>
      </w:pPr>
      <w:r>
        <w:t>Последовательность работы</w:t>
      </w:r>
    </w:p>
    <w:p>
      <w:r>
        <w:t>Ёмкостный датчик → аналоговый узел → АЦП и буфер STM32 → USB → приложение. Команды оператора поступают в обратном направлении через USB. Стенд разрабатывается отдельно; внешняя синхронизация в мотортестере исключена по уточнению владельца от 12.10.2026. ST-Link используется для сервисной прошивки и отладки; в основной измерительный путь он не входит и поэтому не перегружает схему отдельным блоком.</w:t>
      </w:r>
    </w:p>
    <w:p>
      <w:pPr>
        <w:pStyle w:val="Heading1"/>
      </w:pPr>
      <w:r>
        <w:t>Оформление и оставшиеся реквизиты</w:t>
      </w:r>
    </w:p>
    <w:p>
      <w:r>
        <w:t>Чертёж выполнен на одном листе А3, 420 × 297 мм, с рамкой 20 мм слева и 5 мм с остальных сторон. Основная надпись имеет форму 1 и размер 185 × 55 мм. Использованы код Э1, прямоугольные функциональные блоки, линии связей 0,35 мм и шрифт OpenGOST типа Б без наклона. В PDF шрифт встроен, в SVG надписи преобразованы в векторные контуры. При печати выбирать масштаб 100 %, без подгонки под страницу.</w:t>
      </w:r>
    </w:p>
    <w:p>
      <w:r>
        <w:t>МТ.00.00.000 Э1 — временное рабочее обозначение, а не присвоенный кафедрой шифр диплома. Фамилии, подписи и другие неизвестные реквизиты оставлены для заполнения. Учебное заведение может потребовать свой шифр, основную надпись или дополнительные реквизиты. Это не меняет показанный состав блоков.</w:t>
      </w:r>
    </w:p>
    <w:p>
      <w:r>
        <w:t>Перед высоковольтным применением необходимо проверить датчик, перегрузочную стойкость и полосу входа, питание, все пути земли и развязки, паспорт платы и низковольтный захват. Структурная схема этих испытаний не заменяет.</w:t>
      </w:r>
    </w:p>
    <w:p>
      <w:pPr>
        <w:pStyle w:val="Heading1"/>
      </w:pPr>
      <w:r>
        <w:t>Основания оформления</w:t>
      </w:r>
    </w:p>
    <w:p>
      <w:r>
        <w:t>Для Казахстана проверены действующие записи каталога КазСтандарт на 12.10.2026. Геометрия и правила схем сверены с текстами соответствующих стандартов. Ниже приведены ссылки на официальные карточки; утверждение кафедрой не подразумевается.</w:t>
      </w:r>
    </w:p>
    <w:p>
      <w:pPr>
        <w:spacing w:after="40"/>
        <w:ind w:firstLine="0"/>
      </w:pPr>
      <w:hyperlink r:id="rId9">
        <w:r>
          <w:rPr>
            <w:sz w:val="22"/>
            <w:u w:val="single"/>
          </w:rPr>
          <w:t>ГОСТ 2.701-2008 — виды и типы схем</w:t>
        </w:r>
      </w:hyperlink>
    </w:p>
    <w:p>
      <w:pPr>
        <w:spacing w:after="40"/>
        <w:ind w:firstLine="0"/>
      </w:pPr>
      <w:hyperlink r:id="rId10">
        <w:r>
          <w:rPr>
            <w:sz w:val="22"/>
            <w:u w:val="single"/>
          </w:rPr>
          <w:t>ГОСТ 2.702-2011 — электрические схемы</w:t>
        </w:r>
      </w:hyperlink>
    </w:p>
    <w:p>
      <w:pPr>
        <w:spacing w:after="40"/>
        <w:ind w:firstLine="0"/>
      </w:pPr>
      <w:hyperlink r:id="rId11">
        <w:r>
          <w:rPr>
            <w:sz w:val="22"/>
            <w:u w:val="single"/>
          </w:rPr>
          <w:t>ГОСТ 2.104-2006 — основные надписи</w:t>
        </w:r>
      </w:hyperlink>
    </w:p>
    <w:p>
      <w:pPr>
        <w:spacing w:after="40"/>
        <w:ind w:firstLine="0"/>
      </w:pPr>
      <w:hyperlink r:id="rId12">
        <w:r>
          <w:rPr>
            <w:sz w:val="22"/>
            <w:u w:val="single"/>
          </w:rPr>
          <w:t>ГОСТ 2.301-68 — форматы</w:t>
        </w:r>
      </w:hyperlink>
    </w:p>
    <w:p>
      <w:pPr>
        <w:spacing w:after="40"/>
        <w:ind w:firstLine="0"/>
      </w:pPr>
      <w:hyperlink r:id="rId13">
        <w:r>
          <w:rPr>
            <w:sz w:val="22"/>
            <w:u w:val="single"/>
          </w:rPr>
          <w:t>ГОСТ 2.303-68 — линии</w:t>
        </w:r>
      </w:hyperlink>
    </w:p>
    <w:p>
      <w:pPr>
        <w:spacing w:after="40"/>
        <w:ind w:firstLine="0"/>
      </w:pPr>
      <w:hyperlink r:id="rId14">
        <w:r>
          <w:rPr>
            <w:sz w:val="22"/>
            <w:u w:val="single"/>
          </w:rPr>
          <w:t>ГОСТ 2.304-81 — чертёжные шрифты</w:t>
        </w:r>
      </w:hyperlink>
    </w:p>
    <w:p>
      <w:pPr>
        <w:ind w:firstLine="0"/>
      </w:pPr>
      <w:hyperlink r:id="rId15">
        <w:r>
          <w:rPr>
            <w:sz w:val="22"/>
            <w:u w:val="single"/>
          </w:rPr>
          <w:t>Исходное ТЗ проекта</w:t>
        </w:r>
      </w:hyperlink>
      <w:r>
        <w:t xml:space="preserve"> · </w:t>
      </w:r>
      <w:hyperlink r:id="rId16">
        <w:r>
          <w:rPr>
            <w:sz w:val="22"/>
            <w:u w:val="single"/>
          </w:rPr>
          <w:t>Аппаратные условия</w:t>
        </w:r>
      </w:hyperlink>
    </w:p>
    <w:p>
      <w:pPr>
        <w:ind w:firstLine="0"/>
      </w:pPr>
      <w:hyperlink r:id="rId17">
        <w:r>
          <w:rPr>
            <w:sz w:val="22"/>
            <w:u w:val="single"/>
          </w:rPr>
          <w:t>OpenGOST — исходный шрифт и лицензия OFL 1.1</w:t>
        </w:r>
      </w:hyperlink>
    </w:p>
    <w:sectPr w:rsidR="00FC693F" w:rsidRPr="0006063C" w:rsidSect="00034616">
      <w:footerReference w:type="default" r:id="rId18"/>
      <w:pgSz w:w="11906" w:h="16838"/>
      <w:pgMar w:top="1134" w:right="850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60"/>
      <w:ind w:firstLine="709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-shop.ksm.kz/catalog/document/38206/" TargetMode="External"/><Relationship Id="rId10" Type="http://schemas.openxmlformats.org/officeDocument/2006/relationships/hyperlink" Target="https://new-shop.ksm.kz/catalog/document/46766/" TargetMode="External"/><Relationship Id="rId11" Type="http://schemas.openxmlformats.org/officeDocument/2006/relationships/hyperlink" Target="https://new-shop.ksm.kz/catalog/document/15565/" TargetMode="External"/><Relationship Id="rId12" Type="http://schemas.openxmlformats.org/officeDocument/2006/relationships/hyperlink" Target="https://new-shop.ksm.kz/catalog/document/14504/" TargetMode="External"/><Relationship Id="rId13" Type="http://schemas.openxmlformats.org/officeDocument/2006/relationships/hyperlink" Target="https://new-shop.ksm.kz/catalog/document/14506/" TargetMode="External"/><Relationship Id="rId14" Type="http://schemas.openxmlformats.org/officeDocument/2006/relationships/hyperlink" Target="https://new-shop.ksm.kz/catalog/document/14507/" TargetMode="External"/><Relationship Id="rId15" Type="http://schemas.openxmlformats.org/officeDocument/2006/relationships/hyperlink" Target="https://github.com/font-weight/stm32_motortester/blob/192fbb2ef9369bb1c32e11f97263094fca52763f/docs/mvp-spec.md" TargetMode="External"/><Relationship Id="rId16" Type="http://schemas.openxmlformats.org/officeDocument/2006/relationships/hyperlink" Target="https://github.com/font-weight/stm32_motortester/blob/192fbb2ef9369bb1c32e11f97263094fca52763f/docs/hardware.md" TargetMode="External"/><Relationship Id="rId17" Type="http://schemas.openxmlformats.org/officeDocument/2006/relationships/hyperlink" Target="https://github.com/ingenium-am/open-gost-arm" TargetMode="Externa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Структурная схема мотортестера — описание блоков</dc:title>
  <dc:subject>Укрупнённая проектная схема Э1 и её ограничения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