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Функциональная схема мотортестера</w:t>
      </w:r>
    </w:p>
    <w:p>
      <w:pPr>
        <w:ind w:firstLine="0"/>
      </w:pPr>
      <w:r>
        <w:t>Пояснение к проектной схеме Э2</w:t>
      </w:r>
    </w:p>
    <w:p>
      <w:r>
        <w:t>Схема раскрывает прохождение сигнала и управление одноканальным прибором на STM32F103C8T6. В отличие от укрупнённой Э1, на Э2 отдельно показаны аналоговые функции, преобразование, перенос данных, память, управление записью, отсчёт времени и обмен с приложением. Прямоугольники обозначают функции; они не требуют отдельной микросхемы для каждого блока.</w:t>
      </w:r>
    </w:p>
    <w:p>
      <w:r>
        <w:t>Это проект конечного устройства, а не подтверждение готовности всех его частей. Стенд разрабатывается отдельно. Вход внешней синхронизации и управление катушкой в мотортестер не включены. Таймер, запускающий преобразования АЦП внутри микроконтроллера, сохраняется: он задаёт частоту выборок и не является внешней синхронизацией.</w:t>
      </w:r>
    </w:p>
    <w:p>
      <w:pPr>
        <w:pStyle w:val="Heading1"/>
      </w:pPr>
      <w:r>
        <w:t>1 Измерительный аналоговый тракт</w:t>
      </w:r>
    </w:p>
    <w:p>
      <w:r>
        <w:t>Система зажигания — внешний объект измерения. Стрелка «Поле» означает ёмкостную связь с датчиком, а не прямое подключение к высоковольтной жиле.</w:t>
      </w:r>
    </w:p>
    <w:p>
      <w:r>
        <w:t>Ёмкостный съём преобразует изменение электрического поля в измеряемый сигнал. Его амплитуда и форма зависят от геометрии датчика, кабеля, установки и входной нагрузки. Конструкция и калибровка ещё требуют проверки.</w:t>
      </w:r>
    </w:p>
    <w:p>
      <w:r>
        <w:t>Входная защита ограничивает опасные для следующего каскада воздействия. Высокоомное согласование уменьшает нагрузку на датчик. На Э2 эти функции разделены для объяснения; их конкретная электрическая реализация и взаимное расположение уточняются при расчёте входа.</w:t>
      </w:r>
    </w:p>
    <w:p>
      <w:r>
        <w:t>Масштаб и смещение приводят сигнал к рабочему диапазону АЦП, включая размещение двуполярного сигнала относительно выбранного постоянного уровня. Этот уровень смещения не следует путать с опорным напряжением АЦП.</w:t>
      </w:r>
    </w:p>
    <w:p>
      <w:r>
        <w:t>Аналоговый фильтр ограничивает внеполосные составляющие до оцифровки. Драйвер АЦП обеспечивает требуемое установление сигнала на его входе. Параметры полосы, защиты и восстановления после большого импульса пока не утверждены; цифровая обработка аналоговый фильтр не заменяет.</w:t>
      </w:r>
    </w:p>
    <w:p>
      <w:r>
        <w:br w:type="page"/>
      </w:r>
    </w:p>
    <w:p>
      <w:pPr>
        <w:pStyle w:val="Heading1"/>
      </w:pPr>
      <w:r>
        <w:t>2 Функции STM32F103C8T6</w:t>
      </w:r>
    </w:p>
    <w:p>
      <w:r>
        <w:t>АЦП ADC1 преобразует аналоговый уровень в 12-разрядные коды. В существующем программном драйвере выбран канал 0, PA0. Это назначение MCU не является подтверждённой распиновкой разъёма конкретной платы.</w:t>
      </w:r>
    </w:p>
    <w:p>
      <w:r>
        <w:t>Таймер TIM3 задаёт моменты преобразования через внутренний сигнал TRGO. Он связан управляющей стрелкой с АЦП, а не включён последовательно в путь отсчётов. Команда управления записью разрешает или останавливает выборки.</w:t>
      </w:r>
    </w:p>
    <w:p>
      <w:r>
        <w:t>Перенос DMA доставляет коды АЦП в буфер оперативной памяти без копирования каждого кода процессором. В текущем драйвере DMA заполняет кольцо на 256 отсчётов; проверенная часть по 128 отсчётов передаётся программному ядру через отдельный снимок. DMA не заполняет итоговое окно напрямую.</w:t>
      </w:r>
    </w:p>
    <w:p>
      <w:r>
        <w:t>Буферы в ОЗУ временно хранят поток. Управление записью и выбор окна проверяет состояние захвата, принимает отсчёты и формирует сохраняемый результат. Итоговое окно текущего ядра содержит 2048 отсчётов; при готовности окна выборки останавливаются на время передачи. Поэтому непрерывность без пропусков между окнами не заявляется.</w:t>
      </w:r>
    </w:p>
    <w:p>
      <w:r>
        <w:t>Счётчик времени TIM2 используется для контроля сроков обслуживания и ошибок. Он не запускает АЦП. На схеме его связь направлена к управлению записью, отдельно от TIM3.</w:t>
      </w:r>
    </w:p>
    <w:p>
      <w:r>
        <w:t>Пакеты и состояния native USB FS объединяют подготовку данных, контроль целостности, сообщения о состоянии и собственный USB-контроллер MCU. Настройки и команды идут от ПК к управлению записью; отсчёты, метаданные и состояния — обратно. Внешний USB–UART-преобразователь не подразумевается.</w:t>
      </w:r>
    </w:p>
    <w:p>
      <w:pPr>
        <w:pStyle w:val="Heading1"/>
      </w:pPr>
      <w:r>
        <w:t>3 Приложение и питание</w:t>
      </w:r>
    </w:p>
    <w:p>
      <w:r>
        <w:t>ПК с Windows 10 обеспечивает управление записью, просмотр графика и сохранение исходных отсчётов с метаданными. Независимое растяжение по времени и амплитуде меняет только вид графика, сохраняя исходные данные, единицы и калибровку. Это целевые функции полной системы; изображение двусторонней связи не означает завершённой интеграции текущих веток прошивки и приложения.</w:t>
      </w:r>
    </w:p>
    <w:p>
      <w:r>
        <w:t>Питание и опорные цепи обеспечивают аналоговый тракт и MCU. Выход подписан по назначению, без разведения всех питающих связей по листу. Источник, напряжения, фильтрация и развязка уточняются совместно с USB и платой. Пассивному ёмкостному съёму отдельное питание не назначено.</w:t>
      </w:r>
    </w:p>
    <w:p>
      <w:r>
        <w:br w:type="page"/>
      </w:r>
    </w:p>
    <w:p>
      <w:pPr>
        <w:pStyle w:val="Heading1"/>
      </w:pPr>
      <w:r>
        <w:t>4 Предусмотренные способы записи</w:t>
      </w:r>
    </w:p>
    <w:p>
      <w:r>
        <w:t>«Запись сейчас»: приложение передаёт команду, микроконтроллер принимает её и начинает новое окно без ожидания фронта измеряемого сигнала. Между нажатием кнопки и первым отсчётом имеется задержка передачи и выполнения команды. Точная привязка к событию внешнего стенда не обеспечивается.</w:t>
      </w:r>
    </w:p>
    <w:p>
      <w:r>
        <w:t>Однократный захват искры: по уточнению владельца от 12.10.2026 требуется один разряд целиком, включая горение и затухание, затем остановка. Это не промежуток между соседними искрами. Окно должно содержать начало разряда и достаточный запас после него; параметры запуска, предыстория, длительность и проверка полноты ещё должны быть обоснованы.</w:t>
      </w:r>
    </w:p>
    <w:p>
      <w:r>
        <w:t>Обычный однократный режим осциллографа означает один кадр выбранной длительности. Для новой функции рассматривается запуск по самому измеряемому сигналу с предысторией, без отдельного внешнего входа. Сам факт получения кадра не доказывает, что затухание полностью попало в запись. Текущие команды протокола сохраняют свою семантику до согласованного изменения.</w:t>
      </w:r>
    </w:p>
    <w:p>
      <w:pPr>
        <w:pStyle w:val="Heading1"/>
      </w:pPr>
      <w:r>
        <w:t>5 Что уже проверено и что остаётся проектным</w:t>
      </w:r>
    </w:p>
    <w:p>
      <w:r>
        <w:t>Основание схемы: main 192fbb2ef9369bb1c32e11f97263094fca52763f и новое требование владельца от 12.10.2026. Структура ADC/TIM3/DMA/буферов/TIM2/USB сверена с исходниками. На этой основной версии приложение host/** является офлайн-просмотрщиком; целевая USB-интеграция рассматривается отдельно.</w:t>
      </w:r>
    </w:p>
    <w:p>
      <w:r>
        <w:t>Примитив «Запись сейчас» подготовлен отдельно в draft PR № 135. Проверки алгоритма на компьютере прошли, но производственный вызов, согласованный USB-контракт и команда приложения ещё не подключены. Новая ARM-сборка и её ресурсные доказательства не получены. Схема не превращает этот черновик в принятую функцию.</w:t>
      </w:r>
    </w:p>
    <w:p>
      <w:r>
        <w:t>2048 отсчётов при номинальных 50 квыб/с составляют окно 40,96 мс; между первым и последним отсчётами — 40,94 мс. Это свойства текущего программного профиля, а не доказанная длительность искры, измеренная частота или достаточная полоса готового прибора.</w:t>
      </w:r>
    </w:p>
    <w:p>
      <w:r>
        <w:t>Учебные аналоговые варианты A/B предназначены для низковольтных проверок и не являются готовым входом зажигания. До высоковольтного применения требуются проверка датчика, перегрузочной стойкости, питания, всех путей земли и развязки. Бесконтактный съём не доказывает изоляцию системы. Подача 19 В непосредственно на плату STM32 не допускается.</w:t>
      </w:r>
    </w:p>
    <w:p>
      <w:r>
        <w:br w:type="page"/>
      </w:r>
    </w:p>
    <w:p>
      <w:pPr>
        <w:pStyle w:val="Heading1"/>
      </w:pPr>
      <w:r>
        <w:t>6 Оформление и чтение схемы</w:t>
      </w:r>
    </w:p>
    <w:p>
      <w:r>
        <w:t>Использован код Э2: «Схема электрическая функциональная». Лист А3, 420 × 297 мм; рамка 20 мм слева и 5 мм с других сторон. Основная надпись — форма 1 размером 185 × 55 мм. Названия функциональных групп приведены непосредственно в прямоугольниках; вымышленные позиционные обозначения элементов не введены.</w:t>
      </w:r>
    </w:p>
    <w:p>
      <w:r>
        <w:t>Сплошные линии показывают внутренние функциональные связи. Штрихпунктиром обозначены группирующий контур STM32, внешние объекты и соответствующие внешние связи. Стрелки задают направление процесса. Подписи отделяют аналоговый сигнал, данные, команды, тактирование и питание. Ни одна стрелка не является монтажной инструкцией.</w:t>
      </w:r>
    </w:p>
    <w:p>
      <w:r>
        <w:t>Линии связей имеют толщину 0,35 мм, основные линии рамки — 0,7 мм. Применён прямой чертёжный шрифт OpenGOST типа Б: высота прописных букв преимущественно 3,5 мм, пояснений — 2,5 мм. В PDF шрифт встроен; в SVG надписи переведены в контуры. Печатать в масштабе 100 %, без подгонки страницы.</w:t>
      </w:r>
    </w:p>
    <w:p>
      <w:r>
        <w:t>Обозначение МТ.00.00.000 Э2 временное. Позиционные обозначения физических устройств должны быть согласованы с будущей принципиальной схемой Э3. Неизвестные фамилии, организация и подписи оставлены пустыми. Проектное оформление проверено по перечисленным стандартам; официальное утверждение или нормоконтроль кафедры не подразумевается.</w:t>
      </w:r>
    </w:p>
    <w:p>
      <w:pPr>
        <w:pStyle w:val="Heading1"/>
      </w:pPr>
      <w:r>
        <w:t>Источники и проверяемые основания</w:t>
      </w:r>
    </w:p>
    <w:p>
      <w:r>
        <w:t>Для применимости использован официальный каталог КазСтандарт, проверенный 12.10.2026. Правила функциональных схем — ГОСТ 2.702-2011, раздел 5.2; общие правила и код Э2 — ГОСТ 2.701-2008. Геометрия основной надписи, формат, линии и шрифт сверены отдельно.</w:t>
      </w:r>
    </w:p>
    <w:p>
      <w:pPr>
        <w:spacing w:after="40"/>
        <w:ind w:firstLine="0"/>
      </w:pPr>
      <w:hyperlink r:id="rId9">
        <w:r>
          <w:rPr>
            <w:sz w:val="22"/>
            <w:u w:val="single"/>
          </w:rPr>
          <w:t>ГОСТ 2.701-2008 — виды и типы схем</w:t>
        </w:r>
      </w:hyperlink>
    </w:p>
    <w:p>
      <w:pPr>
        <w:spacing w:after="40"/>
        <w:ind w:firstLine="0"/>
      </w:pPr>
      <w:hyperlink r:id="rId10">
        <w:r>
          <w:rPr>
            <w:sz w:val="22"/>
            <w:u w:val="single"/>
          </w:rPr>
          <w:t>ГОСТ 2.702-2011 — электрические схемы</w:t>
        </w:r>
      </w:hyperlink>
    </w:p>
    <w:p>
      <w:pPr>
        <w:spacing w:after="40"/>
        <w:ind w:firstLine="0"/>
      </w:pPr>
      <w:hyperlink r:id="rId11">
        <w:r>
          <w:rPr>
            <w:sz w:val="22"/>
            <w:u w:val="single"/>
          </w:rPr>
          <w:t>ГОСТ 2.104-2006 — основные надписи</w:t>
        </w:r>
      </w:hyperlink>
    </w:p>
    <w:p>
      <w:pPr>
        <w:spacing w:after="40"/>
        <w:ind w:firstLine="0"/>
      </w:pPr>
      <w:hyperlink r:id="rId12">
        <w:r>
          <w:rPr>
            <w:sz w:val="22"/>
            <w:u w:val="single"/>
          </w:rPr>
          <w:t>ГОСТ 2.301-68 — форматы</w:t>
        </w:r>
      </w:hyperlink>
    </w:p>
    <w:p>
      <w:pPr>
        <w:spacing w:after="40"/>
        <w:ind w:firstLine="0"/>
      </w:pPr>
      <w:hyperlink r:id="rId13">
        <w:r>
          <w:rPr>
            <w:sz w:val="22"/>
            <w:u w:val="single"/>
          </w:rPr>
          <w:t>ГОСТ 2.303-68 — линии</w:t>
        </w:r>
      </w:hyperlink>
    </w:p>
    <w:p>
      <w:pPr>
        <w:spacing w:after="40"/>
        <w:ind w:firstLine="0"/>
      </w:pPr>
      <w:hyperlink r:id="rId14">
        <w:r>
          <w:rPr>
            <w:sz w:val="22"/>
            <w:u w:val="single"/>
          </w:rPr>
          <w:t>ГОСТ 2.304-81 — чертёжные шрифты</w:t>
        </w:r>
      </w:hyperlink>
    </w:p>
    <w:p>
      <w:pPr>
        <w:spacing w:after="40"/>
        <w:ind w:firstLine="0"/>
      </w:pPr>
      <w:hyperlink r:id="rId15">
        <w:r>
          <w:rPr>
            <w:sz w:val="22"/>
            <w:u w:val="single"/>
          </w:rPr>
          <w:t>Изменение требований владельца: issue № 134</w:t>
        </w:r>
      </w:hyperlink>
    </w:p>
    <w:p>
      <w:pPr>
        <w:spacing w:after="40"/>
        <w:ind w:firstLine="0"/>
      </w:pPr>
      <w:hyperlink r:id="rId16">
        <w:r>
          <w:rPr>
            <w:sz w:val="22"/>
            <w:u w:val="single"/>
          </w:rPr>
          <w:t>Масштабирование по двум осям: issue № 136</w:t>
        </w:r>
      </w:hyperlink>
    </w:p>
    <w:p>
      <w:pPr>
        <w:spacing w:after="40"/>
        <w:ind w:firstLine="0"/>
      </w:pPr>
      <w:hyperlink r:id="rId17">
        <w:r>
          <w:rPr>
            <w:sz w:val="22"/>
            <w:u w:val="single"/>
          </w:rPr>
          <w:t>Черновик ядра «Запись сейчас»: PR № 135</w:t>
        </w:r>
      </w:hyperlink>
    </w:p>
    <w:p>
      <w:pPr>
        <w:spacing w:after="40"/>
        <w:ind w:firstLine="0"/>
      </w:pPr>
      <w:hyperlink r:id="rId18">
        <w:r>
          <w:rPr>
            <w:sz w:val="22"/>
            <w:u w:val="single"/>
          </w:rPr>
          <w:t>Драйвер ADC / TIM3 / DMA на проверенной основной версии</w:t>
        </w:r>
      </w:hyperlink>
    </w:p>
    <w:p>
      <w:pPr>
        <w:spacing w:after="40"/>
        <w:ind w:firstLine="0"/>
      </w:pPr>
      <w:hyperlink r:id="rId19">
        <w:r>
          <w:rPr>
            <w:sz w:val="22"/>
            <w:u w:val="single"/>
          </w:rPr>
          <w:t>Справка Disco-2: режимы осциллографа</w:t>
        </w:r>
      </w:hyperlink>
    </w:p>
    <w:p>
      <w:pPr>
        <w:spacing w:after="40"/>
        <w:ind w:firstLine="0"/>
      </w:pPr>
      <w:hyperlink r:id="rId20">
        <w:r>
          <w:rPr>
            <w:sz w:val="22"/>
            <w:u w:val="single"/>
          </w:rPr>
          <w:t>OpenGOST: шрифт и лицензия OFL 1.1</w:t>
        </w:r>
      </w:hyperlink>
    </w:p>
    <w:sectPr w:rsidR="00FC693F" w:rsidRPr="0006063C" w:rsidSect="00034616">
      <w:footerReference w:type="default" r:id="rId21"/>
      <w:pgSz w:w="11906" w:h="16838"/>
      <w:pgMar w:top="1134" w:right="850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-shop.ksm.kz/catalog/document/38206/" TargetMode="External"/><Relationship Id="rId10" Type="http://schemas.openxmlformats.org/officeDocument/2006/relationships/hyperlink" Target="https://new-shop.ksm.kz/catalog/document/46766/" TargetMode="External"/><Relationship Id="rId11" Type="http://schemas.openxmlformats.org/officeDocument/2006/relationships/hyperlink" Target="https://new-shop.ksm.kz/catalog/document/15565/" TargetMode="External"/><Relationship Id="rId12" Type="http://schemas.openxmlformats.org/officeDocument/2006/relationships/hyperlink" Target="https://new-shop.ksm.kz/catalog/document/14504/" TargetMode="External"/><Relationship Id="rId13" Type="http://schemas.openxmlformats.org/officeDocument/2006/relationships/hyperlink" Target="https://new-shop.ksm.kz/catalog/document/14506/" TargetMode="External"/><Relationship Id="rId14" Type="http://schemas.openxmlformats.org/officeDocument/2006/relationships/hyperlink" Target="https://new-shop.ksm.kz/catalog/document/14507/" TargetMode="External"/><Relationship Id="rId15" Type="http://schemas.openxmlformats.org/officeDocument/2006/relationships/hyperlink" Target="https://github.com/font-weight/stm32_motortester/issues/134" TargetMode="External"/><Relationship Id="rId16" Type="http://schemas.openxmlformats.org/officeDocument/2006/relationships/hyperlink" Target="https://github.com/font-weight/stm32_motortester/issues/136" TargetMode="External"/><Relationship Id="rId17" Type="http://schemas.openxmlformats.org/officeDocument/2006/relationships/hyperlink" Target="https://github.com/font-weight/stm32_motortester/pull/135" TargetMode="External"/><Relationship Id="rId18" Type="http://schemas.openxmlformats.org/officeDocument/2006/relationships/hyperlink" Target="https://github.com/font-weight/stm32_motortester/blob/192fbb2ef9369bb1c32e11f97263094fca52763f/firmware/platform/adc_timer_dma.c" TargetMode="External"/><Relationship Id="rId19" Type="http://schemas.openxmlformats.org/officeDocument/2006/relationships/hyperlink" Target="https://motor-master.ru/downloads/help/osc.htm" TargetMode="External"/><Relationship Id="rId20" Type="http://schemas.openxmlformats.org/officeDocument/2006/relationships/hyperlink" Target="https://github.com/ingenium-am/open-gost-arm" TargetMode="Externa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Функциональная схема мотортестера — пояснение</dc:title>
  <dc:subject>Проектная схема Э2: функции, связи, границы реализации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