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0192E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consistently</w:t>
        </w:r>
        <w:r w:rsidR="006F2611">
          <w:t xml:space="preserve">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w:t>
      </w:r>
      <w:ins w:id="8" w:author="Daniel Noble" w:date="2023-06-30T08:38:00Z">
        <w:r w:rsidR="00ED494A">
          <w:t>–</w:t>
        </w:r>
      </w:ins>
      <w:del w:id="9"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0F11A6D0"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29" w:tooltip="West-Eberhard, 2003 #2" w:history="1">
        <w:r w:rsidR="00EB67E5" w:rsidRPr="00EB67E5">
          <w:rPr>
            <w:rStyle w:val="Hyperlink"/>
          </w:rPr>
          <w:t>West-Eberhard 2003</w:t>
        </w:r>
      </w:hyperlink>
      <w:r w:rsidR="006D328F">
        <w:rPr>
          <w:noProof/>
        </w:rPr>
        <w:t xml:space="preserve">, </w:t>
      </w:r>
      <w:hyperlink w:anchor="_ENREF_13" w:tooltip="Ghalambor, 2007 #5" w:history="1">
        <w:r w:rsidR="00EB67E5" w:rsidRPr="00EB67E5">
          <w:rPr>
            <w:rStyle w:val="Hyperlink"/>
          </w:rPr>
          <w:t>Ghalambor, McKay et al. 2007</w:t>
        </w:r>
      </w:hyperlink>
      <w:r w:rsidR="006D328F">
        <w:rPr>
          <w:noProof/>
        </w:rPr>
        <w:t xml:space="preserve">, </w:t>
      </w:r>
      <w:hyperlink w:anchor="_ENREF_20" w:tooltip="Noble, 2018 #3" w:history="1">
        <w:r w:rsidR="00EB67E5" w:rsidRPr="00EB67E5">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29" w:tooltip="West-Eberhard, 2003 #2" w:history="1">
        <w:r w:rsidR="00EB67E5" w:rsidRPr="00EB67E5">
          <w:rPr>
            <w:rStyle w:val="Hyperlink"/>
          </w:rPr>
          <w:t>West-Eberhard 2003</w:t>
        </w:r>
      </w:hyperlink>
      <w:r w:rsidR="00841599">
        <w:rPr>
          <w:noProof/>
        </w:rPr>
        <w:t xml:space="preserve">, </w:t>
      </w:r>
      <w:hyperlink w:anchor="_ENREF_18" w:tooltip="Monaghan, 2008 #1" w:history="1">
        <w:r w:rsidR="00EB67E5" w:rsidRPr="00EB67E5">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18" w:tooltip="Monaghan, 2008 #1" w:history="1">
        <w:r w:rsidR="00EB67E5" w:rsidRPr="00EB67E5">
          <w:rPr>
            <w:rStyle w:val="Hyperlink"/>
          </w:rPr>
          <w:t>Monaghan 2008</w:t>
        </w:r>
      </w:hyperlink>
      <w:r w:rsidR="006D328F">
        <w:rPr>
          <w:noProof/>
        </w:rPr>
        <w:t xml:space="preserve">, </w:t>
      </w:r>
      <w:hyperlink w:anchor="_ENREF_20" w:tooltip="Noble, 2018 #3" w:history="1">
        <w:r w:rsidR="00EB67E5" w:rsidRPr="00EB67E5">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3" w:tooltip="Ghalambor, 2007 #5" w:history="1">
        <w:r w:rsidR="00EB67E5" w:rsidRPr="00EB67E5">
          <w:rPr>
            <w:rStyle w:val="Hyperlink"/>
          </w:rPr>
          <w:t>Ghalambor, McKay et al. 2007</w:t>
        </w:r>
      </w:hyperlink>
      <w:r w:rsidR="00357133">
        <w:rPr>
          <w:noProof/>
        </w:rPr>
        <w:t xml:space="preserve">, </w:t>
      </w:r>
      <w:hyperlink w:anchor="_ENREF_1" w:tooltip="Beaman, 2016 #4" w:history="1">
        <w:r w:rsidR="00EB67E5" w:rsidRPr="00EB67E5">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29" w:tooltip="West-Eberhard, 2003 #2" w:history="1">
        <w:r w:rsidR="00EB67E5" w:rsidRPr="00EB67E5">
          <w:rPr>
            <w:rStyle w:val="Hyperlink"/>
          </w:rPr>
          <w:t>West-Eberhard 2003</w:t>
        </w:r>
      </w:hyperlink>
      <w:r w:rsidR="00357133">
        <w:rPr>
          <w:noProof/>
        </w:rPr>
        <w:t xml:space="preserve">, </w:t>
      </w:r>
      <w:hyperlink w:anchor="_ENREF_6" w:tooltip="Chevin, 2010 #81" w:history="1">
        <w:r w:rsidR="00EB67E5" w:rsidRPr="00EB67E5">
          <w:rPr>
            <w:rStyle w:val="Hyperlink"/>
          </w:rPr>
          <w:t>Chevin 2010</w:t>
        </w:r>
      </w:hyperlink>
      <w:r w:rsidR="00357133">
        <w:rPr>
          <w:noProof/>
        </w:rPr>
        <w:t xml:space="preserve">, </w:t>
      </w:r>
      <w:hyperlink w:anchor="_ENREF_2" w:tooltip="Beldade, 2011 #6" w:history="1">
        <w:r w:rsidR="00EB67E5" w:rsidRPr="00EB67E5">
          <w:rPr>
            <w:rStyle w:val="Hyperlink"/>
          </w:rPr>
          <w:t>Beldade, Mateus et al. 2011</w:t>
        </w:r>
      </w:hyperlink>
      <w:r w:rsidR="00357133">
        <w:rPr>
          <w:noProof/>
        </w:rPr>
        <w:t xml:space="preserve">, </w:t>
      </w:r>
      <w:hyperlink w:anchor="_ENREF_19" w:tooltip="Noble, 2019 #7" w:history="1">
        <w:r w:rsidR="00EB67E5" w:rsidRPr="00EB67E5">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23" w:tooltip="Reed, 2010 #9" w:history="1">
        <w:r w:rsidR="00EB67E5" w:rsidRPr="00EB67E5">
          <w:rPr>
            <w:rStyle w:val="Hyperlink"/>
          </w:rPr>
          <w:t>Reed, Waples et al. 2010</w:t>
        </w:r>
      </w:hyperlink>
      <w:r w:rsidR="00357133">
        <w:rPr>
          <w:noProof/>
        </w:rPr>
        <w:t xml:space="preserve">, </w:t>
      </w:r>
      <w:hyperlink w:anchor="_ENREF_3" w:tooltip="Botero, 2015 #8" w:history="1">
        <w:r w:rsidR="00EB67E5" w:rsidRPr="00EB67E5">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6453C903"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0"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7" w:tooltip="Lynch, 1998 #10" w:history="1">
        <w:r w:rsidR="00EB67E5" w:rsidRPr="00EB67E5">
          <w:rPr>
            <w:rStyle w:val="Hyperlink"/>
          </w:rPr>
          <w:t>Lynch and Walsh 1998</w:t>
        </w:r>
      </w:hyperlink>
      <w:r w:rsidR="00AD4621">
        <w:rPr>
          <w:noProof/>
        </w:rPr>
        <w:t>)</w:t>
      </w:r>
      <w:r w:rsidR="00AD4621">
        <w:fldChar w:fldCharType="end"/>
      </w:r>
      <w:del w:id="1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0" w:tooltip="Falconer, 1996 #11" w:history="1">
        <w:r w:rsidR="00EB67E5" w:rsidRPr="00EB67E5">
          <w:rPr>
            <w:rStyle w:val="Hyperlink"/>
          </w:rPr>
          <w:t>Falconer and Mackay 1996</w:t>
        </w:r>
      </w:hyperlink>
      <w:r w:rsidR="00AD4621">
        <w:rPr>
          <w:noProof/>
        </w:rPr>
        <w:t>)</w:t>
      </w:r>
      <w:r w:rsidR="00AD4621">
        <w:fldChar w:fldCharType="end"/>
      </w:r>
      <w:del w:id="1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6" w:tooltip="Hoffmann, 1999 #14" w:history="1">
        <w:r w:rsidR="00EB67E5" w:rsidRPr="00EB67E5">
          <w:rPr>
            <w:rStyle w:val="Hyperlink"/>
          </w:rPr>
          <w:t>Hoffmann and Merilä 1999</w:t>
        </w:r>
      </w:hyperlink>
      <w:r w:rsidR="00AD4621">
        <w:rPr>
          <w:noProof/>
        </w:rPr>
        <w:t xml:space="preserve">, </w:t>
      </w:r>
      <w:hyperlink w:anchor="_ENREF_5" w:tooltip="Charmantier, 2005 #12" w:history="1">
        <w:r w:rsidR="00EB67E5" w:rsidRPr="00EB67E5">
          <w:rPr>
            <w:rStyle w:val="Hyperlink"/>
          </w:rPr>
          <w:t>Charmantier and Garant 2005</w:t>
        </w:r>
      </w:hyperlink>
      <w:r w:rsidR="00AD4621">
        <w:rPr>
          <w:noProof/>
        </w:rPr>
        <w:t xml:space="preserve">, </w:t>
      </w:r>
      <w:hyperlink w:anchor="_ENREF_30" w:tooltip="Wood, 2015 #15" w:history="1">
        <w:r w:rsidR="00EB67E5" w:rsidRPr="00EB67E5">
          <w:rPr>
            <w:rStyle w:val="Hyperlink"/>
          </w:rPr>
          <w:t>Wood and Brodie 2015</w:t>
        </w:r>
      </w:hyperlink>
      <w:r w:rsidR="00AD4621">
        <w:rPr>
          <w:noProof/>
        </w:rPr>
        <w:t xml:space="preserve">, </w:t>
      </w:r>
      <w:hyperlink w:history="1">
        <w:r w:rsidR="00EB67E5" w:rsidRPr="00EB67E5">
          <w:rPr>
            <w:rStyle w:val="Hyperlink"/>
          </w:rPr>
          <w:t>Rowiński and Rogell 2017</w:t>
        </w:r>
      </w:hyperlink>
      <w:r w:rsidR="00AD4621">
        <w:rPr>
          <w:noProof/>
        </w:rPr>
        <w:t xml:space="preserve">, </w:t>
      </w:r>
      <w:hyperlink w:anchor="_ENREF_19" w:tooltip="Noble, 2019 #7" w:history="1">
        <w:r w:rsidR="00EB67E5" w:rsidRPr="00EB67E5">
          <w:rPr>
            <w:rStyle w:val="Hyperlink"/>
          </w:rPr>
          <w:t>Noble, Radersma et al. 2019</w:t>
        </w:r>
      </w:hyperlink>
      <w:r w:rsidR="00AD4621">
        <w:rPr>
          <w:noProof/>
        </w:rPr>
        <w:t xml:space="preserve">, </w:t>
      </w:r>
      <w:hyperlink w:anchor="_ENREF_11" w:tooltip="Fischer, 2020 #13" w:history="1">
        <w:r w:rsidR="00EB67E5" w:rsidRPr="00EB67E5">
          <w:rPr>
            <w:rStyle w:val="Hyperlink"/>
          </w:rPr>
          <w:t>Fischer, Kreyling et al. 2020</w:t>
        </w:r>
      </w:hyperlink>
      <w:r w:rsidR="00AD4621">
        <w:rPr>
          <w:noProof/>
        </w:rPr>
        <w:t>)</w:t>
      </w:r>
      <w:r w:rsidR="00AD4621">
        <w:fldChar w:fldCharType="end"/>
      </w:r>
      <w:del w:id="1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5" w:tooltip="Hoffman, 1991 #16" w:history="1">
        <w:r w:rsidR="00EB67E5" w:rsidRPr="00EB67E5">
          <w:rPr>
            <w:rStyle w:val="Hyperlink"/>
          </w:rPr>
          <w:t>Hoffman and Parsons 1991</w:t>
        </w:r>
      </w:hyperlink>
      <w:r w:rsidR="002A7E72">
        <w:rPr>
          <w:noProof/>
        </w:rPr>
        <w:t xml:space="preserve">, </w:t>
      </w:r>
      <w:hyperlink w:anchor="_ENREF_16" w:tooltip="Hoffmann, 1999 #14" w:history="1">
        <w:r w:rsidR="00EB67E5" w:rsidRPr="00EB67E5">
          <w:rPr>
            <w:rStyle w:val="Hyperlink"/>
          </w:rPr>
          <w:t>Hoffmann and Merilä 1999</w:t>
        </w:r>
      </w:hyperlink>
      <w:r w:rsidR="002A7E72">
        <w:rPr>
          <w:noProof/>
        </w:rPr>
        <w:t>)</w:t>
      </w:r>
      <w:r w:rsidR="002A7E72">
        <w:fldChar w:fldCharType="end"/>
      </w:r>
      <w:del w:id="1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22" w:tooltip="Paaby, 2014 #17" w:history="1">
        <w:r w:rsidR="00EB67E5" w:rsidRPr="00EB67E5">
          <w:rPr>
            <w:rStyle w:val="Hyperlink"/>
          </w:rPr>
          <w:t>Paaby and Rockman 2014</w:t>
        </w:r>
      </w:hyperlink>
      <w:r w:rsidR="002A7E72">
        <w:rPr>
          <w:noProof/>
        </w:rPr>
        <w:t>)</w:t>
      </w:r>
      <w:r w:rsidR="002A7E72">
        <w:fldChar w:fldCharType="end"/>
      </w:r>
      <w:del w:id="15"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7" w:tooltip="Coltman, 2001 #18" w:history="1">
        <w:r w:rsidR="00EB67E5" w:rsidRPr="00EB67E5">
          <w:rPr>
            <w:rStyle w:val="Hyperlink"/>
          </w:rPr>
          <w:t>Coltman, Pilkington et al. 2001</w:t>
        </w:r>
      </w:hyperlink>
      <w:r w:rsidR="002A7E72">
        <w:rPr>
          <w:noProof/>
        </w:rPr>
        <w:t xml:space="preserve">, </w:t>
      </w:r>
      <w:hyperlink w:anchor="_ENREF_5" w:tooltip="Charmantier, 2005 #12" w:history="1">
        <w:r w:rsidR="00EB67E5" w:rsidRPr="00EB67E5">
          <w:rPr>
            <w:rStyle w:val="Hyperlink"/>
          </w:rPr>
          <w:t>Charmantier and Garant 2005</w:t>
        </w:r>
      </w:hyperlink>
      <w:r w:rsidR="002A7E72">
        <w:rPr>
          <w:noProof/>
        </w:rPr>
        <w:t>)</w:t>
      </w:r>
      <w:r w:rsidR="002A7E72">
        <w:fldChar w:fldCharType="end"/>
      </w:r>
      <w:del w:id="16"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7A867FA4"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16" w:tooltip="Hoffmann, 1999 #14" w:history="1">
        <w:r w:rsidR="00EB67E5" w:rsidRPr="00EB67E5">
          <w:rPr>
            <w:rStyle w:val="Hyperlink"/>
          </w:rPr>
          <w:t>Hoffmann and Merilä 1999</w:t>
        </w:r>
      </w:hyperlink>
      <w:r w:rsidR="001F6758">
        <w:rPr>
          <w:noProof/>
        </w:rPr>
        <w:t xml:space="preserve">, </w:t>
      </w:r>
      <w:hyperlink w:anchor="_ENREF_5" w:tooltip="Charmantier, 2005 #12" w:history="1">
        <w:r w:rsidR="00EB67E5" w:rsidRPr="00EB67E5">
          <w:rPr>
            <w:rStyle w:val="Hyperlink"/>
          </w:rPr>
          <w:t>Charmantier and Garant 2005</w:t>
        </w:r>
      </w:hyperlink>
      <w:r w:rsidR="001F6758">
        <w:rPr>
          <w:noProof/>
        </w:rPr>
        <w:t xml:space="preserve">, </w:t>
      </w:r>
      <w:hyperlink w:history="1">
        <w:r w:rsidR="00EB67E5" w:rsidRPr="00EB67E5">
          <w:rPr>
            <w:rStyle w:val="Hyperlink"/>
          </w:rPr>
          <w:t>Rowiński and Rogell 2017</w:t>
        </w:r>
      </w:hyperlink>
      <w:r w:rsidR="001F6758">
        <w:rPr>
          <w:noProof/>
        </w:rPr>
        <w:t>)</w:t>
      </w:r>
      <w:r w:rsidR="001F6758">
        <w:fldChar w:fldCharType="end"/>
      </w:r>
      <w:del w:id="17"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8"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16" w:tooltip="Hoffmann, 1999 #14" w:history="1">
        <w:r w:rsidR="00EB67E5" w:rsidRPr="00EB67E5">
          <w:rPr>
            <w:rStyle w:val="Hyperlink"/>
          </w:rPr>
          <w:t>Hoffmann and Merilä 1999</w:t>
        </w:r>
      </w:hyperlink>
      <w:r w:rsidR="001F6758">
        <w:rPr>
          <w:noProof/>
        </w:rPr>
        <w:t>)</w:t>
      </w:r>
      <w:r w:rsidR="001F6758">
        <w:fldChar w:fldCharType="end"/>
      </w:r>
      <w:del w:id="19"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5" w:tooltip="Charmantier, 2005 #12" w:history="1">
        <w:r w:rsidR="00EB67E5" w:rsidRPr="00EB67E5">
          <w:rPr>
            <w:rStyle w:val="Hyperlink"/>
          </w:rPr>
          <w:t>Charmantier and Garant 2005</w:t>
        </w:r>
      </w:hyperlink>
      <w:r w:rsidR="0079708C">
        <w:rPr>
          <w:noProof/>
        </w:rPr>
        <w:t>)</w:t>
      </w:r>
      <w:r w:rsidR="0079708C">
        <w:fldChar w:fldCharType="end"/>
      </w:r>
      <w:del w:id="20"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8" w:tooltip="Dahlgaard, 2000 #19" w:history="1">
        <w:r w:rsidR="00EB67E5" w:rsidRPr="00EB67E5">
          <w:rPr>
            <w:rStyle w:val="Hyperlink"/>
          </w:rPr>
          <w:t>Dahlgaard and Hoffmann 2000</w:t>
        </w:r>
      </w:hyperlink>
      <w:r w:rsidR="001F6758">
        <w:rPr>
          <w:noProof/>
        </w:rPr>
        <w:t xml:space="preserve">, </w:t>
      </w:r>
      <w:hyperlink w:anchor="_ENREF_5" w:tooltip="Charmantier, 2005 #12" w:history="1">
        <w:r w:rsidR="00EB67E5" w:rsidRPr="00EB67E5">
          <w:rPr>
            <w:rStyle w:val="Hyperlink"/>
          </w:rPr>
          <w:t>Charmantier and Garant 2005</w:t>
        </w:r>
      </w:hyperlink>
      <w:r w:rsidR="001F6758">
        <w:rPr>
          <w:noProof/>
        </w:rPr>
        <w:t>)</w:t>
      </w:r>
      <w:r w:rsidR="001F6758">
        <w:fldChar w:fldCharType="end"/>
      </w:r>
      <w:del w:id="21"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22"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23"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4" w:tooltip="Hansen, 2011 #82" w:history="1">
        <w:r w:rsidR="00EB67E5" w:rsidRPr="00EB67E5">
          <w:rPr>
            <w:rStyle w:val="Hyperlink"/>
          </w:rPr>
          <w:t>Hansen, Pélabon et al. 2011</w:t>
        </w:r>
      </w:hyperlink>
      <w:r w:rsidR="00374A75">
        <w:rPr>
          <w:noProof/>
        </w:rPr>
        <w:t xml:space="preserve">, </w:t>
      </w:r>
      <w:hyperlink w:history="1">
        <w:r w:rsidR="00EB67E5" w:rsidRPr="00EB67E5">
          <w:rPr>
            <w:rStyle w:val="Hyperlink"/>
          </w:rPr>
          <w:t>Rowiński and Rogell 2017</w:t>
        </w:r>
      </w:hyperlink>
      <w:r w:rsidR="00374A75">
        <w:rPr>
          <w:noProof/>
        </w:rPr>
        <w:t>)</w:t>
      </w:r>
      <w:r w:rsidR="00374A75">
        <w:fldChar w:fldCharType="end"/>
      </w:r>
      <w:del w:id="24"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25" w:author="Daniel Noble" w:date="2023-06-30T08:39:00Z">
        <w:r w:rsidR="00ED494A">
          <w:t>,</w:t>
        </w:r>
      </w:ins>
      <w:r w:rsidR="007C535A">
        <w:t xml:space="preserve"> </w:t>
      </w:r>
      <w:r w:rsidR="00F8101C">
        <w:t>which</w:t>
      </w:r>
      <w:r w:rsidR="007C535A">
        <w:t xml:space="preserve"> </w:t>
      </w:r>
      <w:del w:id="26" w:author="Daniel Noble" w:date="2023-06-30T08:39:00Z">
        <w:r w:rsidR="00EF1492" w:rsidDel="00ED494A">
          <w:delText xml:space="preserve">has </w:delText>
        </w:r>
      </w:del>
      <w:ins w:id="27" w:author="Daniel Noble" w:date="2023-06-30T08:39:00Z">
        <w:r w:rsidR="00ED494A">
          <w:t>have</w:t>
        </w:r>
        <w:r w:rsidR="00ED494A">
          <w:t xml:space="preser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EB67E5" w:rsidRPr="00EB67E5">
          <w:rPr>
            <w:rStyle w:val="Hyperlink"/>
          </w:rPr>
          <w:t>Rowiński and Rogell 2017</w:t>
        </w:r>
      </w:hyperlink>
      <w:r w:rsidR="00DA0CF2">
        <w:rPr>
          <w:noProof/>
        </w:rPr>
        <w:t>)</w:t>
      </w:r>
      <w:r w:rsidR="00DA0CF2">
        <w:fldChar w:fldCharType="end"/>
      </w:r>
      <w:del w:id="28"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1" w:tooltip="Fischer, 2020 #13" w:history="1">
        <w:r w:rsidR="00EB67E5" w:rsidRPr="00EB67E5">
          <w:rPr>
            <w:rStyle w:val="Hyperlink"/>
          </w:rPr>
          <w:t>Fischer, Kreyling et al. 2020</w:t>
        </w:r>
      </w:hyperlink>
      <w:r w:rsidR="00DA0CF2">
        <w:rPr>
          <w:noProof/>
        </w:rPr>
        <w:t>)</w:t>
      </w:r>
      <w:r w:rsidR="00DA0CF2">
        <w:fldChar w:fldCharType="end"/>
      </w:r>
      <w:del w:id="29"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30" w:author="Daniel Noble" w:date="2023-06-23T12:03:00Z">
        <w:r w:rsidR="00DA0CF2">
          <w:t xml:space="preserve"> </w:t>
        </w:r>
      </w:ins>
      <w:ins w:id="31"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EB67E5" w:rsidRPr="00EB67E5">
          <w:rPr>
            <w:rStyle w:val="Hyperlink"/>
          </w:rPr>
          <w:t>Rowiński and Rogell 2017</w:t>
        </w:r>
      </w:hyperlink>
      <w:ins w:id="32" w:author="Daniel Noble" w:date="2023-06-23T12:02:00Z">
        <w:r w:rsidR="00DA0CF2">
          <w:rPr>
            <w:noProof/>
          </w:rPr>
          <w:t>)</w:t>
        </w:r>
        <w:r w:rsidR="00DA0CF2">
          <w:fldChar w:fldCharType="end"/>
        </w:r>
      </w:ins>
      <w:del w:id="3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34" w:author="Daniel Noble" w:date="2023-07-06T16:06:00Z">
        <w:r w:rsidR="00CD0190" w:rsidDel="00FC211B">
          <w:delText xml:space="preserve">dynamics </w:delText>
        </w:r>
      </w:del>
      <w:ins w:id="35" w:author="Daniel Noble" w:date="2023-07-06T16:06:00Z">
        <w:r w:rsidR="00FC211B">
          <w:t>expression</w:t>
        </w:r>
        <w:r w:rsidR="00FC211B">
          <w:t xml:space="preserve"> </w:t>
        </w:r>
        <w:r w:rsidR="00FC211B">
          <w:t xml:space="preserve">of </w:t>
        </w:r>
      </w:ins>
      <w:del w:id="36" w:author="Daniel Noble" w:date="2023-07-06T16:05:00Z">
        <w:r w:rsidR="00CD0190" w:rsidDel="00FC211B">
          <w:delText>of</w:delText>
        </w:r>
        <w:r w:rsidR="00F85072" w:rsidDel="00FC211B">
          <w:delText xml:space="preserve"> both </w:delText>
        </w:r>
      </w:del>
      <w:r w:rsidR="007C535A">
        <w:t xml:space="preserve">genetic </w:t>
      </w:r>
      <w:del w:id="3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8E4204A"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21" w:tooltip="Noordwijk, 1988 #20" w:history="1">
        <w:r w:rsidR="00EB67E5" w:rsidRPr="00EB67E5">
          <w:rPr>
            <w:rStyle w:val="Hyperlink"/>
          </w:rPr>
          <w:t>Noordwijk, Balen et al. 1988</w:t>
        </w:r>
      </w:hyperlink>
      <w:r w:rsidR="00604B3C">
        <w:rPr>
          <w:noProof/>
        </w:rPr>
        <w:t xml:space="preserve">, </w:t>
      </w:r>
      <w:hyperlink w:anchor="_ENREF_27" w:tooltip="Stillwell, 2009 #21" w:history="1">
        <w:r w:rsidR="00EB67E5" w:rsidRPr="00EB67E5">
          <w:rPr>
            <w:rStyle w:val="Hyperlink"/>
          </w:rPr>
          <w:t>Stillwell and Fox 2009</w:t>
        </w:r>
      </w:hyperlink>
      <w:r w:rsidR="00604B3C">
        <w:rPr>
          <w:noProof/>
        </w:rPr>
        <w:t>)</w:t>
      </w:r>
      <w:r w:rsidR="00604B3C">
        <w:fldChar w:fldCharType="end"/>
      </w:r>
      <w:del w:id="3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20" w:tooltip="Noble, 2018 #3" w:history="1">
        <w:r w:rsidR="00EB67E5" w:rsidRPr="00EB67E5">
          <w:rPr>
            <w:rStyle w:val="Hyperlink"/>
          </w:rPr>
          <w:t>Noble, Stenhouse et al. 2018</w:t>
        </w:r>
      </w:hyperlink>
      <w:r w:rsidR="006D328F">
        <w:rPr>
          <w:noProof/>
        </w:rPr>
        <w:t xml:space="preserve">, </w:t>
      </w:r>
      <w:hyperlink w:anchor="_ENREF_9" w:tooltip="Eyck, 2019 #22" w:history="1">
        <w:r w:rsidR="00EB67E5" w:rsidRPr="00EB67E5">
          <w:rPr>
            <w:rStyle w:val="Hyperlink"/>
          </w:rPr>
          <w:t>Eyck, Buchanan et al. 2019</w:t>
        </w:r>
      </w:hyperlink>
      <w:r w:rsidR="006D328F">
        <w:rPr>
          <w:noProof/>
        </w:rPr>
        <w:t>)</w:t>
      </w:r>
      <w:r w:rsidR="006D328F">
        <w:fldChar w:fldCharType="end"/>
      </w:r>
      <w:del w:id="3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40" w:author="Daniel Noble" w:date="2023-07-06T16:04:00Z">
        <w:r w:rsidR="00350C4D" w:rsidDel="00EB67E5">
          <w:delText xml:space="preserve">therefore </w:delText>
        </w:r>
      </w:del>
      <w:r w:rsidR="00350C4D">
        <w:t xml:space="preserve">needed in order to evaluate </w:t>
      </w:r>
      <w:del w:id="41" w:author="Daniel Noble" w:date="2023-07-06T16:04:00Z">
        <w:r w:rsidR="00350C4D" w:rsidDel="00EB67E5">
          <w:delText xml:space="preserve">when </w:delText>
        </w:r>
      </w:del>
      <w:ins w:id="42" w:author="Daniel Noble" w:date="2023-07-06T16:04:00Z">
        <w:r w:rsidR="00EB67E5">
          <w:t>age-specific</w:t>
        </w:r>
        <w:r w:rsidR="00EB67E5">
          <w:t xml:space="preserve"> </w:t>
        </w:r>
      </w:ins>
      <w:r w:rsidR="00350C4D">
        <w:t xml:space="preserve">evolutionary potential of body size </w:t>
      </w:r>
      <w:del w:id="43" w:author="Daniel Noble" w:date="2023-07-06T16:04:00Z">
        <w:r w:rsidR="00350C4D" w:rsidDel="00EB67E5">
          <w:delText>is greatest</w:delText>
        </w:r>
      </w:del>
      <w:ins w:id="44" w:author="Daniel Noble" w:date="2023-07-06T16:04:00Z">
        <w:r w:rsidR="00EB67E5">
          <w:t>– </w:t>
        </w:r>
        <w:r w:rsidR="00EB67E5">
          <w:rPr>
            <w:rFonts w:eastAsia="Times New Roman" w:cs="Times New Roman"/>
            <w:color w:val="4472C4" w:themeColor="accent1"/>
            <w:shd w:val="clear" w:color="auto" w:fill="FFFFFF"/>
            <w:lang w:eastAsia="en-GB"/>
          </w:rPr>
          <w:t xml:space="preserve">higher genetic variation </w:t>
        </w:r>
        <w:r w:rsidR="00EB67E5">
          <w:rPr>
            <w:rFonts w:eastAsia="Times New Roman" w:cs="Times New Roman"/>
            <w:color w:val="4472C4" w:themeColor="accent1"/>
            <w:shd w:val="clear" w:color="auto" w:fill="FFFFFF"/>
            <w:lang w:eastAsia="en-GB"/>
          </w:rPr>
          <w:t xml:space="preserve">at a given age </w:t>
        </w:r>
        <w:r w:rsidR="00EB67E5">
          <w:rPr>
            <w:rFonts w:eastAsia="Times New Roman" w:cs="Times New Roman"/>
            <w:color w:val="4472C4" w:themeColor="accent1"/>
            <w:shd w:val="clear" w:color="auto" w:fill="FFFFFF"/>
            <w:lang w:eastAsia="en-GB"/>
          </w:rPr>
          <w:t>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1BB86184"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45" w:author="Daniel Noble" w:date="2023-07-06T15:58:00Z">
        <w:r w:rsidR="00EB67E5">
          <w:t xml:space="preserve">, as higher temperatures </w:t>
        </w:r>
      </w:ins>
      <w:ins w:id="4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EB67E5" w:rsidRPr="00EB67E5">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0EACD4BD" w:rsidR="00496477" w:rsidRPr="00AE21AE" w:rsidRDefault="00496477" w:rsidP="00AE21AE">
      <w:pPr>
        <w:rPr>
          <w:rFonts w:eastAsia="Times New Roman" w:cs="Times New Roman"/>
          <w:color w:val="000000"/>
          <w:shd w:val="clear" w:color="auto" w:fill="FFFFFF"/>
          <w:lang w:eastAsia="en-GB"/>
          <w:rPrChange w:id="47" w:author="Daniel Noble" w:date="2023-06-23T10:54:00Z">
            <w:rPr/>
          </w:rPrChange>
        </w:rPr>
        <w:pPrChange w:id="48" w:author="Daniel Noble" w:date="2023-06-23T10:54:00Z">
          <w:pPr>
            <w:ind w:firstLine="720"/>
            <w:contextualSpacing/>
          </w:pPr>
        </w:pPrChange>
      </w:pPr>
      <w:del w:id="49" w:author="Daniel Noble" w:date="2023-06-23T10:45:00Z">
        <w:r w:rsidDel="00B34F02">
          <w:delText>From 2015 – 2017, we</w:delText>
        </w:r>
      </w:del>
      <w:ins w:id="5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5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EB67E5">
        <w:fldChar w:fldCharType="begin"/>
      </w:r>
      <w:r w:rsidR="00EB67E5">
        <w:instrText xml:space="preserve"> HYPERLINK \l "_ENREF_4" \o "Chapple, 2013 #84" </w:instrText>
      </w:r>
      <w:r w:rsidR="00EB67E5">
        <w:fldChar w:fldCharType="separate"/>
      </w:r>
      <w:r w:rsidR="00EB67E5" w:rsidRPr="00EB67E5">
        <w:rPr>
          <w:rStyle w:val="Hyperlink"/>
        </w:rPr>
        <w:t>Chapple, Miller et al. 2013</w:t>
      </w:r>
      <w:r w:rsidR="00EB67E5">
        <w:fldChar w:fldCharType="end"/>
      </w:r>
      <w:r w:rsidR="00AE21AE">
        <w:rPr>
          <w:noProof/>
        </w:rPr>
        <w:t>)</w:t>
      </w:r>
      <w:r w:rsidR="00AE21AE">
        <w:fldChar w:fldCharType="end"/>
      </w:r>
      <w:ins w:id="5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53" w:author="Daniel Noble" w:date="2023-06-23T10:54:00Z">
        <w:r w:rsidR="00AE21AE">
          <w:rPr>
            <w:rFonts w:eastAsia="Times New Roman" w:cs="Times New Roman"/>
            <w:color w:val="4472C4" w:themeColor="accent1"/>
            <w:shd w:val="clear" w:color="auto" w:fill="FFFFFF"/>
            <w:lang w:eastAsia="en-GB"/>
          </w:rPr>
          <w:t xml:space="preserve">We choose </w:t>
        </w:r>
      </w:ins>
      <w:ins w:id="54" w:author="Daniel Noble" w:date="2023-06-23T10:55:00Z">
        <w:r w:rsidR="00AE21AE">
          <w:rPr>
            <w:rFonts w:eastAsia="Times New Roman" w:cs="Times New Roman"/>
            <w:color w:val="4472C4" w:themeColor="accent1"/>
            <w:shd w:val="clear" w:color="auto" w:fill="FFFFFF"/>
            <w:lang w:eastAsia="en-GB"/>
          </w:rPr>
          <w:t>a paternal half-sib</w:t>
        </w:r>
      </w:ins>
      <w:ins w:id="5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5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5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58" w:author="Daniel Noble" w:date="2023-06-23T10:55:00Z">
        <w:r w:rsidR="00AE21AE">
          <w:rPr>
            <w:rFonts w:eastAsia="Times New Roman" w:cs="Times New Roman"/>
            <w:color w:val="4472C4" w:themeColor="accent1"/>
            <w:shd w:val="clear" w:color="auto" w:fill="FFFFFF"/>
            <w:lang w:eastAsia="en-GB"/>
          </w:rPr>
          <w:t xml:space="preserve"> (see below)</w:t>
        </w:r>
      </w:ins>
      <w:ins w:id="5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60" w:author="Daniel Noble" w:date="2023-06-23T15:57:00Z">
        <w:r w:rsidDel="006C3944">
          <w:delText>temperature control</w:delText>
        </w:r>
        <w:r w:rsidR="005B39E9" w:rsidDel="006C3944">
          <w:delText>led</w:delText>
        </w:r>
      </w:del>
      <w:ins w:id="6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6E491CE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62" w:author="Daniel Noble" w:date="2023-06-23T12:25:00Z">
        <w:r w:rsidR="00EF043D">
          <w:t>(~ 2 standard deviations above and below the mean - ~27</w:t>
        </w:r>
        <w:r w:rsidR="00EF043D" w:rsidRPr="00EF043D">
          <w:t xml:space="preserve"> </w:t>
        </w:r>
        <w:r w:rsidR="00EF043D">
          <w:t>ºC</w:t>
        </w:r>
        <w:r w:rsidR="00EF043D">
          <w:t xml:space="preserve">) </w:t>
        </w:r>
      </w:ins>
      <w:r>
        <w:t xml:space="preserve">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ins w:id="63"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64" w:author="Daniel Noble" w:date="2023-06-23T12:34:00Z">
        <w:r w:rsidR="0025490A">
          <w:t>y to manifest in abnormal thermal conditions</w:t>
        </w:r>
      </w:ins>
      <w:ins w:id="65" w:author="Daniel Noble" w:date="2023-06-23T12:33:00Z">
        <w:r w:rsidR="0025490A">
          <w:t xml:space="preserve">. </w:t>
        </w:r>
      </w:ins>
      <w:ins w:id="66" w:author="Daniel Noble" w:date="2023-06-23T15:58:00Z">
        <w:r w:rsidR="006C3944">
          <w:t>While it is challenging to determine if an environment is ‘stressful’ or not</w:t>
        </w:r>
      </w:ins>
      <w:ins w:id="67" w:author="Daniel Noble" w:date="2023-06-23T15:59:00Z">
        <w:r w:rsidR="006C3944">
          <w:t xml:space="preserve"> without data on </w:t>
        </w:r>
      </w:ins>
      <w:ins w:id="68" w:author="Daniel Noble" w:date="2023-06-23T16:00:00Z">
        <w:r w:rsidR="006C3944">
          <w:t>egg mortality</w:t>
        </w:r>
      </w:ins>
      <w:ins w:id="69"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24" w:tooltip="Roelofs, 2010 #64" w:history="1">
        <w:r w:rsidR="00EB67E5" w:rsidRPr="00EB67E5">
          <w:rPr>
            <w:rStyle w:val="Hyperlink"/>
          </w:rPr>
          <w:t>Roelofs, Morgan et al. 2010</w:t>
        </w:r>
      </w:hyperlink>
      <w:r w:rsidR="006C3944">
        <w:rPr>
          <w:noProof/>
        </w:rPr>
        <w:t>)</w:t>
      </w:r>
      <w:r w:rsidR="006C3944">
        <w:fldChar w:fldCharType="end"/>
      </w:r>
      <w:ins w:id="70" w:author="Daniel Noble" w:date="2023-06-23T15:58:00Z">
        <w:r w:rsidR="006C3944">
          <w:t xml:space="preserve">, we viewed this as </w:t>
        </w:r>
      </w:ins>
      <w:ins w:id="71" w:author="Daniel Noble" w:date="2023-06-23T15:59:00Z">
        <w:r w:rsidR="006C3944">
          <w:t>atypical of what is commonly encountered</w:t>
        </w:r>
      </w:ins>
      <w:ins w:id="72" w:author="Daniel Noble" w:date="2023-06-23T16:00:00Z">
        <w:r w:rsidR="006C3944">
          <w:t xml:space="preserve"> in nature</w:t>
        </w:r>
      </w:ins>
      <w:ins w:id="73"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19FADFDD"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076F66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74" w:author="Daniel Noble" w:date="2023-06-23T10:44:00Z">
        <w:r w:rsidR="00496477" w:rsidDel="006F2611">
          <w:delText xml:space="preserve">females </w:delText>
        </w:r>
      </w:del>
      <w:ins w:id="75" w:author="Daniel Noble" w:date="2023-06-23T10:44:00Z">
        <w:r w:rsidR="006F2611">
          <w:t>offspring</w:t>
        </w:r>
        <w:r w:rsidR="006F2611">
          <w:t xml:space="preserve"> </w:t>
        </w:r>
      </w:ins>
      <w:r w:rsidR="00496477">
        <w:t xml:space="preserve">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w:t>
      </w:r>
      <w:ins w:id="76" w:author="Daniel Noble" w:date="2023-06-23T12:16:00Z">
        <w:r w:rsidR="002212C5">
          <w:t xml:space="preserve">can be </w:t>
        </w:r>
      </w:ins>
      <w:r w:rsidR="002A7E5F">
        <w:t xml:space="preserve">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77"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7BDC72D"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28" w:tooltip="VanRaden, 2008 #38" w:history="1">
        <w:r w:rsidR="00EB67E5" w:rsidRPr="00EB67E5">
          <w:rPr>
            <w:rStyle w:val="Hyperlink"/>
          </w:rPr>
          <w:t>VanRaden 2008</w:t>
        </w:r>
      </w:hyperlink>
      <w:r w:rsidR="008426C1">
        <w:rPr>
          <w:noProof/>
        </w:rPr>
        <w:t>)</w:t>
      </w:r>
      <w:r w:rsidR="008426C1">
        <w:fldChar w:fldCharType="end"/>
      </w:r>
      <w:del w:id="78"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lastRenderedPageBreak/>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79" w:author="Daniel Noble" w:date="2023-07-06T13:33:00Z">
        <w:r w:rsidRPr="00471098" w:rsidDel="00DD5878">
          <w:delText>scatterplots</w:delText>
        </w:r>
      </w:del>
      <w:ins w:id="80"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81" w:author="Daniel Noble" w:date="2023-06-23T11:00:00Z">
        <w:r w:rsidRPr="00471098" w:rsidDel="00AE21AE">
          <w:delText>used noninformative priors with</w:delText>
        </w:r>
      </w:del>
      <w:ins w:id="82" w:author="Daniel Noble" w:date="2023-06-23T11:00:00Z">
        <w:r w:rsidR="00AE21AE">
          <w:t>ran</w:t>
        </w:r>
      </w:ins>
      <w:r w:rsidRPr="00471098">
        <w:t xml:space="preserve"> </w:t>
      </w:r>
      <w:del w:id="83" w:author="Daniel Noble" w:date="2023-07-06T13:32:00Z">
        <w:r w:rsidR="00471098" w:rsidDel="00DD5878">
          <w:delText>4000</w:delText>
        </w:r>
        <w:r w:rsidRPr="00471098" w:rsidDel="00DD5878">
          <w:delText xml:space="preserve"> </w:delText>
        </w:r>
      </w:del>
      <w:ins w:id="84" w:author="Daniel Noble" w:date="2023-07-06T13:32:00Z">
        <w:r w:rsidR="00DD5878">
          <w:t>6000</w:t>
        </w:r>
        <w:r w:rsidR="00DD5878" w:rsidRPr="00471098">
          <w:t xml:space="preserve"> </w:t>
        </w:r>
      </w:ins>
      <w:r w:rsidRPr="00471098">
        <w:t xml:space="preserve">iterations with a burn in of </w:t>
      </w:r>
      <w:del w:id="85" w:author="Daniel Noble" w:date="2023-07-06T13:32:00Z">
        <w:r w:rsidR="00471098" w:rsidDel="00DD5878">
          <w:delText>1500</w:delText>
        </w:r>
      </w:del>
      <w:ins w:id="86" w:author="Daniel Noble" w:date="2023-07-06T13:32:00Z">
        <w:r w:rsidR="00DD5878">
          <w:t>1</w:t>
        </w:r>
        <w:r w:rsidR="00DD5878">
          <w:t>0</w:t>
        </w:r>
        <w:r w:rsidR="00DD5878">
          <w:t>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87" w:author="Daniel Noble" w:date="2023-07-06T13:32:00Z">
        <w:r w:rsidR="00471098" w:rsidDel="00DD5878">
          <w:delText xml:space="preserve">fifth </w:delText>
        </w:r>
      </w:del>
      <w:ins w:id="88" w:author="Daniel Noble" w:date="2023-07-06T13:32:00Z">
        <w:r w:rsidR="00DD5878">
          <w:t>10</w:t>
        </w:r>
        <w:r w:rsidR="00DD5878">
          <w:t xml:space="preserve"> </w:t>
        </w:r>
      </w:ins>
      <w:r>
        <w:t>iteration</w:t>
      </w:r>
      <w:ins w:id="89"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90" w:author="Daniel Noble" w:date="2023-06-23T11:01:00Z">
        <w:r w:rsidDel="00AE21AE">
          <w:delText>.</w:delText>
        </w:r>
      </w:del>
      <w:r>
        <w:t xml:space="preserve"> </w:t>
      </w:r>
      <w:del w:id="91" w:author="Daniel Noble" w:date="2023-06-23T11:01:00Z">
        <w:r w:rsidDel="00AE21AE">
          <w:delText xml:space="preserve">Heritability </w:delText>
        </w:r>
      </w:del>
      <w:ins w:id="92" w:author="Daniel Noble" w:date="2023-06-23T11:01:00Z">
        <w:r w:rsidR="00AE21AE">
          <w:t>h</w:t>
        </w:r>
        <w:r w:rsidR="00AE21AE">
          <w:t xml:space="preserve">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 xml:space="preserve">The model with </w:t>
      </w:r>
      <w:r w:rsidR="009F634D">
        <w:lastRenderedPageBreak/>
        <w:t>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0E6708E"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2" w:tooltip="Gavrilets, 1993 #85" w:history="1">
        <w:r w:rsidR="00EB67E5" w:rsidRPr="00EB67E5">
          <w:rPr>
            <w:rStyle w:val="Hyperlink"/>
            <w:lang w:val="en-GB"/>
          </w:rPr>
          <w:t>Gavrilets and Scheiner 1993</w:t>
        </w:r>
      </w:hyperlink>
      <w:r w:rsidR="00004B06">
        <w:rPr>
          <w:noProof/>
        </w:rPr>
        <w:t xml:space="preserve">, </w:t>
      </w:r>
      <w:hyperlink w:anchor="_ENREF_26" w:tooltip="Schielzeth, 2022 #86" w:history="1">
        <w:r w:rsidR="00EB67E5" w:rsidRPr="00EB67E5">
          <w:rPr>
            <w:rStyle w:val="Hyperlink"/>
            <w:lang w:val="en-GB"/>
          </w:rPr>
          <w:t>Schielzeth and Nakagawa 2022</w:t>
        </w:r>
      </w:hyperlink>
      <w:r w:rsidR="00004B06">
        <w:rPr>
          <w:noProof/>
        </w:rPr>
        <w:t>)</w:t>
      </w:r>
      <w:r w:rsidR="00004B06">
        <w:fldChar w:fldCharType="end"/>
      </w:r>
      <w:del w:id="9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94"/>
          <w:commentRangeEnd w:id="94"/>
          <m:r>
            <m:rPr>
              <m:sty m:val="p"/>
            </m:rPr>
            <w:rPr>
              <w:rStyle w:val="CommentReference"/>
              <w:lang w:val="en-GB"/>
            </w:rPr>
            <w:commentReference w:id="94"/>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lastRenderedPageBreak/>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lastRenderedPageBreak/>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95" w:author="Daniel Noble" w:date="2023-06-23T12:05:00Z"/>
          <w:b/>
          <w:bCs/>
        </w:rPr>
      </w:pPr>
    </w:p>
    <w:p w14:paraId="1ED1F00F" w14:textId="77777777" w:rsidR="008426C1" w:rsidRDefault="008426C1" w:rsidP="00841599">
      <w:pPr>
        <w:pStyle w:val="BodyText"/>
        <w:contextualSpacing/>
        <w:rPr>
          <w:ins w:id="96" w:author="Daniel Noble" w:date="2023-06-23T12:05:00Z"/>
          <w:b/>
          <w:bCs/>
        </w:rPr>
      </w:pPr>
    </w:p>
    <w:p w14:paraId="0543C4AD" w14:textId="77777777" w:rsidR="008426C1" w:rsidRDefault="008426C1" w:rsidP="00841599">
      <w:pPr>
        <w:pStyle w:val="BodyText"/>
        <w:contextualSpacing/>
        <w:rPr>
          <w:ins w:id="97" w:author="Daniel Noble" w:date="2023-06-23T12:05:00Z"/>
          <w:b/>
          <w:bCs/>
        </w:rPr>
      </w:pPr>
    </w:p>
    <w:p w14:paraId="0FB5C385" w14:textId="77777777" w:rsidR="008426C1" w:rsidRDefault="008426C1" w:rsidP="00841599">
      <w:pPr>
        <w:pStyle w:val="BodyText"/>
        <w:contextualSpacing/>
        <w:rPr>
          <w:ins w:id="98" w:author="Daniel Noble" w:date="2023-06-23T12:05:00Z"/>
          <w:b/>
          <w:bCs/>
        </w:rPr>
      </w:pPr>
    </w:p>
    <w:p w14:paraId="5BE7A772" w14:textId="77777777" w:rsidR="008426C1" w:rsidRDefault="008426C1" w:rsidP="00841599">
      <w:pPr>
        <w:pStyle w:val="BodyText"/>
        <w:contextualSpacing/>
        <w:rPr>
          <w:ins w:id="99" w:author="Daniel Noble" w:date="2023-06-23T12:05:00Z"/>
          <w:b/>
          <w:bCs/>
        </w:rPr>
      </w:pPr>
    </w:p>
    <w:p w14:paraId="7F3BC236" w14:textId="77777777" w:rsidR="008426C1" w:rsidRDefault="008426C1" w:rsidP="00841599">
      <w:pPr>
        <w:pStyle w:val="BodyText"/>
        <w:contextualSpacing/>
        <w:rPr>
          <w:ins w:id="100" w:author="Daniel Noble" w:date="2023-06-23T12:05:00Z"/>
          <w:b/>
          <w:bCs/>
        </w:rPr>
      </w:pPr>
    </w:p>
    <w:p w14:paraId="46F8D81F" w14:textId="77777777" w:rsidR="008426C1" w:rsidRDefault="008426C1" w:rsidP="00841599">
      <w:pPr>
        <w:pStyle w:val="BodyText"/>
        <w:contextualSpacing/>
        <w:rPr>
          <w:ins w:id="101" w:author="Daniel Noble" w:date="2023-06-23T12:05:00Z"/>
          <w:b/>
          <w:bCs/>
        </w:rPr>
      </w:pPr>
    </w:p>
    <w:p w14:paraId="48AFD43F" w14:textId="77777777" w:rsidR="008426C1" w:rsidRDefault="008426C1" w:rsidP="00841599">
      <w:pPr>
        <w:pStyle w:val="BodyText"/>
        <w:contextualSpacing/>
        <w:rPr>
          <w:ins w:id="102" w:author="Daniel Noble" w:date="2023-06-23T12:05:00Z"/>
          <w:b/>
          <w:bCs/>
        </w:rPr>
      </w:pPr>
    </w:p>
    <w:p w14:paraId="2A0FA62F" w14:textId="77777777" w:rsidR="008426C1" w:rsidRDefault="008426C1" w:rsidP="00841599">
      <w:pPr>
        <w:pStyle w:val="BodyText"/>
        <w:contextualSpacing/>
        <w:rPr>
          <w:ins w:id="103" w:author="Daniel Noble" w:date="2023-06-23T12:05:00Z"/>
          <w:b/>
          <w:bCs/>
        </w:rPr>
      </w:pPr>
    </w:p>
    <w:p w14:paraId="3D810B33" w14:textId="77777777" w:rsidR="008426C1" w:rsidRDefault="008426C1" w:rsidP="00841599">
      <w:pPr>
        <w:pStyle w:val="BodyText"/>
        <w:contextualSpacing/>
        <w:rPr>
          <w:ins w:id="104" w:author="Daniel Noble" w:date="2023-06-23T12:05:00Z"/>
          <w:b/>
          <w:bCs/>
        </w:rPr>
      </w:pPr>
    </w:p>
    <w:p w14:paraId="356ABAAA" w14:textId="525FBA75" w:rsidR="00B75E1A" w:rsidRPr="0096446A" w:rsidRDefault="00B75E1A" w:rsidP="00841599">
      <w:pPr>
        <w:pStyle w:val="BodyText"/>
        <w:contextualSpacing/>
      </w:pPr>
      <w:commentRangeStart w:id="105"/>
      <w:r w:rsidRPr="00757A64">
        <w:rPr>
          <w:b/>
          <w:bCs/>
        </w:rPr>
        <w:t xml:space="preserve">Figure </w:t>
      </w:r>
      <w:r w:rsidR="00D42EB3">
        <w:rPr>
          <w:b/>
          <w:bCs/>
        </w:rPr>
        <w:t>3</w:t>
      </w:r>
      <w:r>
        <w:t xml:space="preserve"> </w:t>
      </w:r>
      <w:r w:rsidR="000B703E">
        <w:t>H</w:t>
      </w:r>
      <w:r>
        <w:t xml:space="preserve">eritability </w:t>
      </w:r>
      <w:commentRangeEnd w:id="105"/>
      <w:r w:rsidR="00D063BE">
        <w:rPr>
          <w:rStyle w:val="CommentReference"/>
          <w:lang w:val="en-GB"/>
        </w:rPr>
        <w:commentReference w:id="105"/>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06"/>
      <w:commentRangeStart w:id="107"/>
      <w:r w:rsidRPr="00D42EB3">
        <w:rPr>
          <w:i/>
          <w:iCs/>
        </w:rPr>
        <w:t>M</w:t>
      </w:r>
      <w:r w:rsidRPr="00B75E1A">
        <w:rPr>
          <w:vertAlign w:val="superscript"/>
        </w:rPr>
        <w:t>2</w:t>
      </w:r>
      <w:r>
        <w:t xml:space="preserve">, </w:t>
      </w:r>
      <w:commentRangeEnd w:id="106"/>
      <w:r w:rsidR="00F71A57">
        <w:rPr>
          <w:rStyle w:val="CommentReference"/>
          <w:lang w:val="en-GB"/>
        </w:rPr>
        <w:commentReference w:id="106"/>
      </w:r>
      <w:commentRangeEnd w:id="107"/>
      <w:r w:rsidR="003657E4">
        <w:rPr>
          <w:rStyle w:val="CommentReference"/>
          <w:lang w:val="en-GB"/>
        </w:rPr>
        <w:commentReference w:id="107"/>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108" w:author="Daniel Noble" w:date="2023-07-06T16:10:00Z">
        <w:r w:rsidR="00FC211B">
          <w:rPr>
            <w:rFonts w:eastAsiaTheme="minorEastAsia"/>
          </w:rPr>
          <w:t xml:space="preserve">expected </w:t>
        </w:r>
      </w:ins>
      <w:r>
        <w:rPr>
          <w:rFonts w:eastAsiaTheme="minorEastAsia"/>
        </w:rPr>
        <w:t xml:space="preserve">difference </w:t>
      </w:r>
      <w:ins w:id="109" w:author="Daniel Noble" w:date="2023-07-06T16:13:00Z">
        <w:r w:rsidR="00FC211B">
          <w:rPr>
            <w:rFonts w:eastAsiaTheme="minorEastAsia"/>
          </w:rPr>
          <w:t xml:space="preserve">(on a log scale) </w:t>
        </w:r>
      </w:ins>
      <w:del w:id="110" w:author="Daniel Noble" w:date="2023-07-06T16:10:00Z">
        <w:r w:rsidDel="00FC211B">
          <w:rPr>
            <w:rFonts w:eastAsiaTheme="minorEastAsia"/>
          </w:rPr>
          <w:delText>in expected log predicted density</w:delText>
        </w:r>
      </w:del>
      <w:ins w:id="111" w:author="Daniel Noble" w:date="2023-07-06T16:10:00Z">
        <w:r w:rsidR="00FC211B">
          <w:rPr>
            <w:rFonts w:eastAsiaTheme="minorEastAsia"/>
          </w:rPr>
          <w:t xml:space="preserve">in predictive density for a new dataset </w:t>
        </w:r>
      </w:ins>
      <w:ins w:id="112" w:author="Daniel Noble" w:date="2023-07-06T16:11:00Z">
        <w:r w:rsidR="00FC211B">
          <w:rPr>
            <w:rFonts w:eastAsiaTheme="minorEastAsia"/>
          </w:rPr>
          <w:t>estimated</w:t>
        </w:r>
      </w:ins>
      <w:ins w:id="113" w:author="Daniel Noble" w:date="2023-07-06T16:10:00Z">
        <w:r w:rsidR="00FC211B">
          <w:rPr>
            <w:rFonts w:eastAsiaTheme="minorEastAsia"/>
          </w:rPr>
          <w:t xml:space="preserve"> from cross-</w:t>
        </w:r>
      </w:ins>
      <w:ins w:id="114"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115"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116"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117" w:author="Daniel Noble" w:date="2023-06-30T08:41:00Z">
        <w:r w:rsidDel="006173F0">
          <w:rPr>
            <w:rFonts w:eastAsiaTheme="minorEastAsia"/>
          </w:rPr>
          <w:delText xml:space="preserve">is </w:delText>
        </w:r>
      </w:del>
      <w:ins w:id="118" w:author="Daniel Noble" w:date="2023-06-30T08:41:00Z">
        <w:r w:rsidR="006173F0">
          <w:rPr>
            <w:rFonts w:eastAsiaTheme="minorEastAsia"/>
          </w:rPr>
          <w:t>are</w:t>
        </w:r>
        <w:r w:rsidR="006173F0">
          <w:rPr>
            <w:rFonts w:eastAsiaTheme="minorEastAsia"/>
          </w:rPr>
          <w:t xml:space="preserve"> </w:t>
        </w:r>
      </w:ins>
      <w:r>
        <w:rPr>
          <w:rFonts w:eastAsiaTheme="minorEastAsia"/>
        </w:rPr>
        <w:t>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119" w:author="Daniel Noble" w:date="2023-07-06T16:14:00Z">
        <w:r w:rsidR="00DF6498" w:rsidDel="00103DE6">
          <w:delText xml:space="preserve">have </w:delText>
        </w:r>
      </w:del>
      <w:r w:rsidR="0030316B">
        <w:t xml:space="preserve">others </w:t>
      </w:r>
      <w:ins w:id="120"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121"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122"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123"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124" w:author="Daniel Noble" w:date="2023-06-23T12:20:00Z">
        <w:r w:rsidR="00B5114B" w:rsidDel="00EF043D">
          <w:delText xml:space="preserve">constrained </w:delText>
        </w:r>
      </w:del>
      <w:ins w:id="125" w:author="Daniel Noble" w:date="2023-06-23T12:20:00Z">
        <w:r w:rsidR="00EF043D">
          <w:t>comparable</w:t>
        </w:r>
        <w:r w:rsidR="00EF043D">
          <w:t xml:space="preserv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126" w:author="Daniel Noble" w:date="2023-06-23T09:56:00Z">
            <w:rPr/>
          </w:rPrChange>
        </w:rPr>
      </w:pPr>
      <w:ins w:id="127" w:author="Daniel Noble" w:date="2023-06-23T09:56:00Z">
        <w:r w:rsidRPr="00914DBA">
          <w:rPr>
            <w:b/>
            <w:bCs/>
            <w:rPrChange w:id="128" w:author="Daniel Noble" w:date="2023-06-23T09:56:00Z">
              <w:rPr/>
            </w:rPrChange>
          </w:rPr>
          <w:t>References</w:t>
        </w:r>
      </w:ins>
    </w:p>
    <w:p w14:paraId="12511C75" w14:textId="77777777" w:rsidR="00EB67E5" w:rsidRPr="00EB67E5" w:rsidRDefault="00841599" w:rsidP="00EB67E5">
      <w:pPr>
        <w:pStyle w:val="EndNoteBibliography"/>
        <w:rPr>
          <w:noProof/>
        </w:rPr>
      </w:pPr>
      <w:r>
        <w:fldChar w:fldCharType="begin"/>
      </w:r>
      <w:r>
        <w:instrText xml:space="preserve"> ADDIN EN.REFLIST </w:instrText>
      </w:r>
      <w:r>
        <w:fldChar w:fldCharType="separate"/>
      </w:r>
      <w:bookmarkStart w:id="129" w:name="_ENREF_1"/>
      <w:r w:rsidR="00EB67E5" w:rsidRPr="00EB67E5">
        <w:rPr>
          <w:noProof/>
        </w:rPr>
        <w:t xml:space="preserve">Beaman, J. E., et al. (2016). "Evolution of Plasticity: Mechanistic Link between Development and Reversible Acclimation." </w:t>
      </w:r>
      <w:r w:rsidR="00EB67E5" w:rsidRPr="00EB67E5">
        <w:rPr>
          <w:noProof/>
          <w:u w:val="single"/>
        </w:rPr>
        <w:t>Trends in Ecology &amp; Evolution</w:t>
      </w:r>
      <w:r w:rsidR="00EB67E5" w:rsidRPr="00EB67E5">
        <w:rPr>
          <w:noProof/>
        </w:rPr>
        <w:t xml:space="preserve"> </w:t>
      </w:r>
      <w:r w:rsidR="00EB67E5" w:rsidRPr="00EB67E5">
        <w:rPr>
          <w:b/>
          <w:noProof/>
        </w:rPr>
        <w:t>31</w:t>
      </w:r>
      <w:r w:rsidR="00EB67E5" w:rsidRPr="00EB67E5">
        <w:rPr>
          <w:noProof/>
        </w:rPr>
        <w:t>(3): 237--249.</w:t>
      </w:r>
    </w:p>
    <w:p w14:paraId="18CF3F6B" w14:textId="77777777" w:rsidR="00EB67E5" w:rsidRPr="00EB67E5" w:rsidRDefault="00EB67E5" w:rsidP="00EB67E5">
      <w:pPr>
        <w:pStyle w:val="EndNoteBibliography"/>
        <w:ind w:left="720" w:hanging="720"/>
        <w:rPr>
          <w:noProof/>
        </w:rPr>
      </w:pPr>
      <w:r w:rsidRPr="00EB67E5">
        <w:rPr>
          <w:noProof/>
        </w:rPr>
        <w:tab/>
      </w:r>
      <w:bookmarkEnd w:id="129"/>
    </w:p>
    <w:p w14:paraId="63A802BF" w14:textId="77777777" w:rsidR="00EB67E5" w:rsidRPr="00EB67E5" w:rsidRDefault="00EB67E5" w:rsidP="00EB67E5">
      <w:pPr>
        <w:pStyle w:val="EndNoteBibliography"/>
        <w:rPr>
          <w:noProof/>
        </w:rPr>
      </w:pPr>
      <w:bookmarkStart w:id="130" w:name="_ENREF_2"/>
      <w:r w:rsidRPr="00EB67E5">
        <w:rPr>
          <w:noProof/>
        </w:rPr>
        <w:t xml:space="preserve">Beldade, P., et al. (2011). "Evolution and molecular mechanisms of adaptive developmental plasticity." </w:t>
      </w:r>
      <w:r w:rsidRPr="00EB67E5">
        <w:rPr>
          <w:noProof/>
          <w:u w:val="single"/>
        </w:rPr>
        <w:t>Molecular Ecology</w:t>
      </w:r>
      <w:r w:rsidRPr="00EB67E5">
        <w:rPr>
          <w:noProof/>
        </w:rPr>
        <w:t xml:space="preserve"> </w:t>
      </w:r>
      <w:r w:rsidRPr="00EB67E5">
        <w:rPr>
          <w:b/>
          <w:noProof/>
        </w:rPr>
        <w:t>20</w:t>
      </w:r>
      <w:r w:rsidRPr="00EB67E5">
        <w:rPr>
          <w:noProof/>
        </w:rPr>
        <w:t>(7): 1347--1363.</w:t>
      </w:r>
    </w:p>
    <w:p w14:paraId="6BB8D91D" w14:textId="77777777" w:rsidR="00EB67E5" w:rsidRPr="00EB67E5" w:rsidRDefault="00EB67E5" w:rsidP="00EB67E5">
      <w:pPr>
        <w:pStyle w:val="EndNoteBibliography"/>
        <w:ind w:left="720" w:hanging="720"/>
        <w:rPr>
          <w:noProof/>
        </w:rPr>
      </w:pPr>
      <w:r w:rsidRPr="00EB67E5">
        <w:rPr>
          <w:noProof/>
        </w:rPr>
        <w:tab/>
      </w:r>
      <w:bookmarkEnd w:id="130"/>
    </w:p>
    <w:p w14:paraId="748D580C" w14:textId="77777777" w:rsidR="00EB67E5" w:rsidRPr="00EB67E5" w:rsidRDefault="00EB67E5" w:rsidP="00EB67E5">
      <w:pPr>
        <w:pStyle w:val="EndNoteBibliography"/>
        <w:rPr>
          <w:noProof/>
        </w:rPr>
      </w:pPr>
      <w:bookmarkStart w:id="131" w:name="_ENREF_3"/>
      <w:r w:rsidRPr="00EB67E5">
        <w:rPr>
          <w:noProof/>
        </w:rPr>
        <w:t xml:space="preserve">Botero, C. A., et al. (2015). "Evolutionary tipping points in the capacity to adapt to environmental change." </w:t>
      </w:r>
      <w:r w:rsidRPr="00EB67E5">
        <w:rPr>
          <w:noProof/>
          <w:u w:val="single"/>
        </w:rPr>
        <w:t>Proceedings of the National Academy of Sciences</w:t>
      </w:r>
      <w:r w:rsidRPr="00EB67E5">
        <w:rPr>
          <w:noProof/>
        </w:rPr>
        <w:t xml:space="preserve"> </w:t>
      </w:r>
      <w:r w:rsidRPr="00EB67E5">
        <w:rPr>
          <w:b/>
          <w:noProof/>
        </w:rPr>
        <w:t>112</w:t>
      </w:r>
      <w:r w:rsidRPr="00EB67E5">
        <w:rPr>
          <w:noProof/>
        </w:rPr>
        <w:t>(1): 184--189.</w:t>
      </w:r>
    </w:p>
    <w:p w14:paraId="22B4A86A" w14:textId="77777777" w:rsidR="00EB67E5" w:rsidRPr="00EB67E5" w:rsidRDefault="00EB67E5" w:rsidP="00EB67E5">
      <w:pPr>
        <w:pStyle w:val="EndNoteBibliography"/>
        <w:ind w:left="720" w:hanging="720"/>
        <w:rPr>
          <w:noProof/>
        </w:rPr>
      </w:pPr>
      <w:r w:rsidRPr="00EB67E5">
        <w:rPr>
          <w:noProof/>
        </w:rPr>
        <w:tab/>
      </w:r>
      <w:bookmarkEnd w:id="131"/>
    </w:p>
    <w:p w14:paraId="4F5B2B1B" w14:textId="77777777" w:rsidR="00EB67E5" w:rsidRPr="00EB67E5" w:rsidRDefault="00EB67E5" w:rsidP="00EB67E5">
      <w:pPr>
        <w:pStyle w:val="EndNoteBibliography"/>
        <w:rPr>
          <w:noProof/>
        </w:rPr>
      </w:pPr>
      <w:bookmarkStart w:id="132" w:name="_ENREF_4"/>
      <w:r w:rsidRPr="00EB67E5">
        <w:rPr>
          <w:noProof/>
        </w:rPr>
        <w:t>Chapple, D. G., et al. (2013). "Divergent introduction histories among invasive populations of the delicate skink (</w:t>
      </w:r>
      <w:r w:rsidRPr="00EB67E5">
        <w:rPr>
          <w:i/>
          <w:noProof/>
        </w:rPr>
        <w:t>Lampropholis delicata</w:t>
      </w:r>
      <w:r w:rsidRPr="00EB67E5">
        <w:rPr>
          <w:noProof/>
        </w:rPr>
        <w:t xml:space="preserve">): has the importance of genetic admixture in the success of biological invasions been overemphasized?" </w:t>
      </w:r>
      <w:r w:rsidRPr="00EB67E5">
        <w:rPr>
          <w:noProof/>
          <w:u w:val="single"/>
        </w:rPr>
        <w:t>Diversity and Distributions</w:t>
      </w:r>
      <w:r w:rsidRPr="00EB67E5">
        <w:rPr>
          <w:noProof/>
        </w:rPr>
        <w:t xml:space="preserve"> </w:t>
      </w:r>
      <w:r w:rsidRPr="00EB67E5">
        <w:rPr>
          <w:b/>
          <w:noProof/>
        </w:rPr>
        <w:t>19</w:t>
      </w:r>
      <w:r w:rsidRPr="00EB67E5">
        <w:rPr>
          <w:noProof/>
        </w:rPr>
        <w:t>: 134–146.</w:t>
      </w:r>
    </w:p>
    <w:p w14:paraId="27D680BC" w14:textId="77777777" w:rsidR="00EB67E5" w:rsidRPr="00EB67E5" w:rsidRDefault="00EB67E5" w:rsidP="00EB67E5">
      <w:pPr>
        <w:pStyle w:val="EndNoteBibliography"/>
        <w:ind w:left="720" w:hanging="720"/>
        <w:rPr>
          <w:noProof/>
        </w:rPr>
      </w:pPr>
      <w:r w:rsidRPr="00EB67E5">
        <w:rPr>
          <w:noProof/>
        </w:rPr>
        <w:tab/>
      </w:r>
      <w:bookmarkEnd w:id="132"/>
    </w:p>
    <w:p w14:paraId="2E52BD3E" w14:textId="77777777" w:rsidR="00EB67E5" w:rsidRPr="00EB67E5" w:rsidRDefault="00EB67E5" w:rsidP="00EB67E5">
      <w:pPr>
        <w:pStyle w:val="EndNoteBibliography"/>
        <w:rPr>
          <w:noProof/>
        </w:rPr>
      </w:pPr>
      <w:bookmarkStart w:id="133" w:name="_ENREF_5"/>
      <w:r w:rsidRPr="00EB67E5">
        <w:rPr>
          <w:noProof/>
        </w:rPr>
        <w:t xml:space="preserve">Charmantier, A. and D. Garant (2005). "Environmental quality and evolutionary potential: lessons from wild populations." </w:t>
      </w:r>
      <w:r w:rsidRPr="00EB67E5">
        <w:rPr>
          <w:noProof/>
          <w:u w:val="single"/>
        </w:rPr>
        <w:t>Proceedings of the Royal Society B: Biological Sciences</w:t>
      </w:r>
      <w:r w:rsidRPr="00EB67E5">
        <w:rPr>
          <w:noProof/>
        </w:rPr>
        <w:t xml:space="preserve"> </w:t>
      </w:r>
      <w:r w:rsidRPr="00EB67E5">
        <w:rPr>
          <w:b/>
          <w:noProof/>
        </w:rPr>
        <w:t>272</w:t>
      </w:r>
      <w:r w:rsidRPr="00EB67E5">
        <w:rPr>
          <w:noProof/>
        </w:rPr>
        <w:t>(1571): 1415--1425.</w:t>
      </w:r>
    </w:p>
    <w:p w14:paraId="2E5CEFBE" w14:textId="77777777" w:rsidR="00EB67E5" w:rsidRPr="00EB67E5" w:rsidRDefault="00EB67E5" w:rsidP="00EB67E5">
      <w:pPr>
        <w:pStyle w:val="EndNoteBibliography"/>
        <w:ind w:left="720" w:hanging="720"/>
        <w:rPr>
          <w:noProof/>
        </w:rPr>
      </w:pPr>
      <w:r w:rsidRPr="00EB67E5">
        <w:rPr>
          <w:noProof/>
        </w:rPr>
        <w:tab/>
      </w:r>
      <w:bookmarkEnd w:id="133"/>
    </w:p>
    <w:p w14:paraId="08B3C69A" w14:textId="77777777" w:rsidR="00EB67E5" w:rsidRPr="00EB67E5" w:rsidRDefault="00EB67E5" w:rsidP="00EB67E5">
      <w:pPr>
        <w:pStyle w:val="EndNoteBibliography"/>
        <w:rPr>
          <w:noProof/>
        </w:rPr>
      </w:pPr>
      <w:bookmarkStart w:id="134" w:name="_ENREF_6"/>
      <w:r w:rsidRPr="00EB67E5">
        <w:rPr>
          <w:noProof/>
        </w:rPr>
        <w:t xml:space="preserve">Chevin, L. M., Lande, R.,  Mace, G.M. (2010). "Adaptation, plasticity, and extinction in a changing environment: Towards a predictive theory." </w:t>
      </w:r>
      <w:r w:rsidRPr="00EB67E5">
        <w:rPr>
          <w:noProof/>
          <w:u w:val="single"/>
        </w:rPr>
        <w:t>PLoS Biology,</w:t>
      </w:r>
      <w:r w:rsidRPr="00EB67E5">
        <w:rPr>
          <w:noProof/>
        </w:rPr>
        <w:t xml:space="preserve"> </w:t>
      </w:r>
      <w:r w:rsidRPr="00EB67E5">
        <w:rPr>
          <w:b/>
          <w:noProof/>
        </w:rPr>
        <w:t>8</w:t>
      </w:r>
      <w:r w:rsidRPr="00EB67E5">
        <w:rPr>
          <w:noProof/>
        </w:rPr>
        <w:t>: e1000357.</w:t>
      </w:r>
    </w:p>
    <w:p w14:paraId="0E934691" w14:textId="77777777" w:rsidR="00EB67E5" w:rsidRPr="00EB67E5" w:rsidRDefault="00EB67E5" w:rsidP="00EB67E5">
      <w:pPr>
        <w:pStyle w:val="EndNoteBibliography"/>
        <w:ind w:left="720" w:hanging="720"/>
        <w:rPr>
          <w:noProof/>
        </w:rPr>
      </w:pPr>
      <w:r w:rsidRPr="00EB67E5">
        <w:rPr>
          <w:noProof/>
        </w:rPr>
        <w:tab/>
      </w:r>
      <w:bookmarkEnd w:id="134"/>
    </w:p>
    <w:p w14:paraId="2A7E9696" w14:textId="77777777" w:rsidR="00EB67E5" w:rsidRPr="00EB67E5" w:rsidRDefault="00EB67E5" w:rsidP="00EB67E5">
      <w:pPr>
        <w:pStyle w:val="EndNoteBibliography"/>
        <w:rPr>
          <w:noProof/>
        </w:rPr>
      </w:pPr>
      <w:bookmarkStart w:id="135" w:name="_ENREF_7"/>
      <w:r w:rsidRPr="00EB67E5">
        <w:rPr>
          <w:noProof/>
        </w:rPr>
        <w:t xml:space="preserve">Coltman, D. W., et al. (2001). "Positive Genetic Correlation Between Parasite Resistance and Body Size in a Free-Living Ungulate Population." </w:t>
      </w:r>
      <w:r w:rsidRPr="00EB67E5">
        <w:rPr>
          <w:noProof/>
          <w:u w:val="single"/>
        </w:rPr>
        <w:t>Evolution</w:t>
      </w:r>
      <w:r w:rsidRPr="00EB67E5">
        <w:rPr>
          <w:noProof/>
        </w:rPr>
        <w:t xml:space="preserve"> </w:t>
      </w:r>
      <w:r w:rsidRPr="00EB67E5">
        <w:rPr>
          <w:b/>
          <w:noProof/>
        </w:rPr>
        <w:t>55</w:t>
      </w:r>
      <w:r w:rsidRPr="00EB67E5">
        <w:rPr>
          <w:noProof/>
        </w:rPr>
        <w:t>(10): 2116--2125.</w:t>
      </w:r>
    </w:p>
    <w:p w14:paraId="71665A1A" w14:textId="77777777" w:rsidR="00EB67E5" w:rsidRPr="00EB67E5" w:rsidRDefault="00EB67E5" w:rsidP="00EB67E5">
      <w:pPr>
        <w:pStyle w:val="EndNoteBibliography"/>
        <w:ind w:left="720" w:hanging="720"/>
        <w:rPr>
          <w:noProof/>
        </w:rPr>
      </w:pPr>
      <w:r w:rsidRPr="00EB67E5">
        <w:rPr>
          <w:noProof/>
        </w:rPr>
        <w:tab/>
      </w:r>
      <w:bookmarkEnd w:id="135"/>
    </w:p>
    <w:p w14:paraId="2DEDFCE7" w14:textId="77777777" w:rsidR="00EB67E5" w:rsidRPr="00EB67E5" w:rsidRDefault="00EB67E5" w:rsidP="00EB67E5">
      <w:pPr>
        <w:pStyle w:val="EndNoteBibliography"/>
        <w:rPr>
          <w:noProof/>
        </w:rPr>
      </w:pPr>
      <w:bookmarkStart w:id="136" w:name="_ENREF_8"/>
      <w:r w:rsidRPr="00EB67E5">
        <w:rPr>
          <w:noProof/>
        </w:rPr>
        <w:t xml:space="preserve">Dahlgaard, J. and A. A. Hoffmann (2000). "Stress Resistance and Environmental Dependency of Inbreeding Depression in Drosophila melanogaster." </w:t>
      </w:r>
      <w:r w:rsidRPr="00EB67E5">
        <w:rPr>
          <w:noProof/>
          <w:u w:val="single"/>
        </w:rPr>
        <w:t>Conservation Biology</w:t>
      </w:r>
      <w:r w:rsidRPr="00EB67E5">
        <w:rPr>
          <w:noProof/>
        </w:rPr>
        <w:t xml:space="preserve"> </w:t>
      </w:r>
      <w:r w:rsidRPr="00EB67E5">
        <w:rPr>
          <w:b/>
          <w:noProof/>
        </w:rPr>
        <w:t>14</w:t>
      </w:r>
      <w:r w:rsidRPr="00EB67E5">
        <w:rPr>
          <w:noProof/>
        </w:rPr>
        <w:t>(4): 1187--1192.</w:t>
      </w:r>
    </w:p>
    <w:p w14:paraId="4D804094" w14:textId="77777777" w:rsidR="00EB67E5" w:rsidRPr="00EB67E5" w:rsidRDefault="00EB67E5" w:rsidP="00EB67E5">
      <w:pPr>
        <w:pStyle w:val="EndNoteBibliography"/>
        <w:ind w:left="720" w:hanging="720"/>
        <w:rPr>
          <w:noProof/>
        </w:rPr>
      </w:pPr>
      <w:r w:rsidRPr="00EB67E5">
        <w:rPr>
          <w:noProof/>
        </w:rPr>
        <w:tab/>
      </w:r>
      <w:bookmarkEnd w:id="136"/>
    </w:p>
    <w:p w14:paraId="70831895" w14:textId="77777777" w:rsidR="00EB67E5" w:rsidRPr="00EB67E5" w:rsidRDefault="00EB67E5" w:rsidP="00EB67E5">
      <w:pPr>
        <w:pStyle w:val="EndNoteBibliography"/>
        <w:rPr>
          <w:noProof/>
        </w:rPr>
      </w:pPr>
      <w:bookmarkStart w:id="137" w:name="_ENREF_9"/>
      <w:r w:rsidRPr="00EB67E5">
        <w:rPr>
          <w:noProof/>
        </w:rPr>
        <w:t xml:space="preserve">Eyck, H. J. F., et al. (2019). "Effects of developmental stress on animal phenotype and performance: a quantitative review." </w:t>
      </w:r>
      <w:r w:rsidRPr="00EB67E5">
        <w:rPr>
          <w:noProof/>
          <w:u w:val="single"/>
        </w:rPr>
        <w:t>Biological Reviews</w:t>
      </w:r>
      <w:r w:rsidRPr="00EB67E5">
        <w:rPr>
          <w:noProof/>
        </w:rPr>
        <w:t xml:space="preserve"> </w:t>
      </w:r>
      <w:r w:rsidRPr="00EB67E5">
        <w:rPr>
          <w:b/>
          <w:noProof/>
        </w:rPr>
        <w:t>94</w:t>
      </w:r>
      <w:r w:rsidRPr="00EB67E5">
        <w:rPr>
          <w:noProof/>
        </w:rPr>
        <w:t>(3): 1143--1160.</w:t>
      </w:r>
    </w:p>
    <w:p w14:paraId="38725FA6" w14:textId="77777777" w:rsidR="00EB67E5" w:rsidRPr="00EB67E5" w:rsidRDefault="00EB67E5" w:rsidP="00EB67E5">
      <w:pPr>
        <w:pStyle w:val="EndNoteBibliography"/>
        <w:ind w:left="720" w:hanging="720"/>
        <w:rPr>
          <w:noProof/>
        </w:rPr>
      </w:pPr>
      <w:r w:rsidRPr="00EB67E5">
        <w:rPr>
          <w:noProof/>
        </w:rPr>
        <w:tab/>
      </w:r>
      <w:bookmarkEnd w:id="137"/>
    </w:p>
    <w:p w14:paraId="358EB7E3" w14:textId="77777777" w:rsidR="00EB67E5" w:rsidRPr="00EB67E5" w:rsidRDefault="00EB67E5" w:rsidP="00EB67E5">
      <w:pPr>
        <w:pStyle w:val="EndNoteBibliography"/>
        <w:rPr>
          <w:noProof/>
        </w:rPr>
      </w:pPr>
      <w:bookmarkStart w:id="138" w:name="_ENREF_10"/>
      <w:r w:rsidRPr="00EB67E5">
        <w:rPr>
          <w:noProof/>
        </w:rPr>
        <w:t xml:space="preserve">Falconer, D. S. and T. F. C. Mackay (1996). </w:t>
      </w:r>
      <w:r w:rsidRPr="00EB67E5">
        <w:rPr>
          <w:noProof/>
          <w:u w:val="single"/>
        </w:rPr>
        <w:t>Introduction to Quantitative Genetics</w:t>
      </w:r>
      <w:r w:rsidRPr="00EB67E5">
        <w:rPr>
          <w:noProof/>
        </w:rPr>
        <w:t>, Pearson Education.</w:t>
      </w:r>
    </w:p>
    <w:p w14:paraId="6438CBA0" w14:textId="77777777" w:rsidR="00EB67E5" w:rsidRPr="00EB67E5" w:rsidRDefault="00EB67E5" w:rsidP="00EB67E5">
      <w:pPr>
        <w:pStyle w:val="EndNoteBibliography"/>
        <w:ind w:left="720" w:hanging="720"/>
        <w:rPr>
          <w:noProof/>
        </w:rPr>
      </w:pPr>
      <w:r w:rsidRPr="00EB67E5">
        <w:rPr>
          <w:noProof/>
        </w:rPr>
        <w:tab/>
      </w:r>
      <w:bookmarkEnd w:id="138"/>
    </w:p>
    <w:p w14:paraId="7A96A1D9" w14:textId="77777777" w:rsidR="00EB67E5" w:rsidRPr="00EB67E5" w:rsidRDefault="00EB67E5" w:rsidP="00EB67E5">
      <w:pPr>
        <w:pStyle w:val="EndNoteBibliography"/>
        <w:rPr>
          <w:noProof/>
        </w:rPr>
      </w:pPr>
      <w:bookmarkStart w:id="139" w:name="_ENREF_11"/>
      <w:r w:rsidRPr="00EB67E5">
        <w:rPr>
          <w:noProof/>
        </w:rPr>
        <w:t xml:space="preserve">Fischer, K., et al. (2020). "Species-specific effects of thermal stress on the expression of genetic variation across a diverse group of plant and animal taxa under experimental conditions." </w:t>
      </w:r>
      <w:r w:rsidRPr="00EB67E5">
        <w:rPr>
          <w:noProof/>
          <w:u w:val="single"/>
        </w:rPr>
        <w:t>Heredity</w:t>
      </w:r>
      <w:r w:rsidRPr="00EB67E5">
        <w:rPr>
          <w:noProof/>
        </w:rPr>
        <w:t>: 1--15.</w:t>
      </w:r>
    </w:p>
    <w:p w14:paraId="4CDC2E74" w14:textId="77777777" w:rsidR="00EB67E5" w:rsidRPr="00EB67E5" w:rsidRDefault="00EB67E5" w:rsidP="00EB67E5">
      <w:pPr>
        <w:pStyle w:val="EndNoteBibliography"/>
        <w:ind w:left="720" w:hanging="720"/>
        <w:rPr>
          <w:noProof/>
        </w:rPr>
      </w:pPr>
      <w:r w:rsidRPr="00EB67E5">
        <w:rPr>
          <w:noProof/>
        </w:rPr>
        <w:tab/>
      </w:r>
      <w:bookmarkEnd w:id="139"/>
    </w:p>
    <w:p w14:paraId="46EBF37D" w14:textId="77777777" w:rsidR="00EB67E5" w:rsidRPr="00EB67E5" w:rsidRDefault="00EB67E5" w:rsidP="00EB67E5">
      <w:pPr>
        <w:pStyle w:val="EndNoteBibliography"/>
        <w:rPr>
          <w:noProof/>
        </w:rPr>
      </w:pPr>
      <w:bookmarkStart w:id="140" w:name="_ENREF_12"/>
      <w:r w:rsidRPr="00EB67E5">
        <w:rPr>
          <w:noProof/>
        </w:rPr>
        <w:t xml:space="preserve">Gavrilets, S. and S. M. Scheiner (1993). "The genetics of phenotypic plasticity. vi. theoretical predictions for directional selection. ." </w:t>
      </w:r>
      <w:r w:rsidRPr="00EB67E5">
        <w:rPr>
          <w:noProof/>
          <w:u w:val="single"/>
        </w:rPr>
        <w:t>Journal of Evolutionary Biology</w:t>
      </w:r>
      <w:r w:rsidRPr="00EB67E5">
        <w:rPr>
          <w:noProof/>
        </w:rPr>
        <w:t xml:space="preserve"> </w:t>
      </w:r>
      <w:r w:rsidRPr="00EB67E5">
        <w:rPr>
          <w:b/>
          <w:noProof/>
        </w:rPr>
        <w:t>6</w:t>
      </w:r>
      <w:r w:rsidRPr="00EB67E5">
        <w:rPr>
          <w:noProof/>
        </w:rPr>
        <w:t>: 49–68.</w:t>
      </w:r>
    </w:p>
    <w:p w14:paraId="54AF70E9" w14:textId="77777777" w:rsidR="00EB67E5" w:rsidRPr="00EB67E5" w:rsidRDefault="00EB67E5" w:rsidP="00EB67E5">
      <w:pPr>
        <w:pStyle w:val="EndNoteBibliography"/>
        <w:ind w:left="720" w:hanging="720"/>
        <w:rPr>
          <w:noProof/>
        </w:rPr>
      </w:pPr>
      <w:r w:rsidRPr="00EB67E5">
        <w:rPr>
          <w:noProof/>
        </w:rPr>
        <w:tab/>
      </w:r>
      <w:bookmarkEnd w:id="140"/>
    </w:p>
    <w:p w14:paraId="2887F363" w14:textId="77777777" w:rsidR="00EB67E5" w:rsidRPr="00EB67E5" w:rsidRDefault="00EB67E5" w:rsidP="00EB67E5">
      <w:pPr>
        <w:pStyle w:val="EndNoteBibliography"/>
        <w:rPr>
          <w:noProof/>
        </w:rPr>
      </w:pPr>
      <w:bookmarkStart w:id="141" w:name="_ENREF_13"/>
      <w:r w:rsidRPr="00EB67E5">
        <w:rPr>
          <w:noProof/>
        </w:rPr>
        <w:t xml:space="preserve">Ghalambor, C. K., et al. (2007). "Adaptive versus non-adaptive phenotypic plasticity and the potential for contemporary adaptation in new environments." </w:t>
      </w:r>
      <w:r w:rsidRPr="00EB67E5">
        <w:rPr>
          <w:noProof/>
          <w:u w:val="single"/>
        </w:rPr>
        <w:t>Functional Ecology</w:t>
      </w:r>
      <w:r w:rsidRPr="00EB67E5">
        <w:rPr>
          <w:noProof/>
        </w:rPr>
        <w:t xml:space="preserve"> </w:t>
      </w:r>
      <w:r w:rsidRPr="00EB67E5">
        <w:rPr>
          <w:b/>
          <w:noProof/>
        </w:rPr>
        <w:t>21</w:t>
      </w:r>
      <w:r w:rsidRPr="00EB67E5">
        <w:rPr>
          <w:noProof/>
        </w:rPr>
        <w:t>(3): 394–407.</w:t>
      </w:r>
    </w:p>
    <w:p w14:paraId="0E47CF49" w14:textId="77777777" w:rsidR="00EB67E5" w:rsidRPr="00EB67E5" w:rsidRDefault="00EB67E5" w:rsidP="00EB67E5">
      <w:pPr>
        <w:pStyle w:val="EndNoteBibliography"/>
        <w:ind w:left="720" w:hanging="720"/>
        <w:rPr>
          <w:noProof/>
        </w:rPr>
      </w:pPr>
      <w:r w:rsidRPr="00EB67E5">
        <w:rPr>
          <w:noProof/>
        </w:rPr>
        <w:lastRenderedPageBreak/>
        <w:tab/>
      </w:r>
      <w:bookmarkEnd w:id="141"/>
    </w:p>
    <w:p w14:paraId="23D33369" w14:textId="77777777" w:rsidR="00EB67E5" w:rsidRPr="00EB67E5" w:rsidRDefault="00EB67E5" w:rsidP="00EB67E5">
      <w:pPr>
        <w:pStyle w:val="EndNoteBibliography"/>
        <w:rPr>
          <w:noProof/>
        </w:rPr>
      </w:pPr>
      <w:bookmarkStart w:id="142" w:name="_ENREF_14"/>
      <w:r w:rsidRPr="00EB67E5">
        <w:rPr>
          <w:noProof/>
        </w:rPr>
        <w:t xml:space="preserve">Hansen, T. F., et al. (2011). "Heritability is not Evolvability." </w:t>
      </w:r>
      <w:r w:rsidRPr="00EB67E5">
        <w:rPr>
          <w:noProof/>
          <w:u w:val="single"/>
        </w:rPr>
        <w:t>Evolutionary Biology</w:t>
      </w:r>
      <w:r w:rsidRPr="00EB67E5">
        <w:rPr>
          <w:noProof/>
        </w:rPr>
        <w:t xml:space="preserve"> </w:t>
      </w:r>
      <w:r w:rsidRPr="00EB67E5">
        <w:rPr>
          <w:b/>
          <w:noProof/>
        </w:rPr>
        <w:t>38</w:t>
      </w:r>
      <w:r w:rsidRPr="00EB67E5">
        <w:rPr>
          <w:noProof/>
        </w:rPr>
        <w:t>: 258–277.</w:t>
      </w:r>
    </w:p>
    <w:p w14:paraId="4CE20495" w14:textId="77777777" w:rsidR="00EB67E5" w:rsidRPr="00EB67E5" w:rsidRDefault="00EB67E5" w:rsidP="00EB67E5">
      <w:pPr>
        <w:pStyle w:val="EndNoteBibliography"/>
        <w:ind w:left="720" w:hanging="720"/>
        <w:rPr>
          <w:noProof/>
        </w:rPr>
      </w:pPr>
      <w:r w:rsidRPr="00EB67E5">
        <w:rPr>
          <w:noProof/>
        </w:rPr>
        <w:tab/>
      </w:r>
      <w:bookmarkEnd w:id="142"/>
    </w:p>
    <w:p w14:paraId="62277CD6" w14:textId="77777777" w:rsidR="00EB67E5" w:rsidRPr="00EB67E5" w:rsidRDefault="00EB67E5" w:rsidP="00EB67E5">
      <w:pPr>
        <w:pStyle w:val="EndNoteBibliography"/>
        <w:rPr>
          <w:noProof/>
        </w:rPr>
      </w:pPr>
      <w:bookmarkStart w:id="143" w:name="_ENREF_15"/>
      <w:r w:rsidRPr="00EB67E5">
        <w:rPr>
          <w:noProof/>
        </w:rPr>
        <w:t xml:space="preserve">Hoffman, A. A. and P. A. Parsons (1991). </w:t>
      </w:r>
      <w:r w:rsidRPr="00EB67E5">
        <w:rPr>
          <w:noProof/>
          <w:u w:val="single"/>
        </w:rPr>
        <w:t>Evolutionary genetics and evolutionary stress</w:t>
      </w:r>
      <w:r w:rsidRPr="00EB67E5">
        <w:rPr>
          <w:noProof/>
        </w:rPr>
        <w:t>, Oxford University Press.</w:t>
      </w:r>
    </w:p>
    <w:p w14:paraId="645B18D6" w14:textId="77777777" w:rsidR="00EB67E5" w:rsidRPr="00EB67E5" w:rsidRDefault="00EB67E5" w:rsidP="00EB67E5">
      <w:pPr>
        <w:pStyle w:val="EndNoteBibliography"/>
        <w:ind w:left="720" w:hanging="720"/>
        <w:rPr>
          <w:noProof/>
        </w:rPr>
      </w:pPr>
      <w:r w:rsidRPr="00EB67E5">
        <w:rPr>
          <w:noProof/>
        </w:rPr>
        <w:tab/>
      </w:r>
      <w:bookmarkEnd w:id="143"/>
    </w:p>
    <w:p w14:paraId="1E26482B" w14:textId="77777777" w:rsidR="00EB67E5" w:rsidRPr="00EB67E5" w:rsidRDefault="00EB67E5" w:rsidP="00EB67E5">
      <w:pPr>
        <w:pStyle w:val="EndNoteBibliography"/>
        <w:rPr>
          <w:noProof/>
        </w:rPr>
      </w:pPr>
      <w:bookmarkStart w:id="144" w:name="_ENREF_16"/>
      <w:r w:rsidRPr="00EB67E5">
        <w:rPr>
          <w:noProof/>
        </w:rPr>
        <w:t xml:space="preserve">Hoffmann, A. A. and J. Merilä (1999). "Heritable variation and evolution under favourable and unfavourable conditions." </w:t>
      </w:r>
      <w:r w:rsidRPr="00EB67E5">
        <w:rPr>
          <w:noProof/>
          <w:u w:val="single"/>
        </w:rPr>
        <w:t>Trends in Ecology &amp; Evolution</w:t>
      </w:r>
      <w:r w:rsidRPr="00EB67E5">
        <w:rPr>
          <w:noProof/>
        </w:rPr>
        <w:t xml:space="preserve"> </w:t>
      </w:r>
      <w:r w:rsidRPr="00EB67E5">
        <w:rPr>
          <w:b/>
          <w:noProof/>
        </w:rPr>
        <w:t>14</w:t>
      </w:r>
      <w:r w:rsidRPr="00EB67E5">
        <w:rPr>
          <w:noProof/>
        </w:rPr>
        <w:t>(3): 96--101.</w:t>
      </w:r>
    </w:p>
    <w:p w14:paraId="71435809" w14:textId="77777777" w:rsidR="00EB67E5" w:rsidRPr="00EB67E5" w:rsidRDefault="00EB67E5" w:rsidP="00EB67E5">
      <w:pPr>
        <w:pStyle w:val="EndNoteBibliography"/>
        <w:ind w:left="720" w:hanging="720"/>
        <w:rPr>
          <w:noProof/>
        </w:rPr>
      </w:pPr>
      <w:r w:rsidRPr="00EB67E5">
        <w:rPr>
          <w:noProof/>
        </w:rPr>
        <w:tab/>
      </w:r>
      <w:bookmarkEnd w:id="144"/>
    </w:p>
    <w:p w14:paraId="78E690A8" w14:textId="77777777" w:rsidR="00EB67E5" w:rsidRPr="00EB67E5" w:rsidRDefault="00EB67E5" w:rsidP="00EB67E5">
      <w:pPr>
        <w:pStyle w:val="EndNoteBibliography"/>
        <w:rPr>
          <w:noProof/>
        </w:rPr>
      </w:pPr>
      <w:bookmarkStart w:id="145" w:name="_ENREF_17"/>
      <w:r w:rsidRPr="00EB67E5">
        <w:rPr>
          <w:noProof/>
        </w:rPr>
        <w:t xml:space="preserve">Lynch, M. and B. Walsh (1998). </w:t>
      </w:r>
      <w:r w:rsidRPr="00EB67E5">
        <w:rPr>
          <w:noProof/>
          <w:u w:val="single"/>
        </w:rPr>
        <w:t>Genetics And Analysis Of Quantitative Traits</w:t>
      </w:r>
      <w:r w:rsidRPr="00EB67E5">
        <w:rPr>
          <w:noProof/>
        </w:rPr>
        <w:t>, Oxford University Press.</w:t>
      </w:r>
    </w:p>
    <w:p w14:paraId="3849B4EC" w14:textId="77777777" w:rsidR="00EB67E5" w:rsidRPr="00EB67E5" w:rsidRDefault="00EB67E5" w:rsidP="00EB67E5">
      <w:pPr>
        <w:pStyle w:val="EndNoteBibliography"/>
        <w:ind w:left="720" w:hanging="720"/>
        <w:rPr>
          <w:noProof/>
        </w:rPr>
      </w:pPr>
      <w:r w:rsidRPr="00EB67E5">
        <w:rPr>
          <w:noProof/>
        </w:rPr>
        <w:tab/>
      </w:r>
      <w:bookmarkEnd w:id="145"/>
    </w:p>
    <w:p w14:paraId="0C81BD58" w14:textId="77777777" w:rsidR="00EB67E5" w:rsidRPr="00EB67E5" w:rsidRDefault="00EB67E5" w:rsidP="00EB67E5">
      <w:pPr>
        <w:pStyle w:val="EndNoteBibliography"/>
        <w:rPr>
          <w:noProof/>
        </w:rPr>
      </w:pPr>
      <w:bookmarkStart w:id="146" w:name="_ENREF_18"/>
      <w:r w:rsidRPr="00EB67E5">
        <w:rPr>
          <w:noProof/>
        </w:rPr>
        <w:t xml:space="preserve">Monaghan, P. (2008). "Early growth conditions, phenotypic development and environmental change." </w:t>
      </w:r>
      <w:r w:rsidRPr="00EB67E5">
        <w:rPr>
          <w:noProof/>
          <w:u w:val="single"/>
        </w:rPr>
        <w:t>Philosophical Transactions of the Royal Society B: Biological Sciences</w:t>
      </w:r>
      <w:r w:rsidRPr="00EB67E5">
        <w:rPr>
          <w:noProof/>
        </w:rPr>
        <w:t xml:space="preserve"> </w:t>
      </w:r>
      <w:r w:rsidRPr="00EB67E5">
        <w:rPr>
          <w:b/>
          <w:noProof/>
        </w:rPr>
        <w:t>363</w:t>
      </w:r>
      <w:r w:rsidRPr="00EB67E5">
        <w:rPr>
          <w:noProof/>
        </w:rPr>
        <w:t>(1497): 1635–1645.</w:t>
      </w:r>
    </w:p>
    <w:p w14:paraId="690AFE2B" w14:textId="77777777" w:rsidR="00EB67E5" w:rsidRPr="00EB67E5" w:rsidRDefault="00EB67E5" w:rsidP="00EB67E5">
      <w:pPr>
        <w:pStyle w:val="EndNoteBibliography"/>
        <w:ind w:left="720" w:hanging="720"/>
        <w:rPr>
          <w:noProof/>
        </w:rPr>
      </w:pPr>
      <w:r w:rsidRPr="00EB67E5">
        <w:rPr>
          <w:noProof/>
        </w:rPr>
        <w:tab/>
      </w:r>
      <w:bookmarkEnd w:id="146"/>
    </w:p>
    <w:p w14:paraId="4F01CDCA" w14:textId="77777777" w:rsidR="00EB67E5" w:rsidRPr="00EB67E5" w:rsidRDefault="00EB67E5" w:rsidP="00EB67E5">
      <w:pPr>
        <w:pStyle w:val="EndNoteBibliography"/>
        <w:rPr>
          <w:noProof/>
        </w:rPr>
      </w:pPr>
      <w:bookmarkStart w:id="147" w:name="_ENREF_19"/>
      <w:r w:rsidRPr="00EB67E5">
        <w:rPr>
          <w:noProof/>
        </w:rPr>
        <w:t xml:space="preserve">Noble, D. W. A., et al. (2019). "Plastic responses to novel environments are biased towards phenotype dimensions with high additive genetic variation." </w:t>
      </w:r>
      <w:r w:rsidRPr="00EB67E5">
        <w:rPr>
          <w:noProof/>
          <w:u w:val="single"/>
        </w:rPr>
        <w:t>Proceedings of the National Academy of Sciences</w:t>
      </w:r>
      <w:r w:rsidRPr="00EB67E5">
        <w:rPr>
          <w:noProof/>
        </w:rPr>
        <w:t xml:space="preserve"> </w:t>
      </w:r>
      <w:r w:rsidRPr="00EB67E5">
        <w:rPr>
          <w:b/>
          <w:noProof/>
        </w:rPr>
        <w:t>116</w:t>
      </w:r>
      <w:r w:rsidRPr="00EB67E5">
        <w:rPr>
          <w:noProof/>
        </w:rPr>
        <w:t>(27): 13452--13461.</w:t>
      </w:r>
    </w:p>
    <w:p w14:paraId="316FC51F" w14:textId="77777777" w:rsidR="00EB67E5" w:rsidRPr="00EB67E5" w:rsidRDefault="00EB67E5" w:rsidP="00EB67E5">
      <w:pPr>
        <w:pStyle w:val="EndNoteBibliography"/>
        <w:ind w:left="720" w:hanging="720"/>
        <w:rPr>
          <w:noProof/>
        </w:rPr>
      </w:pPr>
      <w:r w:rsidRPr="00EB67E5">
        <w:rPr>
          <w:noProof/>
        </w:rPr>
        <w:tab/>
      </w:r>
      <w:bookmarkEnd w:id="147"/>
    </w:p>
    <w:p w14:paraId="5F12C9C6" w14:textId="77777777" w:rsidR="00EB67E5" w:rsidRPr="00EB67E5" w:rsidRDefault="00EB67E5" w:rsidP="00EB67E5">
      <w:pPr>
        <w:pStyle w:val="EndNoteBibliography"/>
        <w:rPr>
          <w:noProof/>
        </w:rPr>
      </w:pPr>
      <w:bookmarkStart w:id="148" w:name="_ENREF_20"/>
      <w:r w:rsidRPr="00EB67E5">
        <w:rPr>
          <w:noProof/>
        </w:rPr>
        <w:t xml:space="preserve">Noble, D. W. A., et al. (2018). "Developmental temperatures and phenotypic plasticity in reptiles: a systematic review and meta-analysis." </w:t>
      </w:r>
      <w:r w:rsidRPr="00EB67E5">
        <w:rPr>
          <w:noProof/>
          <w:u w:val="single"/>
        </w:rPr>
        <w:t>Biological Reviews</w:t>
      </w:r>
      <w:r w:rsidRPr="00EB67E5">
        <w:rPr>
          <w:noProof/>
        </w:rPr>
        <w:t xml:space="preserve"> </w:t>
      </w:r>
      <w:r w:rsidRPr="00EB67E5">
        <w:rPr>
          <w:b/>
          <w:noProof/>
        </w:rPr>
        <w:t>93</w:t>
      </w:r>
      <w:r w:rsidRPr="00EB67E5">
        <w:rPr>
          <w:noProof/>
        </w:rPr>
        <w:t>(1): 72–97.</w:t>
      </w:r>
    </w:p>
    <w:p w14:paraId="45FDC80A" w14:textId="77777777" w:rsidR="00EB67E5" w:rsidRPr="00EB67E5" w:rsidRDefault="00EB67E5" w:rsidP="00EB67E5">
      <w:pPr>
        <w:pStyle w:val="EndNoteBibliography"/>
        <w:ind w:left="720" w:hanging="720"/>
        <w:rPr>
          <w:noProof/>
        </w:rPr>
      </w:pPr>
      <w:r w:rsidRPr="00EB67E5">
        <w:rPr>
          <w:noProof/>
        </w:rPr>
        <w:tab/>
      </w:r>
      <w:bookmarkEnd w:id="148"/>
    </w:p>
    <w:p w14:paraId="4AD42A7F" w14:textId="77777777" w:rsidR="00EB67E5" w:rsidRPr="00EB67E5" w:rsidRDefault="00EB67E5" w:rsidP="00EB67E5">
      <w:pPr>
        <w:pStyle w:val="EndNoteBibliography"/>
        <w:rPr>
          <w:noProof/>
        </w:rPr>
      </w:pPr>
      <w:bookmarkStart w:id="149" w:name="_ENREF_21"/>
      <w:r w:rsidRPr="00EB67E5">
        <w:rPr>
          <w:noProof/>
        </w:rPr>
        <w:t xml:space="preserve">Noordwijk, A. J. V., et al. (1988). "Heritability of body size in a natural population of the Great Tit (Parus major) and its relation to age and environmental conditions during growth." </w:t>
      </w:r>
      <w:r w:rsidRPr="00EB67E5">
        <w:rPr>
          <w:noProof/>
          <w:u w:val="single"/>
        </w:rPr>
        <w:t>Genetical Research</w:t>
      </w:r>
      <w:r w:rsidRPr="00EB67E5">
        <w:rPr>
          <w:noProof/>
        </w:rPr>
        <w:t xml:space="preserve"> </w:t>
      </w:r>
      <w:r w:rsidRPr="00EB67E5">
        <w:rPr>
          <w:b/>
          <w:noProof/>
        </w:rPr>
        <w:t>51</w:t>
      </w:r>
      <w:r w:rsidRPr="00EB67E5">
        <w:rPr>
          <w:noProof/>
        </w:rPr>
        <w:t>(2): 149--162.</w:t>
      </w:r>
    </w:p>
    <w:p w14:paraId="6BFD5165" w14:textId="77777777" w:rsidR="00EB67E5" w:rsidRPr="00EB67E5" w:rsidRDefault="00EB67E5" w:rsidP="00EB67E5">
      <w:pPr>
        <w:pStyle w:val="EndNoteBibliography"/>
        <w:ind w:left="720" w:hanging="720"/>
        <w:rPr>
          <w:noProof/>
        </w:rPr>
      </w:pPr>
      <w:r w:rsidRPr="00EB67E5">
        <w:rPr>
          <w:noProof/>
        </w:rPr>
        <w:tab/>
      </w:r>
      <w:bookmarkEnd w:id="149"/>
    </w:p>
    <w:p w14:paraId="5B006595" w14:textId="77777777" w:rsidR="00EB67E5" w:rsidRPr="00EB67E5" w:rsidRDefault="00EB67E5" w:rsidP="00EB67E5">
      <w:pPr>
        <w:pStyle w:val="EndNoteBibliography"/>
        <w:rPr>
          <w:noProof/>
        </w:rPr>
      </w:pPr>
      <w:bookmarkStart w:id="150" w:name="_ENREF_22"/>
      <w:r w:rsidRPr="00EB67E5">
        <w:rPr>
          <w:noProof/>
        </w:rPr>
        <w:t xml:space="preserve">Paaby, A. B. and M. V. Rockman (2014). "Cryptic genetic variation: evolution's hidden substrate." </w:t>
      </w:r>
      <w:r w:rsidRPr="00EB67E5">
        <w:rPr>
          <w:noProof/>
          <w:u w:val="single"/>
        </w:rPr>
        <w:t>Nature Reviews Genetics</w:t>
      </w:r>
      <w:r w:rsidRPr="00EB67E5">
        <w:rPr>
          <w:noProof/>
        </w:rPr>
        <w:t xml:space="preserve"> </w:t>
      </w:r>
      <w:r w:rsidRPr="00EB67E5">
        <w:rPr>
          <w:b/>
          <w:noProof/>
        </w:rPr>
        <w:t>15</w:t>
      </w:r>
      <w:r w:rsidRPr="00EB67E5">
        <w:rPr>
          <w:noProof/>
        </w:rPr>
        <w:t>(4): 247--258.</w:t>
      </w:r>
    </w:p>
    <w:p w14:paraId="4C25381F" w14:textId="77777777" w:rsidR="00EB67E5" w:rsidRPr="00EB67E5" w:rsidRDefault="00EB67E5" w:rsidP="00EB67E5">
      <w:pPr>
        <w:pStyle w:val="EndNoteBibliography"/>
        <w:ind w:left="720" w:hanging="720"/>
        <w:rPr>
          <w:noProof/>
        </w:rPr>
      </w:pPr>
      <w:r w:rsidRPr="00EB67E5">
        <w:rPr>
          <w:noProof/>
        </w:rPr>
        <w:tab/>
      </w:r>
      <w:bookmarkEnd w:id="150"/>
    </w:p>
    <w:p w14:paraId="706403FB" w14:textId="77777777" w:rsidR="00EB67E5" w:rsidRPr="00EB67E5" w:rsidRDefault="00EB67E5" w:rsidP="00EB67E5">
      <w:pPr>
        <w:pStyle w:val="EndNoteBibliography"/>
        <w:rPr>
          <w:noProof/>
        </w:rPr>
      </w:pPr>
      <w:bookmarkStart w:id="151" w:name="_ENREF_23"/>
      <w:r w:rsidRPr="00EB67E5">
        <w:rPr>
          <w:noProof/>
        </w:rPr>
        <w:t xml:space="preserve">Reed, T. E., et al. (2010). "Phenotypic plasticity and population viability: the importance of environmental predictability." </w:t>
      </w:r>
      <w:r w:rsidRPr="00EB67E5">
        <w:rPr>
          <w:noProof/>
          <w:u w:val="single"/>
        </w:rPr>
        <w:t>Proceedings of the Royal Society of London B: Biological Sciences</w:t>
      </w:r>
      <w:r w:rsidRPr="00EB67E5">
        <w:rPr>
          <w:noProof/>
        </w:rPr>
        <w:t xml:space="preserve"> </w:t>
      </w:r>
      <w:r w:rsidRPr="00EB67E5">
        <w:rPr>
          <w:b/>
          <w:noProof/>
        </w:rPr>
        <w:t>277</w:t>
      </w:r>
      <w:r w:rsidRPr="00EB67E5">
        <w:rPr>
          <w:noProof/>
        </w:rPr>
        <w:t>(1699): 3391–3400.</w:t>
      </w:r>
    </w:p>
    <w:p w14:paraId="4FC10033" w14:textId="77777777" w:rsidR="00EB67E5" w:rsidRPr="00EB67E5" w:rsidRDefault="00EB67E5" w:rsidP="00EB67E5">
      <w:pPr>
        <w:pStyle w:val="EndNoteBibliography"/>
        <w:ind w:left="720" w:hanging="720"/>
        <w:rPr>
          <w:noProof/>
        </w:rPr>
      </w:pPr>
      <w:r w:rsidRPr="00EB67E5">
        <w:rPr>
          <w:noProof/>
        </w:rPr>
        <w:tab/>
      </w:r>
      <w:bookmarkEnd w:id="151"/>
    </w:p>
    <w:p w14:paraId="42BEA4DA" w14:textId="77777777" w:rsidR="00EB67E5" w:rsidRPr="00EB67E5" w:rsidRDefault="00EB67E5" w:rsidP="00EB67E5">
      <w:pPr>
        <w:pStyle w:val="EndNoteBibliography"/>
        <w:rPr>
          <w:noProof/>
        </w:rPr>
      </w:pPr>
      <w:bookmarkStart w:id="152" w:name="_ENREF_24"/>
      <w:r w:rsidRPr="00EB67E5">
        <w:rPr>
          <w:noProof/>
        </w:rPr>
        <w:t xml:space="preserve">Roelofs, D., et al. (2010). "The significance of genome-wide transcriptional regulation in the evolution of stress tolerance." </w:t>
      </w:r>
      <w:r w:rsidRPr="00EB67E5">
        <w:rPr>
          <w:noProof/>
          <w:u w:val="single"/>
        </w:rPr>
        <w:t>Evolutionary Ecology</w:t>
      </w:r>
      <w:r w:rsidRPr="00EB67E5">
        <w:rPr>
          <w:noProof/>
        </w:rPr>
        <w:t xml:space="preserve"> </w:t>
      </w:r>
      <w:r w:rsidRPr="00EB67E5">
        <w:rPr>
          <w:b/>
          <w:noProof/>
        </w:rPr>
        <w:t>24</w:t>
      </w:r>
      <w:r w:rsidRPr="00EB67E5">
        <w:rPr>
          <w:noProof/>
        </w:rPr>
        <w:t>(3): 527--539.</w:t>
      </w:r>
    </w:p>
    <w:p w14:paraId="3F51BD5B" w14:textId="77777777" w:rsidR="00EB67E5" w:rsidRPr="00EB67E5" w:rsidRDefault="00EB67E5" w:rsidP="00EB67E5">
      <w:pPr>
        <w:pStyle w:val="EndNoteBibliography"/>
        <w:ind w:left="720" w:hanging="720"/>
        <w:rPr>
          <w:noProof/>
        </w:rPr>
      </w:pPr>
      <w:r w:rsidRPr="00EB67E5">
        <w:rPr>
          <w:noProof/>
        </w:rPr>
        <w:tab/>
      </w:r>
      <w:bookmarkEnd w:id="152"/>
    </w:p>
    <w:p w14:paraId="6623316C" w14:textId="0D97D117" w:rsidR="00EB67E5" w:rsidRPr="00EB67E5" w:rsidRDefault="00EB67E5" w:rsidP="00EB67E5">
      <w:pPr>
        <w:pStyle w:val="EndNoteBibliography"/>
        <w:rPr>
          <w:noProof/>
        </w:rPr>
      </w:pPr>
      <w:bookmarkStart w:id="153" w:name="_ENREF_25"/>
      <w:r w:rsidRPr="00EB67E5">
        <w:rPr>
          <w:noProof/>
        </w:rPr>
        <w:t xml:space="preserve">Rowiński, P. K. and B. Rogell (2017). "Environmental stress correlates with increases in both genetic and residual variances: A meta-analysis of animal studies." </w:t>
      </w:r>
      <w:r w:rsidRPr="00EB67E5">
        <w:rPr>
          <w:noProof/>
          <w:u w:val="single"/>
        </w:rPr>
        <w:t>Evolution</w:t>
      </w:r>
      <w:r w:rsidRPr="00EB67E5">
        <w:rPr>
          <w:noProof/>
        </w:rPr>
        <w:t xml:space="preserve"> </w:t>
      </w:r>
      <w:r w:rsidRPr="00EB67E5">
        <w:rPr>
          <w:b/>
          <w:noProof/>
        </w:rPr>
        <w:t>71</w:t>
      </w:r>
      <w:r w:rsidRPr="00EB67E5">
        <w:rPr>
          <w:noProof/>
        </w:rPr>
        <w:t xml:space="preserve">: 1339–1351. </w:t>
      </w:r>
      <w:hyperlink r:id="rId16" w:history="1">
        <w:r w:rsidRPr="00EB67E5">
          <w:rPr>
            <w:rStyle w:val="Hyperlink"/>
            <w:noProof/>
          </w:rPr>
          <w:t>https://doi.org/1310.1111/evo.13201</w:t>
        </w:r>
      </w:hyperlink>
      <w:r w:rsidRPr="00EB67E5">
        <w:rPr>
          <w:noProof/>
        </w:rPr>
        <w:t>.</w:t>
      </w:r>
    </w:p>
    <w:p w14:paraId="04EAAD17" w14:textId="77777777" w:rsidR="00EB67E5" w:rsidRPr="00EB67E5" w:rsidRDefault="00EB67E5" w:rsidP="00EB67E5">
      <w:pPr>
        <w:pStyle w:val="EndNoteBibliography"/>
        <w:ind w:left="720" w:hanging="720"/>
        <w:rPr>
          <w:noProof/>
        </w:rPr>
      </w:pPr>
      <w:r w:rsidRPr="00EB67E5">
        <w:rPr>
          <w:noProof/>
        </w:rPr>
        <w:tab/>
      </w:r>
      <w:bookmarkEnd w:id="153"/>
    </w:p>
    <w:p w14:paraId="0322B6F4" w14:textId="77777777" w:rsidR="00EB67E5" w:rsidRPr="00EB67E5" w:rsidRDefault="00EB67E5" w:rsidP="00EB67E5">
      <w:pPr>
        <w:pStyle w:val="EndNoteBibliography"/>
        <w:rPr>
          <w:noProof/>
        </w:rPr>
      </w:pPr>
      <w:bookmarkStart w:id="154" w:name="_ENREF_26"/>
      <w:r w:rsidRPr="00EB67E5">
        <w:rPr>
          <w:noProof/>
        </w:rPr>
        <w:t xml:space="preserve">Schielzeth, H. and S. Nakagawa (2022). "Conditional repeatability and the variance explained by reaction norm variation in random slope models." </w:t>
      </w:r>
      <w:r w:rsidRPr="00EB67E5">
        <w:rPr>
          <w:noProof/>
          <w:u w:val="single"/>
        </w:rPr>
        <w:t>Methods in Ecology and Evolution</w:t>
      </w:r>
      <w:r w:rsidRPr="00EB67E5">
        <w:rPr>
          <w:noProof/>
        </w:rPr>
        <w:t xml:space="preserve"> </w:t>
      </w:r>
      <w:r w:rsidRPr="00EB67E5">
        <w:rPr>
          <w:b/>
          <w:noProof/>
        </w:rPr>
        <w:t>13</w:t>
      </w:r>
      <w:r w:rsidRPr="00EB67E5">
        <w:rPr>
          <w:noProof/>
        </w:rPr>
        <w:t>: 1214-1223.</w:t>
      </w:r>
    </w:p>
    <w:p w14:paraId="2A32A728" w14:textId="77777777" w:rsidR="00EB67E5" w:rsidRPr="00EB67E5" w:rsidRDefault="00EB67E5" w:rsidP="00EB67E5">
      <w:pPr>
        <w:pStyle w:val="EndNoteBibliography"/>
        <w:ind w:left="720" w:hanging="720"/>
        <w:rPr>
          <w:noProof/>
        </w:rPr>
      </w:pPr>
      <w:r w:rsidRPr="00EB67E5">
        <w:rPr>
          <w:noProof/>
        </w:rPr>
        <w:tab/>
      </w:r>
      <w:bookmarkEnd w:id="154"/>
    </w:p>
    <w:p w14:paraId="5936D1AC" w14:textId="77777777" w:rsidR="00EB67E5" w:rsidRPr="00EB67E5" w:rsidRDefault="00EB67E5" w:rsidP="00EB67E5">
      <w:pPr>
        <w:pStyle w:val="EndNoteBibliography"/>
        <w:rPr>
          <w:noProof/>
        </w:rPr>
      </w:pPr>
      <w:bookmarkStart w:id="155" w:name="_ENREF_27"/>
      <w:r w:rsidRPr="00EB67E5">
        <w:rPr>
          <w:noProof/>
        </w:rPr>
        <w:t xml:space="preserve">Stillwell, R. C. and C. W. Fox (2009). "Geographic variation in body size, sexual size dimorphism and fitness components of a seed beetle: local adaptation versus phenotypic plasticity." </w:t>
      </w:r>
      <w:r w:rsidRPr="00EB67E5">
        <w:rPr>
          <w:noProof/>
          <w:u w:val="single"/>
        </w:rPr>
        <w:t>Oikos</w:t>
      </w:r>
      <w:r w:rsidRPr="00EB67E5">
        <w:rPr>
          <w:noProof/>
        </w:rPr>
        <w:t xml:space="preserve"> </w:t>
      </w:r>
      <w:r w:rsidRPr="00EB67E5">
        <w:rPr>
          <w:b/>
          <w:noProof/>
        </w:rPr>
        <w:t>118</w:t>
      </w:r>
      <w:r w:rsidRPr="00EB67E5">
        <w:rPr>
          <w:noProof/>
        </w:rPr>
        <w:t>(5): 703--712.</w:t>
      </w:r>
    </w:p>
    <w:p w14:paraId="26E23EB5" w14:textId="77777777" w:rsidR="00EB67E5" w:rsidRPr="00EB67E5" w:rsidRDefault="00EB67E5" w:rsidP="00EB67E5">
      <w:pPr>
        <w:pStyle w:val="EndNoteBibliography"/>
        <w:ind w:left="720" w:hanging="720"/>
        <w:rPr>
          <w:noProof/>
        </w:rPr>
      </w:pPr>
      <w:r w:rsidRPr="00EB67E5">
        <w:rPr>
          <w:noProof/>
        </w:rPr>
        <w:tab/>
      </w:r>
      <w:bookmarkEnd w:id="155"/>
    </w:p>
    <w:p w14:paraId="71A0D763" w14:textId="77777777" w:rsidR="00EB67E5" w:rsidRPr="00EB67E5" w:rsidRDefault="00EB67E5" w:rsidP="00EB67E5">
      <w:pPr>
        <w:pStyle w:val="EndNoteBibliography"/>
        <w:rPr>
          <w:noProof/>
        </w:rPr>
      </w:pPr>
      <w:bookmarkStart w:id="156" w:name="_ENREF_28"/>
      <w:r w:rsidRPr="00EB67E5">
        <w:rPr>
          <w:noProof/>
        </w:rPr>
        <w:lastRenderedPageBreak/>
        <w:t xml:space="preserve">VanRaden, P. M. (2008). "Efficient Methods to Compute Genomic Predictions." </w:t>
      </w:r>
      <w:r w:rsidRPr="00EB67E5">
        <w:rPr>
          <w:noProof/>
          <w:u w:val="single"/>
        </w:rPr>
        <w:t>Journal of Dairy Science</w:t>
      </w:r>
      <w:r w:rsidRPr="00EB67E5">
        <w:rPr>
          <w:noProof/>
        </w:rPr>
        <w:t xml:space="preserve"> </w:t>
      </w:r>
      <w:r w:rsidRPr="00EB67E5">
        <w:rPr>
          <w:b/>
          <w:noProof/>
        </w:rPr>
        <w:t>91</w:t>
      </w:r>
      <w:r w:rsidRPr="00EB67E5">
        <w:rPr>
          <w:noProof/>
        </w:rPr>
        <w:t>(11): 4414--4423.</w:t>
      </w:r>
    </w:p>
    <w:p w14:paraId="738AC0B7" w14:textId="77777777" w:rsidR="00EB67E5" w:rsidRPr="00EB67E5" w:rsidRDefault="00EB67E5" w:rsidP="00EB67E5">
      <w:pPr>
        <w:pStyle w:val="EndNoteBibliography"/>
        <w:ind w:left="720" w:hanging="720"/>
        <w:rPr>
          <w:noProof/>
        </w:rPr>
      </w:pPr>
      <w:r w:rsidRPr="00EB67E5">
        <w:rPr>
          <w:noProof/>
        </w:rPr>
        <w:tab/>
      </w:r>
      <w:bookmarkEnd w:id="156"/>
    </w:p>
    <w:p w14:paraId="5E6FBFB0" w14:textId="77777777" w:rsidR="00EB67E5" w:rsidRPr="00EB67E5" w:rsidRDefault="00EB67E5" w:rsidP="00EB67E5">
      <w:pPr>
        <w:pStyle w:val="EndNoteBibliography"/>
        <w:rPr>
          <w:noProof/>
        </w:rPr>
      </w:pPr>
      <w:bookmarkStart w:id="157" w:name="_ENREF_29"/>
      <w:r w:rsidRPr="00EB67E5">
        <w:rPr>
          <w:noProof/>
        </w:rPr>
        <w:t xml:space="preserve">West-Eberhard, M. J. (2003). </w:t>
      </w:r>
      <w:r w:rsidRPr="00EB67E5">
        <w:rPr>
          <w:noProof/>
          <w:u w:val="single"/>
        </w:rPr>
        <w:t>Developmental Plasticity and Evolution</w:t>
      </w:r>
      <w:r w:rsidRPr="00EB67E5">
        <w:rPr>
          <w:noProof/>
        </w:rPr>
        <w:t>, Oxford University Press.</w:t>
      </w:r>
    </w:p>
    <w:p w14:paraId="734C9CB1" w14:textId="77777777" w:rsidR="00EB67E5" w:rsidRPr="00EB67E5" w:rsidRDefault="00EB67E5" w:rsidP="00EB67E5">
      <w:pPr>
        <w:pStyle w:val="EndNoteBibliography"/>
        <w:ind w:left="720" w:hanging="720"/>
        <w:rPr>
          <w:noProof/>
        </w:rPr>
      </w:pPr>
      <w:r w:rsidRPr="00EB67E5">
        <w:rPr>
          <w:noProof/>
        </w:rPr>
        <w:tab/>
      </w:r>
      <w:bookmarkEnd w:id="157"/>
    </w:p>
    <w:p w14:paraId="0559E09C" w14:textId="77777777" w:rsidR="00EB67E5" w:rsidRPr="00EB67E5" w:rsidRDefault="00EB67E5" w:rsidP="00EB67E5">
      <w:pPr>
        <w:pStyle w:val="EndNoteBibliography"/>
        <w:rPr>
          <w:noProof/>
        </w:rPr>
      </w:pPr>
      <w:bookmarkStart w:id="158" w:name="_ENREF_30"/>
      <w:r w:rsidRPr="00EB67E5">
        <w:rPr>
          <w:noProof/>
        </w:rPr>
        <w:t xml:space="preserve">Wood, C. W. and E. D. Brodie (2015). "Environmental effects on the structure of the G-matrix." </w:t>
      </w:r>
      <w:r w:rsidRPr="00EB67E5">
        <w:rPr>
          <w:noProof/>
          <w:u w:val="single"/>
        </w:rPr>
        <w:t>Evolution</w:t>
      </w:r>
      <w:r w:rsidRPr="00EB67E5">
        <w:rPr>
          <w:noProof/>
        </w:rPr>
        <w:t xml:space="preserve"> </w:t>
      </w:r>
      <w:r w:rsidRPr="00EB67E5">
        <w:rPr>
          <w:b/>
          <w:noProof/>
        </w:rPr>
        <w:t>69</w:t>
      </w:r>
      <w:r w:rsidRPr="00EB67E5">
        <w:rPr>
          <w:noProof/>
        </w:rPr>
        <w:t>(11): 2927--2940.</w:t>
      </w:r>
    </w:p>
    <w:p w14:paraId="006CE39A" w14:textId="77777777" w:rsidR="00EB67E5" w:rsidRPr="00EB67E5" w:rsidRDefault="00EB67E5" w:rsidP="00EB67E5">
      <w:pPr>
        <w:pStyle w:val="EndNoteBibliography"/>
        <w:ind w:left="720" w:hanging="720"/>
        <w:rPr>
          <w:noProof/>
        </w:rPr>
      </w:pPr>
      <w:r w:rsidRPr="00EB67E5">
        <w:rPr>
          <w:noProof/>
        </w:rPr>
        <w:tab/>
      </w:r>
      <w:bookmarkEnd w:id="158"/>
    </w:p>
    <w:p w14:paraId="31720AE4" w14:textId="640A7665"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05"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06"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07"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EE4C" w14:textId="77777777" w:rsidR="00173323" w:rsidRDefault="00173323" w:rsidP="00F014AB">
      <w:r>
        <w:separator/>
      </w:r>
    </w:p>
  </w:endnote>
  <w:endnote w:type="continuationSeparator" w:id="0">
    <w:p w14:paraId="108AA569" w14:textId="77777777" w:rsidR="00173323" w:rsidRDefault="00173323"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C030" w14:textId="77777777" w:rsidR="00173323" w:rsidRDefault="00173323" w:rsidP="00F014AB">
      <w:r>
        <w:separator/>
      </w:r>
    </w:p>
  </w:footnote>
  <w:footnote w:type="continuationSeparator" w:id="0">
    <w:p w14:paraId="0898D963" w14:textId="77777777" w:rsidR="00173323" w:rsidRDefault="00173323"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8&lt;/item&gt;&lt;item&gt;64&lt;/item&gt;&lt;item&gt;81&lt;/item&gt;&lt;item&gt;82&lt;/item&gt;&lt;item&gt;83&lt;/item&gt;&lt;item&gt;84&lt;/item&gt;&lt;item&gt;85&lt;/item&gt;&lt;item&gt;8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3323"/>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24</Pages>
  <Words>58677</Words>
  <Characters>334463</Characters>
  <Application>Microsoft Office Word</Application>
  <DocSecurity>0</DocSecurity>
  <Lines>2787</Lines>
  <Paragraphs>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28</cp:revision>
  <cp:lastPrinted>2020-10-01T23:31:00Z</cp:lastPrinted>
  <dcterms:created xsi:type="dcterms:W3CDTF">2020-11-17T04:59:00Z</dcterms:created>
  <dcterms:modified xsi:type="dcterms:W3CDTF">2023-07-06T06:14:00Z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