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AA491" w14:textId="178C560D" w:rsidR="00D9433F" w:rsidRDefault="00FE606F" w:rsidP="00FE606F">
      <w:pPr>
        <w:pStyle w:val="Heading1"/>
      </w:pPr>
      <w:r>
        <w:t>Title</w:t>
      </w:r>
    </w:p>
    <w:p w14:paraId="7DCDEF36" w14:textId="605ED730" w:rsidR="00FE606F" w:rsidRDefault="00FE606F" w:rsidP="00FE606F"/>
    <w:p w14:paraId="31722DEC" w14:textId="409C8E6A" w:rsidR="00FE606F" w:rsidRDefault="00FE606F" w:rsidP="00FE606F">
      <w:pPr>
        <w:pStyle w:val="Heading1"/>
      </w:pPr>
      <w:r>
        <w:t>Abstract</w:t>
      </w:r>
    </w:p>
    <w:p w14:paraId="51104AB4" w14:textId="030F4A08" w:rsidR="00FE606F" w:rsidRDefault="00FE606F" w:rsidP="00FE606F">
      <w:pPr>
        <w:pStyle w:val="Heading1"/>
      </w:pPr>
      <w:r>
        <w:t>Keywords</w:t>
      </w:r>
    </w:p>
    <w:p w14:paraId="52F86262" w14:textId="77777777" w:rsidR="00496477" w:rsidRDefault="00496477" w:rsidP="00496477">
      <w:pPr>
        <w:pStyle w:val="Heading1"/>
      </w:pPr>
      <w:r>
        <w:t>Introduction</w:t>
      </w:r>
    </w:p>
    <w:p w14:paraId="1DE336C6" w14:textId="77777777" w:rsidR="00496477" w:rsidRDefault="00496477" w:rsidP="00496477">
      <w:pPr>
        <w:ind w:firstLine="720"/>
      </w:pPr>
      <w:r>
        <w:t xml:space="preserve">In many species, body size is a key fitness-related trait as it strongly predicts survival and fitness. Body size shows ontogenetic variation (growth) mediates various life history traits </w:t>
      </w:r>
      <w:r>
        <w:fldChar w:fldCharType="begin"/>
      </w:r>
      <w:r>
        <w:instrText xml:space="preserve"> ADDIN ZOTERO_ITEM CSL_CITATION {"citationID":"SR6yfG4p","properties":{"formattedCitation":"(Ricklefs &amp; Wikelski, 2002; Stamps, 2007)","plainCitation":"(Ricklefs &amp; Wikelski, 2002; Stamps, 2007)","noteIndex":0},"citationItems":[{"id":1826,"uris":["http://zotero.org/users/1379426/items/V8TNFKPA"],"uri":["http://zotero.org/users/1379426/items/V8TNFKPA"],"itemData":{"id":1826,"type":"article-journal","container-title":"Trends Ecol Evol","page":"1–7","title":"The physiology/life- history nexus","author":[{"family":"Ricklefs","given":"Robert E"},{"family":"Wikelski","given":"Martin"}],"issued":{"date-parts":[["2002",9]]}}},{"id":661,"uris":["http://zotero.org/users/1379426/items/W66FSP5F"],"uri":["http://zotero.org/users/1379426/items/W66FSP5F"],"itemData":{"id":661,"type":"article-journal","abstract":"Consistent individual differences in boldness, reactivity, aggressiveness, and other ‘personality traits’ in animals are stable within individuals but vary across individuals, for reasons which are currently obscure. Here, I suggest that consistent individual differences in growth rates encourage consistent individual differences in behavior patterns that contribute to growth-mortality tradeoffs. This hypothesis predicts that behavior patterns that increase both growth and mortality rates (e.g. foraging under predation risk, aggressive defense of feeding territories) will be positively correlated with one another across individuals, that selection for high growth rates will increase mean levels of potentially risky behavior across populations, and that within populations, faster-growing individuals will take more risks in foraging contexts than slower-growing individuals. Tentative empirical support for these predictions suggests that a growth-mortality perspective may help explain some of the consistent individual differences in behavioral traits that have been reported in fish, amphibians, reptiles, and other animals with indeterminate growth.","container-title":"Ecol Lett","DOI":"10.1111/j.1461-0248.2007.01034.x","issue":"5","language":"English","page":"355–363","title":"Growth-mortality tradeoffs and ‘personality traits’ in animals","volume":"10","author":[{"family":"Stamps","given":"Judy A"}],"issued":{"date-parts":[["2007"]]}}}],"schema":"https://github.com/citation-style-language/schema/raw/master/csl-citation.json"} </w:instrText>
      </w:r>
      <w:r>
        <w:fldChar w:fldCharType="separate"/>
      </w:r>
      <w:r>
        <w:rPr>
          <w:noProof/>
        </w:rPr>
        <w:t>(Ricklefs &amp; Wikelski, 2002; Stamps, 2007)</w:t>
      </w:r>
      <w:r>
        <w:fldChar w:fldCharType="end"/>
      </w:r>
      <w:r>
        <w:t xml:space="preserve">. Generally, organisms with fast growth rates, tend to mature more quickly and have shorter lifespans </w:t>
      </w:r>
      <w:r>
        <w:fldChar w:fldCharType="begin"/>
      </w:r>
      <w:r>
        <w:instrText xml:space="preserve"> ADDIN ZOTERO_ITEM CSL_CITATION {"citationID":"dEtNFftQ","properties":{"formattedCitation":"(slow-fast continuum, Bauwens &amp; Diaz-Uriate, 2010; S\\uc0\\u230{}ther, 1987)","plainCitation":"(slow-fast continuum, Bauwens &amp; Diaz-Uriate, 2010; Sæther, 1987)","noteIndex":0},"citationItems":[{"id":2138,"uris":["http://zotero.org/users/1379426/items/B8NHNJRG"],"uri":["http://zotero.org/users/1379426/items/B8NHNJRG"],"itemData":{"id":2138,"type":"article-journal","abstract":"Weanalyzedpatternosflife-historcoyvariationwithina cladeoflacertidlizards, usingthemethodofphylogeneticailnlydependenctontrastsE.xaminatioonfallometrircelations andcorrelationasmonglife-histotrryaitshowedthatspecieswithinthiscladecanbe arranged alonga single,multivariataexis.Atoneendofthiscontinuumaresmall-sizedspeciesthat maturearly,havesmallclutcheosfrelativellyargeyoungm,ayhavemultiplberoodsperyear, andhaveshortadultlives.Attheotherextremaerethelargerlacertidwsiththeoppositesuite oftraitsM.uchofthispatterncanbededucedfromtworelationst:heincreaseofadultlifespan withadultbodysize andthenegativaellometroyfoffsprinsgize. Aftertheeffectosfbodysize werestatisticalrlyemovedr,esidualosfadultlifespanandageatsexualmaturitwyerepositively correlatedw,hereasresidualsofthenumberandsizeofoffsprinwgerenegativelcyorrelated. The detectionofthesesize-frereelationsupportasn interpretatiofncoadaptiveadjustments amonglife-historvyariablesT.hepatternoflife-historcyovariationinlacertidlizardsdiffers fundamentalflyromthe\"fast-slow\"continuumT.hisgradienrteflectas negativeassociation betweenadultlifespanandfecundityw,hereasbothvariablesare positivelycorrelateadmong speciesoflacertidlizards.","container-title":"The American Naturalist","issue":"1","page":"91–111","title":"Covariation of Life-History Traits in Lacertid Lizards: a Comparative Study","volume":"149","author":[{"family":"Bauwens","given":"D"},{"family":"Diaz-Uriate","given":"R"}],"issued":{"date-parts":[["2010",5]]}},"prefix":"slow-fast continuum, "},{"id":2687,"uris":["http://zotero.org/users/1379426/items/R37WSBEU"],"uri":["http://zotero.org/users/1379426/items/R37WSBEU"],"itemData":{"id":2687,"type":"article-journal","abstract":"The relationship between different reproductive traits (clutch size, egg weight, clutch mass, incubation period, time to fledging and age at maturity) and body weight was studied in European birds. Body weights explained a significant proportion of the variance in all the reproductive traits studied. Clutch size and age at maturity were the reproductive traits that showed the most variation independent of body weight. The reproductive traits showed a strong pattern of covariation which divided the genera along a \"slow-fast continuum\". On the one hand were found the genera with an early age of maturition and high reproductive output during a short period of time. On the other were found the genera that mature late and take a long time to raise a few offspring. This pattern of covariation remained after the effects of body weight were accounted for in a partial correlation analysis. When the pattern of covariation among the residuals for the different orders of the regression of the reproductive traits on body weight was analysed, the same pattern of covariation was also found. Similarly, when the averages of the reproductive traits were calculated for the different orders, it was also possible to divide the orders along this \"slow-fast continuum\".","archive":"JSTOR","container-title":"Oikos","DOI":"10.2307/3565691","ISSN":"0030-1299","issue":"1","page":"79-88","source":"JSTOR","title":"The Influence of Body Weight on the Covariation between Reproductive Traits in European Birds","volume":"48","author":[{"family":"Sæther","given":"Bernt-Erik"}],"issued":{"date-parts":[["1987"]]}}}],"schema":"https://github.com/citation-style-language/schema/raw/master/csl-citation.json"} </w:instrText>
      </w:r>
      <w:r>
        <w:fldChar w:fldCharType="separate"/>
      </w:r>
      <w:r w:rsidRPr="005C0FF3">
        <w:rPr>
          <w:rFonts w:cs="Times New Roman"/>
        </w:rPr>
        <w:t>(slow-fast continuum, Bauwens &amp; Diaz-Uriate, 2010; Sæther, 1987)</w:t>
      </w:r>
      <w:r>
        <w:fldChar w:fldCharType="end"/>
      </w:r>
      <w:r>
        <w:t xml:space="preserve">. However, growth is further shaped by developmental environments such as temperature, thus promoting variation in life history strategies which can result in changes in population demography and dynamics </w:t>
      </w:r>
      <w:r>
        <w:fldChar w:fldCharType="begin"/>
      </w:r>
      <w:r>
        <w:instrText xml:space="preserve"> ADDIN ZOTERO_ITEM CSL_CITATION {"citationID":"51Zxbcue","properties":{"formattedCitation":"(Coulson et al., 2010; Kearney, 2012; Noble et al., 2017)","plainCitation":"(Coulson et al., 2010; Kearney, 2012; Noble et al., 2017)","noteIndex":0},"citationItems":[{"id":3342,"uris":["http://zotero.org/users/1379426/items/ET3NAQNK"],"uri":["http://zotero.org/users/1379426/items/ET3NAQNK"],"itemData":{"id":3342,"type":"article-journal","abstract":"1. There is a growing number of empirical reports of environmental change simultaneously influencing population dynamics, life history and quantitative characters. We do not have a well-developed understanding of links between the dynamics of these quantities. 2. Insight into the joint dynamics of populations, quantitative characters and life history can be gained by deriving a model that allows the calculation of fundamental quantities that underpin population ecology, evolutionary biology and life history. The parameterization and analysis of such a model for a specific system can be used to predict how a population will respond to environmental change. 3. Age-stage-structured models can be constructed from character-demography associations that describe age-specific relationships between the character and: (i) survival; (ii) fertility; (iii) ontogenetic development of the character among survivors; and (iv) the distribution of reproductive allocation. 4. These models can be used to calculate a wide range of useful biological quantities including population growth and structure; terms in the Price equation including selection differentials; estimates of biometric heritabilities; and life history descriptors including generation time. We showcase the method through parameterization of a model using data from a well-studied population of Soay sheep Ovis aries. 5. Perturbation analysis is used to investigate how the quantities listed in summary point 4 change as each parameter in each character-demography function is altered. 6. A wide range of joint dynamics of life history, quantitative characters and population growth can be generated in response to changes in different character-demography associations; we argue this explains the diversity of observations on the consequences of environmental change from studies of free-living populations. 7. The approach we describe has the potential to explain within and between species patterns in quantitative characters, life history and population dynamics.","container-title":"Journal of Animal Ecology","DOI":"10.1111/j.1365-2656.2010.01734.x","ISSN":"1365-2656","issue":"6","language":"en","note":"_eprint: https://besjournals.onlinelibrary.wiley.com/doi/pdf/10.1111/j.1365-2656.2010.01734.x","page":"1226-1240","source":"Wiley Online Library","title":"Using evolutionary demography to link life history theory, quantitative genetics and population ecology","volume":"79","author":[{"family":"Coulson","given":"Tim"},{"family":"Tuljapurkar","given":"Shripad"},{"family":"Childs","given":"Dylan Z."}],"issued":{"date-parts":[["2010"]]}}},{"id":2440,"uris":["http://zotero.org/users/1379426/items/8LWHK9VJ"],"uri":["http://zotero.org/users/1379426/items/8LWHK9VJ"],"itemData":{"id":2440,"type":"article-journal","abstract":"Summary 1.?Life histories, population dynamics and geographic range limits are fundamentally constrained by the way organisms acquire and allocate energy and matter. Metabolic theories provide general, parameter-sparse frameworks for understanding these constraints. However, they require the accurate estimation of body temperature which can be especially challenging in terrestrial environments. 2.?Here, I integrate a metabolic theory (Dynamic Energy Budget theory, DEB) with a biophysical model for inferring field body temperatures and activity periods of terrestrial ectotherms and apply it to study life-history variation and geographic range limits in a widespread North American lizard, Sceloporus undulatus. 3.?The model successfully predicted trait co-variation (size at maturity, maximum size, reproductive output and length-mass allometry) through changes in a single parameter. It also predicted seasonal and geographic variation in field growth rates, age at first reproduction, reproductive output and geographic range limits (via rmax estimates), all as a function of spatial climatic data. Although variation in age at maturity was mostly explained by climate, variation in annual reproduction was largely a product of local body size. 4.?Dynamic Energy Budget metabolic theory is concluded to be a powerful and general means to mechanistically integrate the dynamics of growth and reproduction into niche models of ectotherms.","container-title":"Functional Ecology","DOI":"10.1111/j.1365-2435.2011.01917.x","ISSN":"0269-8463","issue":"1","journalAbbreviation":"Functional Ecology","page":"167-179","source":"besjournals.onlinelibrary.wiley.com (Atypon)","title":"Metabolic theory, life history and the distribution of a terrestrial ectotherm","volume":"26","author":[{"family":"Kearney","given":"Michael"}],"issued":{"date-parts":[["2012",2,1]]}}},{"id":1087,"uris":["http://zotero.org/users/1379426/items/AFG7IXHS"],"uri":["http://zotero.org/users/1379426/items/AFG7IXHS"],"itemData":{"id":1087,"type":"article-journal","container-title":"Biological Reviews","DOI":"10.1111/brv.12333","issue":"1","language":"English","page":"72–97","title":"Developmental temperatures and phenotypic plasticity in reptiles: a systematic review and meta-analysis","volume":"93","author":[{"family":"Noble","given":"Daniel W A"},{"family":"Stenhouse","given":"Vaughn"},{"family":"Schwanz","given":"Lisa E"}],"issued":{"date-parts":[["2017",5]]}}}],"schema":"https://github.com/citation-style-language/schema/raw/master/csl-citation.json"} </w:instrText>
      </w:r>
      <w:r>
        <w:fldChar w:fldCharType="separate"/>
      </w:r>
      <w:r>
        <w:rPr>
          <w:noProof/>
        </w:rPr>
        <w:t>(Coulson et al., 2010; Kearney, 2012; Noble et al., 2017)</w:t>
      </w:r>
      <w:r>
        <w:fldChar w:fldCharType="end"/>
      </w:r>
      <w:r>
        <w:t xml:space="preserve">. Developmental plasticity is an important mechanism that enables organisms, particularly ectotherms to cope with unpredictable temperature changes as modified phenotypes may be better suited to the environment </w:t>
      </w:r>
      <w:r>
        <w:fldChar w:fldCharType="begin"/>
      </w:r>
      <w:r>
        <w:instrText xml:space="preserve"> ADDIN ZOTERO_ITEM CSL_CITATION {"citationID":"3jlRyJ4z","properties":{"formattedCitation":"(West-Eberhard, 2003)","plainCitation":"(West-Eberhard, 2003)","noteIndex":0},"citationItems":[{"id":3230,"uris":["http://zotero.org/users/1379426/items/HFLMSJY7"],"uri":["http://zotero.org/users/1379426/items/HFLMSJY7"],"itemData":{"id":3230,"type":"book","abstract":"The first comprehensive synthesis on development and evolution: it applies to all aspects of development, at all levels of organization and in all organisms, taking advantage of modern findings on behavior, genetics, endocrinology, molecular biology, evolutionary theory and phylogenetics to show the connections between developmental mechanisms and evolutionary change. This book solves key problems that have impeded a definitive synthesis in the past. It uses new concepts and specific examples to show how to relate environmentally sensitive development to the genetic theory of adaptive evolution and to explain major patterns of change. In this book development includes not only embryology and the ontogeny of morphology, sometimes portrayed inadequately as governed by \"regulatory genes,\" but also behavioral development and physiological adaptation, where plasticity is mediated by genetically complex mechanisms like hormones and learning. The book shows how the universal qualities of phenotypes--modular organization and plasticity--facilitate both integration and change. Here you will learn why it is wrong to describe organisms as genetically programmed; why environmental induction is likely to be more important in evolution than random mutation; and why it is crucial to consider both selection and developmental mechanism in explanations of adaptive evolution. This book satisfies the need for a truly general book on development, plasticity and evolution that applies to living organisms in all of their life stages and environments. Using an immense compendium of examples on many kinds of organisms, from viruses and bacteria to higher plants and animals, it shows how the phenotype is reorganized during evolution to produce novelties, and how alternative phenotypes occupy a pivotal role as a phase of evolution that fosters diversification and speeds change. The arguments of this book call for a new view of the major themes of evolutionary biology, as shown in chapters on gradualism, homology, environmental induction, speciation, radiation, macroevolution, punctuation, and the maintenance of sex. No other treatment of development and evolution since Darwin's offers such a comprehensive and critical discussion of the relevant issues. Developmental Plasticity and Evolution is designed for biologists interested in the development and evolution of behavior, life-history patterns, ecology, physiology, morphology and speciation. It will also appeal to evolutionary paleontologists, anthropologists, psychologists, and teachers of general biology.","ISBN":"978-0-19-802856-7","language":"en","note":"Google-Books-ID: 7DQNTPYaHlYC","number-of-pages":"815","publisher":"Oxford University Press","source":"Google Books","title":"Developmental Plasticity and Evolution","author":[{"family":"West-Eberhard","given":"Mary Jane"}],"issued":{"date-parts":[["2003",3,13]]}}}],"schema":"https://github.com/citation-style-language/schema/raw/master/csl-citation.json"} </w:instrText>
      </w:r>
      <w:r>
        <w:fldChar w:fldCharType="separate"/>
      </w:r>
      <w:r>
        <w:rPr>
          <w:noProof/>
        </w:rPr>
        <w:t>(West-Eberhard, 2003)</w:t>
      </w:r>
      <w:r>
        <w:fldChar w:fldCharType="end"/>
      </w:r>
      <w:r>
        <w:t xml:space="preserve">. Accordingly, theoretical work suggests that plasticity may allow populations to track closely with the environment as they slowly undergo genetic assimilation of the adaptive phenotype </w:t>
      </w:r>
      <w:r>
        <w:fldChar w:fldCharType="begin"/>
      </w:r>
      <w:r>
        <w:instrText xml:space="preserve"> ADDIN ZOTERO_ITEM CSL_CITATION {"citationID":"QJjFvPFB","properties":{"formattedCitation":"(\\uc0\\u8216{}plasticity-first\\uc0\\u8217{} hypothesis, Lande, 2009)","plainCitation":"(‘plasticity-first’ hypothesis, Lande, 2009)","noteIndex":0},"citationItems":[{"id":824,"uris":["http://zotero.org/users/1379426/items/CQBIWDJS"],"uri":["http://zotero.org/users/1379426/items/CQBIWDJS"],"itemData":{"id":824,"type":"article-journal","abstract":"Adaptation to a sudden extreme change in environment, beyond the usual range of background environmental fluctuations, is analysed using a quantitative genetic model of phenotypic plasticity. Generations are discrete, with time lag τ between a critical period for environmental influence on individual development and natural selection on adult phenotypes. The optimum phenotype, and genotypic norms of reaction, are linear functions of the environment. Reaction norm elevation and slope (plasticity) vary among genotypes. Initially, in the average background environment, the character is canalized with minimum genetic and phenotypic variance, and no correlation between reaction norm elevation and slope. The optimal plasticity is proportional to the predictability of environmental fluctuations over time lag τ. During the first generation in the new environment the mean fitness suddenly drops and the mean phenotype jumps towards the new optimum phenotype by plasticity. Subsequent adaptation occurs in two phases. Rapid evolution of increased plasticity allows the mean phenotype to closely approach the new optimum. The new phenotype then undergoes slow genetic assimilation, with reduction in plasticity compensated by genetic evolution of reaction norm elevation in the original environment. © 2009 European Society For Evolutionary Biology.","container-title":"Journal of evolutionary biology","DOI":"10.1111/j.1420-9101.2009.01754.x","issue":"7","language":"English","note":"PMID: 19467134","page":"1435–1446","title":"Adaptation to an extraordinary environment by evolution of phenotypic plasticity and genetic assimilation","volume":"22","author":[{"family":"Lande","given":"R"}],"issued":{"date-parts":[["2009",7]]}},"prefix":"‘plasticity-first’ hypothesis, "}],"schema":"https://github.com/citation-style-language/schema/raw/master/csl-citation.json"} </w:instrText>
      </w:r>
      <w:r>
        <w:fldChar w:fldCharType="separate"/>
      </w:r>
      <w:r w:rsidRPr="005C0FF3">
        <w:rPr>
          <w:rFonts w:cs="Times New Roman"/>
        </w:rPr>
        <w:t>(‘plasticity-first’ hypothesis, Lande, 2009)</w:t>
      </w:r>
      <w:r>
        <w:fldChar w:fldCharType="end"/>
      </w:r>
      <w:r>
        <w:t xml:space="preserve">. As temperature and thermal variability continues to increase, understanding developmental responses in body size and growth is necessary to predict population persistence, particularly in ectotherms. </w:t>
      </w:r>
    </w:p>
    <w:p w14:paraId="30B9165C" w14:textId="77777777" w:rsidR="00496477" w:rsidRDefault="00496477" w:rsidP="00496477">
      <w:pPr>
        <w:ind w:firstLine="720"/>
      </w:pPr>
    </w:p>
    <w:p w14:paraId="479B8563" w14:textId="77777777" w:rsidR="00496477" w:rsidRDefault="00496477" w:rsidP="00496477">
      <w:pPr>
        <w:ind w:firstLine="720"/>
      </w:pPr>
      <w:r>
        <w:t xml:space="preserve">Organisms that develop in cooler environments tend to mature at larger body sizes compared to those inhabiting warmer environments </w:t>
      </w:r>
      <w:r>
        <w:fldChar w:fldCharType="begin"/>
      </w:r>
      <w:r>
        <w:instrText xml:space="preserve"> ADDIN ZOTERO_ITEM CSL_CITATION {"citationID":"0woiuQch","properties":{"formattedCitation":"(\\uc0\\u8216{}temperature-size rule\\uc0\\u8217{}, Angilletta Jr et al., 2017)","plainCitation":"(‘temperature-size rule’, 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W"}],"issued":{"date-parts":[["2017",1]]}},"prefix":"‘temperature-size rule’, "}],"schema":"https://github.com/citation-style-language/schema/raw/master/csl-citation.json"} </w:instrText>
      </w:r>
      <w:r>
        <w:fldChar w:fldCharType="separate"/>
      </w:r>
      <w:r w:rsidRPr="003476B1">
        <w:rPr>
          <w:rFonts w:cs="Times New Roman"/>
        </w:rPr>
        <w:t>(‘temperature-size rule’, Angilletta Jr et al., 2017)</w:t>
      </w:r>
      <w:r>
        <w:fldChar w:fldCharType="end"/>
      </w:r>
      <w:r>
        <w:t xml:space="preserve">. This ubiquitous pattern suggests there is commonality in the mechanisms that give rise to body size variation, however these are still not well understood </w:t>
      </w:r>
      <w:r>
        <w:fldChar w:fldCharType="begin"/>
      </w:r>
      <w:r>
        <w:instrText xml:space="preserve"> ADDIN ZOTERO_ITEM CSL_CITATION {"citationID":"uItTU2N5","properties":{"formattedCitation":"(Angilletta, Jr., &amp; Dunham, 2003)","plainCitation":"(Angilletta, Jr., &amp; Dunham, 2003)","noteIndex":0},"citationItems":[{"id":3049,"uris":["http://zotero.org/users/1379426/items/5U3CRSA2"],"uri":["http://zotero.org/users/1379426/items/5U3CRSA2"],"itemData":{"id":3049,"type":"article-journal","abstract":"In many organisms, individuals in colder environments grow more slowly but are larger as adults. This widespread pattern is embodied by two well-established rules: Bergmann’s rule, which describes the association between temperature and body size in natural environments, and the temperature-size rule, which describes reaction norms relating temperature to body size in laboratory experiments. Theory predicts that organisms should grow to be larger in colder environments when growth efﬁciency decreases with increasing environmental temperature. Using data from 97 laboratory experiments, including 58 species of ectotherms, we found little evidence that growth efﬁciency is negatively related to environmental temperature within the thermal range that is relevant to the temperature-size rule. Instead, growth efﬁciency was either positively related or insensitive to environmental temperature in the majority of cases (73 of 89 cases for gross growth efﬁciency and 18 of 24 cases for net growth efﬁciency). Two possibilities merit consideration. First, high temperatures may impose constraints on growth that only arise late during ontogeny; this simple and potentially general explanation is supported by the fact that thermal optima for growth efﬁciency and growth rate decrease as individuals grow. Alternatively, the general explanation for relationships between temperature and body size may not be simple. If the latter view is correct, the best approach might be to generate and test theories that are tailored speciﬁcally to organisms with similar behavior and physiology.","container-title":"The American Naturalist","DOI":"10.1086/377187","ISSN":"0003-0147, 1537-5323","issue":"3","journalAbbreviation":"The American Naturalist","language":"en","page":"332-342","source":"DOI.org (Crossref)","title":"The Temperature‐Size Rule in Ectotherms: Simple Evolutionary Explanations May Not Be General","title-short":"The Temperature‐Size Rule in Ectotherms","volume":"162","author":[{"family":"Angilletta, Jr.,","given":"Michael J."},{"family":"Dunham","given":"Arthur E."}],"issued":{"date-parts":[["2003",9]]}}}],"schema":"https://github.com/citation-style-language/schema/raw/master/csl-citation.json"} </w:instrText>
      </w:r>
      <w:r>
        <w:fldChar w:fldCharType="separate"/>
      </w:r>
      <w:r>
        <w:rPr>
          <w:noProof/>
        </w:rPr>
        <w:t>(Angilletta, Jr., &amp; Dunham, 2003)</w:t>
      </w:r>
      <w:r>
        <w:fldChar w:fldCharType="end"/>
      </w:r>
      <w:r>
        <w:t xml:space="preserve">. Larger body sizes could be achieved by prolonging growth rates and/or delaying reproduction </w:t>
      </w:r>
      <w:r>
        <w:fldChar w:fldCharType="begin"/>
      </w:r>
      <w:r>
        <w:instrText xml:space="preserve"> ADDIN ZOTERO_ITEM CSL_CITATION {"citationID":"qPH8bP61","properties":{"formattedCitation":"(Angilletta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fldChar w:fldCharType="separate"/>
      </w:r>
      <w:r>
        <w:rPr>
          <w:noProof/>
        </w:rPr>
        <w:t>(Angilletta Jr et al., 2017)</w:t>
      </w:r>
      <w:r>
        <w:fldChar w:fldCharType="end"/>
      </w:r>
      <w:r>
        <w:t xml:space="preserve">. In support of this, a recent meta-analysis showed that reptiles that experience cold incubation temperatures have been shown to have slower growth rates compared to those that experienced hot incubation temperatures </w:t>
      </w:r>
      <w:r>
        <w:fldChar w:fldCharType="begin"/>
      </w:r>
      <w:r>
        <w:instrText xml:space="preserve"> ADDIN ZOTERO_ITEM CSL_CITATION {"citationID":"jlE46iu2","properties":{"formattedCitation":"(Noble et al., 2017)","plainCitation":"(Noble et al., 2017)","noteIndex":0},"citationItems":[{"id":1087,"uris":["http://zotero.org/users/1379426/items/AFG7IXHS"],"uri":["http://zotero.org/users/1379426/items/AFG7IXHS"],"itemData":{"id":1087,"type":"article-journal","container-title":"Biological Reviews","DOI":"10.1111/brv.12333","issue":"1","language":"English","page":"72–97","title":"Developmental temperatures and phenotypic plasticity in reptiles: a systematic review and meta-analysis","volume":"93","author":[{"family":"Noble","given":"Daniel W A"},{"family":"Stenhouse","given":"Vaughn"},{"family":"Schwanz","given":"Lisa E"}],"issued":{"date-parts":[["2017",5]]}}}],"schema":"https://github.com/citation-style-language/schema/raw/master/csl-citation.json"} </w:instrText>
      </w:r>
      <w:r>
        <w:fldChar w:fldCharType="separate"/>
      </w:r>
      <w:r>
        <w:rPr>
          <w:noProof/>
        </w:rPr>
        <w:t>(Noble et al., 2017)</w:t>
      </w:r>
      <w:r>
        <w:fldChar w:fldCharType="end"/>
      </w:r>
      <w:r>
        <w:t xml:space="preserve">. However, previous studies typically compare body size over a short interval at early life stages or at only few ages throughout ontogeny </w:t>
      </w:r>
      <w:r>
        <w:fldChar w:fldCharType="begin"/>
      </w:r>
      <w:r>
        <w:instrText xml:space="preserve"> ADDIN ZOTERO_ITEM CSL_CITATION {"citationID":"nlXACRqv","properties":{"formattedCitation":"(Le Henanff et al., 2013; Pearson &amp; Warner, 2016; Verd\\uc0\\u250{}\\uc0\\u8208{}Ricoy et al., 2014)","plainCitation":"(Le Henanff et al., 2013; Pearson &amp; Warner, 2016; Verdú‐Ricoy et al., 2014)","noteIndex":0},"citationItems":[{"id":3111,"uris":["http://zotero.org/users/1379426/items/HYUHCCN6"],"uri":["http://zotero.org/users/1379426/items/HYUHCCN6"],"itemData":{"id":3111,"type":"article-journal","abstract":"Abstract.  Understanding variations in individual trajectories is a crucial evolutionary issue. Terrestrial ectotherms from temperate regions typically face the","container-title":"Biological Journal of the Linnean Society","DOI":"10.1111/j.1095-8312.2012.02005.x","ISSN":"0024-4066","issue":"2","journalAbbreviation":"Biol J Linn Soc","language":"en","note":"publisher: Oxford Academic","page":"384-395","source":"academic.oup.com","title":"The sooner the better: reproductive phenology drives ontogenetic trajectories in a temperate squamate (Podarcis muralis)","title-short":"The sooner the better","volume":"108","author":[{"family":"Le Henanff","given":"Maxime"},{"family":"Meylan","given":"Sandrine"},{"family":"Lourdais","given":"Olivier"}],"issued":{"date-parts":[["2013",2,1]]}}},{"id":3169,"uris":["http://zotero.org/users/1379426/items/LIZ5G72Q"],"uri":["http://zotero.org/users/1379426/items/LIZ5G72Q"],"itemData":{"id":3169,"type":"article-journal","abstract":"Embryonic environments influence phenotypic development, but relatively few experiments have explored the effects of natural environmental variation. We incubated eggs of the lizard Anolis sagrei under conditions that mimicked natural spatial and temporal thermal variation to determine their effects on offspring morphology and performance. Incubation temperatures mimicked two microhabitats (open, shade) at two different times of the incubation season (April, July). Egg survival, incubation duration and offspring size were influenced by interactions between habitat- and season-specific nest temperatures, and locomotor performance was influenced primarily by temporal factors. These findings highlight the importance of spatial and temporal environmental variation in generating variation in fitness-related phenotypes.","container-title":"Biology Letters","DOI":"10.1098/rsbl.2016.0646","issue":"10","journalAbbreviation":"Biology Letters","note":"publisher: Royal Society","page":"20160646","source":"royalsocietypublishing.org (Atypon)","title":"Habitat- and season-specific temperatures affect phenotypic development of hatchling lizards","volume":"12","author":[{"family":"Pearson","given":"P. R."},{"family":"Warner","given":"D. A."}],"issued":{"date-parts":[["2016",10,31]]}}},{"id":3166,"uris":["http://zotero.org/users/1379426/items/YNXV8MK3"],"uri":["http://zotero.org/users/1379426/items/YNXV8MK3"],"itemData":{"id":3166,"type":"article-journal","abstract":"We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instrText>
      </w:r>
      <w:r>
        <w:fldChar w:fldCharType="separate"/>
      </w:r>
      <w:r w:rsidRPr="005C0FF3">
        <w:rPr>
          <w:rFonts w:cs="Times New Roman"/>
        </w:rPr>
        <w:t>(Le Henanff et al., 2013; Pearson &amp; Warner, 2016; Verdú‐Ricoy et al., 2014)</w:t>
      </w:r>
      <w:r>
        <w:fldChar w:fldCharType="end"/>
      </w:r>
      <w:r>
        <w:t>. This tends to simplify non-linear growth trajectories, making it difficult to assess when growth is maximised and when it begins to slow down. Thus, to understand developmental plasticity of body size and growth, it is necessary to quantify the full ontogenetic trajectory.</w:t>
      </w:r>
    </w:p>
    <w:p w14:paraId="3459091F" w14:textId="77777777" w:rsidR="00496477" w:rsidRDefault="00496477" w:rsidP="00496477">
      <w:pPr>
        <w:ind w:firstLine="720"/>
      </w:pPr>
    </w:p>
    <w:p w14:paraId="56BFC227" w14:textId="77777777" w:rsidR="00496477" w:rsidRDefault="00496477" w:rsidP="00496477">
      <w:pPr>
        <w:ind w:firstLine="720"/>
      </w:pPr>
      <w:r>
        <w:t>Developmental responses to temperature can facilitate adaptive evolution in body size however this relies on presence of heritable variation. The evolutionary potential of a phenotypic trait is usually measured as heritability (</w:t>
      </w:r>
      <w:r w:rsidRPr="005211B7">
        <w:rPr>
          <w:i/>
          <w:iCs/>
        </w:rPr>
        <w:t>h</w:t>
      </w:r>
      <w:r w:rsidRPr="005211B7">
        <w:rPr>
          <w:i/>
          <w:iCs/>
          <w:vertAlign w:val="superscript"/>
        </w:rPr>
        <w:t>2</w:t>
      </w:r>
      <w:r>
        <w:t xml:space="preserve">) and expressed as a ratio of additive genetic variation to non-genetic variance </w:t>
      </w:r>
      <w:r>
        <w:fldChar w:fldCharType="begin"/>
      </w:r>
      <w:r>
        <w:instrText xml:space="preserve"> ADDIN ZOTERO_ITEM CSL_CITATION {"citationID":"kNn8JlWX","properties":{"formattedCitation":"(Kruuk, 2004; Wilson et al., 2010)","plainCitation":"(Kruuk, 2004; Wilson et al., 2010)","noteIndex":0},"citationItems":[{"id":566,"uris":["http://zotero.org/users/1379426/items/GMDB8TGB"],"uri":["http://zotero.org/users/1379426/items/GMDB8TGB"],"itemData":{"id":566,"type":"article-journal","container-title":"Philosophical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model’","volume":"359","author":[{"family":"Kruuk","given":"Loeske E B"}],"issued":{"date-parts":[["2004",6]]}}},{"id":1124,"uris":["http://zotero.org/users/1379426/items/L4CSGIEY"],"uri":["http://zotero.org/users/1379426/items/L4CSGIEY"],"itemData":{"id":1124,"type":"article-journal","container-title":"Journal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 ale","given":"Denis"},{"family":"Clements","given":"Michelle N"},{"family":"Morrissey","given":"Michael M"},{"family":"Postma","given":"Erik"},{"family":"Walling","given":"Craig A"},{"family":"Kruuk","given":"Loeske E B"},{"family":"Nussey","given":"Daniel H"}],"issued":{"date-parts":[["2010",1]]}}}],"schema":"https://github.com/citation-style-language/schema/raw/master/csl-citation.json"} </w:instrText>
      </w:r>
      <w:r>
        <w:fldChar w:fldCharType="separate"/>
      </w:r>
      <w:r>
        <w:rPr>
          <w:noProof/>
        </w:rPr>
        <w:t>(Kruuk, 2004; Wilson et al., 2010)</w:t>
      </w:r>
      <w:r>
        <w:fldChar w:fldCharType="end"/>
      </w:r>
      <w:r>
        <w:t xml:space="preserve">. In some cases, high developmental temperatures increased heritability of morphological traits, however the relationship is not straightforward </w:t>
      </w:r>
      <w:r>
        <w:fldChar w:fldCharType="begin"/>
      </w:r>
      <w:r>
        <w:instrText xml:space="preserve"> ADDIN ZOTERO_ITEM CSL_CITATION {"citationID":"c9yibIa6","properties":{"formattedCitation":"(Charmantier &amp; Garant, 2005; Hoffmann &amp; Meril\\uc0\\u228{}, 1999)","plainCitation":"(Charmantier &amp; Garant, 2005; Hoffmann &amp; Merilä, 1999)","noteIndex":0},"citationItems":[{"id":3188,"uris":["http://zotero.org/users/1379426/items/6PT3FWH7"],"uri":["http://zotero.org/users/1379426/items/6PT3FWH7"],"itemData":{"id":3188,"type":"article-journal","abstract":"An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nne"},{"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fldChar w:fldCharType="separate"/>
      </w:r>
      <w:r w:rsidRPr="005C0FF3">
        <w:rPr>
          <w:rFonts w:cs="Times New Roman"/>
        </w:rPr>
        <w:t>(Charmantier &amp; Garant, 2005; Hoffmann &amp; Merilä, 1999)</w:t>
      </w:r>
      <w:r>
        <w:fldChar w:fldCharType="end"/>
      </w:r>
      <w:r>
        <w:t xml:space="preserve">. Most studies that have investigated the effects of developmental temperature on morphological traits are in invertebrate systems, as such we lack an understanding on how vertebrate systems may respond </w:t>
      </w:r>
      <w:r>
        <w:fldChar w:fldCharType="begin"/>
      </w:r>
      <w:r>
        <w:instrText xml:space="preserve"> ADDIN ZOTERO_ITEM CSL_CITATION {"citationID":"uEFGZc1d","properties":{"formattedCitation":"(but see Uller et al., 2002)","plainCitation":"(but see Uller et al., 2002)","noteIndex":0},"citationItems":[{"id":3200,"uris":["http://zotero.org/users/1379426/items/JNYLUEY7"],"uri":["http://zotero.org/users/1379426/items/JNYLUEY7"],"itemData":{"id":3200,"type":"article-journal","abstract":"Heritability characteristically shows large variation between traits, among populations and species, and through time. One of the reasons for this is its dependence on gene frequencies and how these are altered by selection and drift through the evolutionary process. We studied variation in heritability of tadpole growth rate in populations of the Swedish common frog, Rana temporaria. In populations evolving under warmer conditions, we have demonstrated elsewhere that tadpoles show better growth and physiological performance at relatively higher temperatures than tadpoles with an evolutionary history in a relatively cooler part of the distribution range. In the current study, we ask whether this process of divergence under natural selection has influenced the genetic architecture as visualised in estimates of heritability of growth rate at different temperature treatments under laboratory conditions. The results suggest that the additive genetic variance varies between treatments and is highest in a treatment that is common to both populations. Our estimates of narrow sense heritability are generally higher in the thermal regime that dominates in the natural environment. The reason for this appears not primarily to be because the component of additive genetic variation is higher in relation to the total phenotypic variation under these conditions, but because the part of the phenotypic variance explained by environmental variation increases at temperatures to which the current populations has been less frequently under selection.","container-title":"Heredity","DOI":"10.1038/sj.hdy.6800088","ISSN":"1365-2540","issue":"6","language":"en","note":"number: 6\npublisher: Nature Publishing Group","page":"480-484","source":"www.nature.com","title":"Variation in heritability of tadpole growth: an experimental analysis","title-short":"Variation in heritability of tadpole growth","volume":"88","author":[{"family":"Uller","given":"T."},{"family":"Olsson","given":"M."},{"family":"Ståhlberg","given":"F."}],"issued":{"date-parts":[["2002",6]]}},"prefix":"but see "}],"schema":"https://github.com/citation-style-language/schema/raw/master/csl-citation.json"} </w:instrText>
      </w:r>
      <w:r>
        <w:fldChar w:fldCharType="separate"/>
      </w:r>
      <w:r>
        <w:rPr>
          <w:noProof/>
        </w:rPr>
        <w:t>(but see Uller et al., 2002)</w:t>
      </w:r>
      <w:r>
        <w:fldChar w:fldCharType="end"/>
      </w:r>
      <w:r>
        <w:t xml:space="preserve">. Moreover, environmental </w:t>
      </w:r>
      <w:r>
        <w:lastRenderedPageBreak/>
        <w:t xml:space="preserve">comparisons of heritability has been criticised as estimates may show no changes but the relative contributions of variance (maternal and environmental effects) may actually differ </w:t>
      </w:r>
      <w:r>
        <w:fldChar w:fldCharType="begin"/>
      </w:r>
      <w:r>
        <w:instrText xml:space="preserve"> ADDIN ZOTERO_ITEM CSL_CITATION {"citationID":"TNSAAe7a","properties":{"formattedCitation":"(Rowi\\uc0\\u324{}ski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fldChar w:fldCharType="separate"/>
      </w:r>
      <w:r w:rsidRPr="005C0FF3">
        <w:rPr>
          <w:rFonts w:cs="Times New Roman"/>
        </w:rPr>
        <w:t>(Rowiński &amp; Rogell, 2017)</w:t>
      </w:r>
      <w:r>
        <w:fldChar w:fldCharType="end"/>
      </w:r>
      <w:r>
        <w:t>. One study showed that environmental variance of morphological traits was higher in low stress environments compared to high stress environments but h</w:t>
      </w:r>
      <w:r w:rsidRPr="00EA0617">
        <w:rPr>
          <w:vertAlign w:val="superscript"/>
        </w:rPr>
        <w:t>2</w:t>
      </w:r>
      <w:r>
        <w:t xml:space="preserve"> showed no differences </w:t>
      </w:r>
      <w:r>
        <w:fldChar w:fldCharType="begin"/>
      </w:r>
      <w:r>
        <w: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fldChar w:fldCharType="separate"/>
      </w:r>
      <w:r w:rsidRPr="005C0FF3">
        <w:rPr>
          <w:rFonts w:cs="Times New Roman"/>
        </w:rPr>
        <w:t>(Rowiński &amp; Rogell, 2017)</w:t>
      </w:r>
      <w:r>
        <w:fldChar w:fldCharType="end"/>
      </w:r>
      <w:r>
        <w:t xml:space="preserve">. This suggests that the speed of evolutionary change may be higher in high stress environments due to less environmental variance. To gain a better understanding of how developmental plasticity can guide adaptive evolution in body size, evaluating genetic as well as phenotypic variance components is essential. </w:t>
      </w:r>
    </w:p>
    <w:p w14:paraId="15882E7C" w14:textId="77777777" w:rsidR="00496477" w:rsidRDefault="00496477" w:rsidP="00496477">
      <w:pPr>
        <w:ind w:firstLine="720"/>
      </w:pPr>
    </w:p>
    <w:p w14:paraId="246BF622" w14:textId="77777777" w:rsidR="00496477" w:rsidRDefault="00496477" w:rsidP="00496477">
      <w:pPr>
        <w:ind w:firstLine="720"/>
      </w:pPr>
      <w:r>
        <w:t>While body size typically increases with age, its genetic and phenotypic components of variance can also display ontogenetic variation.</w:t>
      </w:r>
      <w:r w:rsidRPr="0077390F">
        <w:t xml:space="preserve"> </w:t>
      </w:r>
      <w:r>
        <w:t xml:space="preserve">Researchers have suggested that directional or stabilising selection at certain life stages can change variance components of body size at different ages </w:t>
      </w:r>
      <w:r>
        <w:fldChar w:fldCharType="begin"/>
      </w:r>
      <w:r>
        <w:instrText xml:space="preserve"> ADDIN ZOTERO_ITEM CSL_CITATION {"citationID":"TiYk84My","properties":{"formattedCitation":"(Wilson et al., 2005, 2007)","plainCitation":"(Wilson et al., 2005,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fldChar w:fldCharType="separate"/>
      </w:r>
      <w:r>
        <w:rPr>
          <w:rFonts w:cs="Times New Roman"/>
        </w:rPr>
        <w:t>(Wilson et al., 2005, 2007)</w:t>
      </w:r>
      <w:r>
        <w:fldChar w:fldCharType="end"/>
      </w:r>
      <w:r>
        <w:t xml:space="preserve">. Indeed, body size at sexual maturity is likely a major target of selection as it strongly predicts reproductive success and survival </w:t>
      </w:r>
      <w:r>
        <w:fldChar w:fldCharType="begin"/>
      </w:r>
      <w:r>
        <w:instrText xml:space="preserve"> ADDIN ZOTERO_ITEM CSL_CITATION {"citationID":"MNMMq6gP","properties":{"formattedCitation":"(Bartheld et al., 2015; Calsbeek &amp; Sinervo, 2002)","plainCitation":"(Bartheld et al., 2015; Calsbeek &amp; Sinervo, 2002)","noteIndex":0},"citationItems":[{"id":78,"uris":["http://zotero.org/users/1379426/items/HB7654AK"],"uri":["http://zotero.org/users/1379426/items/HB7654AK"],"itemData":{"id":78,"type":"article-journal","abstract":"© 2015 The Authors. One of the central questions in evolutionary ecology is how different functional capacities impact fitness, and how it varies across populations. For instance, do phenotypic attributes influence fitness similarly across geographic gradients? Which traits (physiological, morphological and life history) are most likely to be targets of natural selection? Do particular combinations of traits maximize fitness? In a semi-natural experiment, we analysed introduced populations of an invasive species, the garden snail (Cornu aspersum) in Chile, which show low levels of genetic differentiation in spite of the distance. Specifically, we addressed whether the magnitude, sign and form of selection in snail populations could explain the differentiation (or its absence) among populations. A common garden/reciprocal transplant experiment was performed in three populations (La Serena, Constitución and Valdivia) that span a 1300-km latitudinal gradient and differ markedly in climate (semi-arid north to humid south). We released c. 450 individuals per population (two generations after field-captured snails) in replicated enclosures at the range extremes (La Serena and Valdivia). Morphological (size and shell darkness), physiological (standard metabolic rate and digestive efficiency) and life-history [growth rate (GR)] traits were measured in all snails before the release. Survival was recorded monthly during 1 year. Survival was significantly higher in snails from La Serena than in snails from Constitución and Valdivia, when raised at La Serena. However, at Valdivia, survival was not different among source populations. Interestingly, we found negative correlational selection in M B and SMR R at La Serena, whereas at Valdivia we only found directional selection on GR and M B , and stabilizing selection on SMR R . These results suggest that selection on physiological traits related with energy allocation is pervasive, irrespective of climate and distance.","container-title":"Functional Ecology","DOI":"10.1111/1365-2435.12451","issue":"11","language":"English","page":"1463–1474","title":"Energy expenditure and body size are targets of natural selection across a wide geographic range, in a terrestrial invertebrate","volume":"29","author":[{"family":"Bartheld","given":"José Luis"},{"family":"Gaitán-Espitia","given":"Juan Diego"},{"family":"Artacho","given":"Paulina"},{"family":"Salgado-Luarte","given":"Cristian"},{"family":"Gianoli","given":"Ernesto"},{"family":"Nespolo","given":"Roberto F"}],"issued":{"date-parts":[["2015",1]]}}},{"id":3370,"uris":["http://zotero.org/users/1379426/items/3MLF3TNV"],"uri":["http://zotero.org/users/1379426/items/3MLF3TNV"],"itemData":{"id":3370,"type":"article-journal","container-title":"Oecologia","DOI":"10.1007/s00442-002-0975-8","ISSN":"0029-8549, 1432-1939","issue":"3","journalAbbreviation":"Oecologia","language":"en","page":"468-477","source":"DOI.org (Crossref)","title":"The ontogeny of territoriality during maturation","volume":"132","author":[{"family":"Calsbeek","given":"Ryan"},{"family":"Sinervo","given":"Barry"}],"issued":{"date-parts":[["2002",8]]}}}],"schema":"https://github.com/citation-style-language/schema/raw/master/csl-citation.json"} </w:instrText>
      </w:r>
      <w:r>
        <w:fldChar w:fldCharType="separate"/>
      </w:r>
      <w:r>
        <w:rPr>
          <w:noProof/>
        </w:rPr>
        <w:t>(Bartheld et al., 2015; Calsbeek &amp; Sinervo, 2002)</w:t>
      </w:r>
      <w:r>
        <w:fldChar w:fldCharType="end"/>
      </w:r>
      <w:r>
        <w:t xml:space="preserve">. Maternal effects such as nutrient provisioning or nest site selection should have the most influence on offspring body size at early life stages </w:t>
      </w:r>
      <w:r>
        <w:fldChar w:fldCharType="begin"/>
      </w:r>
      <w:r>
        <w:instrText xml:space="preserve"> ADDIN ZOTERO_ITEM CSL_CITATION {"citationID":"zBp3nkYZ","properties":{"formattedCitation":"(Cheverud, 1984; Wilson &amp; R\\uc0\\u233{}ale, 2006)","plainCitation":"(Cheverud, 1984; Wilson &amp; Réale, 2006)","noteIndex":0},"citationItems":[{"id":3328,"uris":["http://zotero.org/users/1379426/items/LTT7L4UV"],"uri":["http://zotero.org/users/1379426/items/LTT7L4UV"],"itemData":{"id":3328,"type":"article-journal","abstract":"A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phenotype.","archive":"JSTOR","container-title":"Evolution","DOI":"10.2307/2408388","ISSN":"0014-3820","issue":"4","note":"publisher: [Society for the Study of Evolution, Wiley]","page":"766-777","source":"JSTOR","title":"Evolution by Kin Selection: A Quantitative Genetic Model Illustrated by Maternal Performance in Mice","title-short":"Evolution by Kin Selection","volume":"38","author":[{"family":"Cheverud","given":"James M."}],"issued":{"date-parts":[["1984"]]}}},{"id":3274,"uris":["http://zotero.org/users/1379426/items/ZEAHMBJ3"],"uri":["http://zotero.org/users/1379426/items/ZEAHMBJ3"],"itemData":{"id":3274,"type":"article-journal","abstract":"Evolution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instrText>
      </w:r>
      <w:r>
        <w:fldChar w:fldCharType="separate"/>
      </w:r>
      <w:r w:rsidRPr="00546BF8">
        <w:rPr>
          <w:rFonts w:cs="Times New Roman"/>
        </w:rPr>
        <w:t>(Cheverud, 1984; Wilson &amp; Réale, 2006)</w:t>
      </w:r>
      <w:r>
        <w:fldChar w:fldCharType="end"/>
      </w:r>
      <w:r>
        <w:t xml:space="preserve">. Accordingly, maternal contributions decline with age in mammals presumably because mothers cannot continue to influence her offspring’s phenotype post-weaning </w:t>
      </w:r>
      <w:r>
        <w:fldChar w:fldCharType="begin"/>
      </w:r>
      <w:r>
        <w:instrText xml:space="preserve"> ADDIN ZOTERO_ITEM CSL_CITATION {"citationID":"KBiSt4dK","properties":{"formattedCitation":"(Krist, 2010; Wilson et al., 2005)","plainCitation":"(Krist, 2010; Wilson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fldChar w:fldCharType="separate"/>
      </w:r>
      <w:r>
        <w:rPr>
          <w:noProof/>
        </w:rPr>
        <w:t>(Krist, 2010; Wilson et al., 2005)</w:t>
      </w:r>
      <w:r>
        <w:fldChar w:fldCharType="end"/>
      </w:r>
      <w:r>
        <w:t xml:space="preserve">. Alternatively, compensatory growth strategies can also promote to ontogenetic patterns in body size variance </w:t>
      </w:r>
      <w:r>
        <w:fldChar w:fldCharType="begin"/>
      </w:r>
      <w:r>
        <w:instrText xml:space="preserve"> ADDIN ZOTERO_ITEM CSL_CITATION {"citationID":"OIfnGTKc","properties":{"formattedCitation":"(Hector &amp; Nakagawa, 2012)","plainCitation":"(Hector &amp; Nakagawa, 2012)","noteIndex":0},"citationItems":[{"id":3382,"uris":["http://zotero.org/users/1379426/items/MEMUA924"],"uri":["http://zotero.org/users/1379426/items/MEMUA924"],"itemData":{"id":3382,"type":"article-journal","abstract":"1. ‘Compensatory growth’ and ‘catch-up growth’ are often used interchangeably to describe the faster than optimal growth that occurs following a period of dietary restriction in the development of many animals. Concerns about the statistical analysis of these studies have drawn attention to the risk of false detection in reports of compensatory and catch-up growth. 2. This study aims to quantify the degree to which these compensatory responses occur across the animal kingdom. In addition, this study distinguishes the two terms, ‘compensatory growth’ and ‘catch-up growth’, to clarify the fitness consequences of rapid growth. Compensatory growth refers to a faster than usual growth rate, while catch-up growth implies attainment of control size. 3. Eight meta-analyses and meta-regression analyses were conducted on data extracted from 88 papers, including 11 taxonomic classes. The results confirmed that both growth tactics (i.e. compensatory and catch-up growth) occur across a wide range of taxa and result in decreased direct fitness components. 4. Importantly, the meta-analytic methods used made it possible to identify the specific experimental techniques that most successfully promoted rapid growth after restriction and key differences in the responses of the four major groups (mammals, birds, fish and arthropods) to dietary restriction. Endotherms are more likely to show a compensatory growth response because of their determinate growth; in contrast, the indeterminate and saltatory growth tactics of fish and arthropods reduce the pressure to rapidly achieve a large size. 5. Among the first meta-analyses to be conducted in this field, this study provides valuable support for the premises of compensatory and catch-up growth and also discusses weaknesses in experimental design, and possible solutions, in compensatory growth research. For example, we recommend conducting the experiment within the most linear phase of an animal’s growth to avoid analytical complications arising from size-dependent growth, and our results indicate that dietary dilution more closely resembles quantitative restriction than clutch size and intermittent feeding restriction methods when normal quantitative restriction is not possible.","container-title":"Journal of Animal Ecology","DOI":"10.1111/j.1365-2656.2011.01942.x","ISSN":"1365-2656","issue":"3","language":"en","note":"_eprint: https://besjournals.onlinelibrary.wiley.com/doi/pdf/10.1111/j.1365-2656.2011.01942.x","page":"583-593","source":"Wiley Online Library","title":"Quantitative analysis of compensatory and catch-up growth in diverse taxa","volume":"81","author":[{"family":"Hector","given":"Katie L."},{"family":"Nakagawa","given":"Shinichi"}],"issued":{"date-parts":[["2012"]]}}}],"schema":"https://github.com/citation-style-language/schema/raw/master/csl-citation.json"} </w:instrText>
      </w:r>
      <w:r>
        <w:fldChar w:fldCharType="separate"/>
      </w:r>
      <w:r>
        <w:rPr>
          <w:noProof/>
        </w:rPr>
        <w:t>(Hector &amp; Nakagawa, 2012)</w:t>
      </w:r>
      <w:r>
        <w:fldChar w:fldCharType="end"/>
      </w:r>
      <w:r>
        <w:t xml:space="preserve">. Namely, individuals that have experienced unfavourable conditions at an early stage may accelerate growth rate at a later age to catch up to the size of unrestricted conspecifics when conditions are more amenable </w:t>
      </w:r>
      <w:r>
        <w:fldChar w:fldCharType="begin"/>
      </w:r>
      <w:r>
        <w:instrText xml:space="preserve"> ADDIN ZOTERO_ITEM CSL_CITATION {"citationID":"xUD35eNV","properties":{"formattedCitation":"(Radder et al., 2007)","plainCitation":"(Radder et al., 2007)","noteIndex":0},"citationItems":[{"id":3234,"uris":["http://zotero.org/users/1379426/items/RJSME5K5"],"uri":["http://zotero.org/users/1379426/items/RJSME5K5"],"itemData":{"id":3234,"type":"article-journal","abstract":"In most natural environments, food availability varies unpredictably through space and time, and growth rates of individual organisms respond accordingly. However, growth rates are not necessarily a simple function of current nutritional conditions: growth rates can be affected by earlier nutritional experience as well as current circumstances. Thus, even a brief period of dietary restriction early in life might influence growth rates later on: either reducing them (if early experience sets subsequent rates, as in the “silver spoon” effect) or increasing them (if underfed individuals can compensate by growing more rapidly to cancel out the early decrement). Alternatively, later growth may be unaffected by earlier rates of growth. We experimentally manipulated food supply (and thus, growth rates) of hatchling lizards (Amphibolurus muricatus) for 1 month post-hatching, then maintained both high-food and low-food animals under identical nutritional conditions in outdoor enclosures for another 6 months. Low food abundance early in life significantly reduced juvenile growth, but these previously underfed animals exploited the subsequent (common garden) conditions to grow much faster than their larger (initially better-fed) siblings. Thus, the two groups were indistinguishable in body size at 6 months of age. Intriguingly, the compensatory growth occurred in winter, a period that is generally unsuitable for rapid growth in ectotherms. J. Exp. Zool. 307A:500–508, 2007. © 2007 Wiley-Liss, Inc.","container-title":"Journal of Experimental Zoology Part A: Ecological Genetics and Physiology","DOI":"10.1002/jez.403","ISSN":"1932-5231","issue":"9","language":"en","note":"_eprint: https://onlinelibrary.wiley.com/doi/pdf/10.1002/jez.403","page":"500-508","source":"Wiley Online Library","title":"Compensating for a bad start: catch-up growth in juvenile lizards (Amphibolurus muricatus, agamidae)","title-short":"Compensating for a bad start","volume":"307A","author":[{"family":"Radder","given":"Rajkumar S."},{"family":"Warner","given":"Daniel A."},{"family":"Shine","given":"Richard"}],"issued":{"date-parts":[["2007"]]}}}],"schema":"https://github.com/citation-style-language/schema/raw/master/csl-citation.json"} </w:instrText>
      </w:r>
      <w:r>
        <w:fldChar w:fldCharType="separate"/>
      </w:r>
      <w:r>
        <w:rPr>
          <w:noProof/>
        </w:rPr>
        <w:t>(Radder et al., 2007)</w:t>
      </w:r>
      <w:r>
        <w:fldChar w:fldCharType="end"/>
      </w:r>
      <w:r>
        <w:t>. While these proposed mechanisms can all partly explain age-dependent patterns in quantitative parameters, how they respond under different developmental temperatures remains poorly understood.</w:t>
      </w:r>
    </w:p>
    <w:p w14:paraId="5CCE3AD6" w14:textId="77777777" w:rsidR="00496477" w:rsidRDefault="00496477" w:rsidP="00496477">
      <w:pPr>
        <w:ind w:firstLine="720"/>
      </w:pPr>
    </w:p>
    <w:p w14:paraId="6EB3FE54" w14:textId="77777777" w:rsidR="00496477" w:rsidRDefault="00496477" w:rsidP="00496477">
      <w:pPr>
        <w:ind w:firstLine="720"/>
      </w:pPr>
      <w:r>
        <w:t>Here we investigated the impact of developmental temperature on growth trajectories and the relative contributions of mass variance in an oviparous skink (</w:t>
      </w:r>
      <w:r w:rsidRPr="00BC72BE">
        <w:rPr>
          <w:i/>
          <w:iCs/>
        </w:rPr>
        <w:t>Lampropholis delicata</w:t>
      </w:r>
      <w:r>
        <w:t xml:space="preserve">). Using 8,433 SNP markers, we derived a genomic relatedness matrix to estimate quantitative genetics parameters to address the following key questions: 1) How does developmental temperature affect the shape of growth trajectories (initial mass, growth rate and curvature of growth trajectory)?; 2) Do differences in growth result in variation in age at maximum mass?; 3) How does developmental temperature affect genetic and non-genetic variance components as well as heritability overall and across age? Based on the temperature-size rule, we expect lizards that experienced cold developmental temperatures to have larger initial masses, slower growth rates and would reach maximum size at a later age compared to lizards that experienced hot developmental temperatures. We also predict that [Predictions with temperature with genetic and maternal variance]. </w:t>
      </w:r>
    </w:p>
    <w:p w14:paraId="0A30CD83" w14:textId="77777777" w:rsidR="00496477" w:rsidRPr="00AA1C83" w:rsidRDefault="00496477" w:rsidP="00496477">
      <w:pPr>
        <w:pStyle w:val="Heading1"/>
      </w:pPr>
      <w:r>
        <w:t>Materials and Methods</w:t>
      </w:r>
    </w:p>
    <w:p w14:paraId="0D48CAC6" w14:textId="77777777" w:rsidR="00496477" w:rsidRDefault="00496477" w:rsidP="00496477">
      <w:pPr>
        <w:pStyle w:val="Heading2"/>
      </w:pPr>
      <w:r>
        <w:t>Lizard husbandry, Breeding Design and Egg Collection</w:t>
      </w:r>
    </w:p>
    <w:p w14:paraId="3C97B98A" w14:textId="77777777" w:rsidR="00496477" w:rsidRDefault="00496477" w:rsidP="00496477">
      <w:pPr>
        <w:ind w:firstLine="720"/>
      </w:pPr>
      <w:r>
        <w:t xml:space="preserve">From 2015 – 2017, we established a breeding colony of adult </w:t>
      </w:r>
      <w:r>
        <w:rPr>
          <w:i/>
        </w:rPr>
        <w:t>L. delicata</w:t>
      </w:r>
      <w:r>
        <w:t xml:space="preserve"> (n</w:t>
      </w:r>
      <w:r w:rsidRPr="00237431">
        <w:rPr>
          <w:vertAlign w:val="subscript"/>
        </w:rPr>
        <w:t>females</w:t>
      </w:r>
      <w:r>
        <w:t xml:space="preserve"> = 144,  n</w:t>
      </w:r>
      <w:r w:rsidRPr="00237431">
        <w:rPr>
          <w:vertAlign w:val="subscript"/>
        </w:rPr>
        <w:t>males</w:t>
      </w:r>
      <w:r>
        <w:t xml:space="preserve"> = 50) using wild individuals collected across five sites throughout the Sydney region between 28 August and 8 September 2015. We used a half-sib breeding design where up to three females were housed with a single male in an opaque plastic enclosure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Enclosures were kept under UV lights (12L:12D) in a temperature control room set at 24ºC and they were given access to a heat lamp that elevated temperatures to between 28-32</w:t>
      </w:r>
      <w:r w:rsidRPr="004B38FB">
        <w:t xml:space="preserve"> </w:t>
      </w:r>
      <w:r>
        <w:t xml:space="preserve">ºC. Each enclosure was lined with newspaper and lizards had </w:t>
      </w:r>
      <w:r>
        <w:lastRenderedPageBreak/>
        <w:t xml:space="preserve">constant access to water and tree bark 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egg laying seasons (October of each year), we replaced newpaper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gently with water every second day to maintain a relatively humid environment. From October to November, egg boxes were checked every day. We took tail tip tissue samples from adults that were from enclosures that produced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496477">
      <w:pPr>
        <w:pStyle w:val="Thesisnormal"/>
      </w:pPr>
    </w:p>
    <w:p w14:paraId="0C7BC104" w14:textId="77777777" w:rsidR="00496477" w:rsidRDefault="00496477" w:rsidP="00496477">
      <w:pPr>
        <w:pStyle w:val="Heading2"/>
      </w:pPr>
      <w:r>
        <w:t>Developmental Temperature Treatments</w:t>
      </w:r>
    </w:p>
    <w:p w14:paraId="02A85D58" w14:textId="77777777" w:rsidR="00496477" w:rsidRDefault="00496477" w:rsidP="00496477">
      <w:pPr>
        <w:ind w:firstLine="720"/>
      </w:pPr>
      <w:r>
        <w:t>Eggs were collected over two years from 2016 -2017 and were typically laid between October –March. 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Each cup was then covered using cling wrap and secured by an elastic band.</w:t>
      </w:r>
      <w:r w:rsidRPr="0085551F">
        <w:t xml:space="preserve"> </w:t>
      </w:r>
      <w:r>
        <w:t xml:space="preserve">We assumed that eggs that were found together in the substrate box were from the same clutch as eggs from a single female are often stuck together. Each clutch was pseudo-randomly assigned to one of two developmental temperature treatments. We used two incubators to precisely control the temperature of eggs </w:t>
      </w:r>
      <w:r w:rsidRPr="00B0332F">
        <w:rPr>
          <w:rFonts w:cs="Times New Roman"/>
        </w:rPr>
        <w:t>(LabWit,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However, both incubators fluctuated +/- 3ºC over 24 hours. These treatments represent the temperature extremes of natural nest sites of </w:t>
      </w:r>
      <w:r>
        <w:rPr>
          <w:i/>
          <w:iCs/>
        </w:rPr>
        <w:t>L. delicata</w:t>
      </w:r>
      <w:r>
        <w:t xml:space="preserve"> </w:t>
      </w:r>
      <w:r>
        <w:fldChar w:fldCharType="begin"/>
      </w:r>
      <w: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fldChar w:fldCharType="separate"/>
      </w:r>
      <w:r>
        <w:rPr>
          <w:noProof/>
        </w:rPr>
        <w:t>(Cheetham et al., 2011)</w:t>
      </w:r>
      <w:r>
        <w:fldChar w:fldCharType="end"/>
      </w:r>
      <w:r>
        <w:t xml:space="preserve">. </w:t>
      </w:r>
      <w:r w:rsidRPr="00632F8F">
        <w:t>Egg cups were</w:t>
      </w:r>
      <w:r>
        <w:t xml:space="preserve"> rotated within each incubator weekly to avoid uneven heat circulation within incubators. Incubators</w:t>
      </w:r>
      <w:r w:rsidRPr="00443918">
        <w:t xml:space="preserve"> were also checked daily for </w:t>
      </w:r>
      <w:r>
        <w:t>dead eggs</w:t>
      </w:r>
      <w:r w:rsidRPr="00443918">
        <w:t xml:space="preserve"> and emergent hatchlings. On average, the incubation period for the ‘hot’ treatment was 29.36 days (SD = 2.17, range = 15 - 49) days and 48.48 days (SD = 4.18, range = 25 - 56) for the ‘cold’ treatment.</w:t>
      </w:r>
      <w:r>
        <w:t xml:space="preserve"> </w:t>
      </w:r>
    </w:p>
    <w:p w14:paraId="1011B6DD" w14:textId="77777777" w:rsidR="00496477" w:rsidRPr="00B178E1" w:rsidRDefault="00496477" w:rsidP="00496477"/>
    <w:p w14:paraId="12A0F11D" w14:textId="77777777" w:rsidR="00496477" w:rsidRDefault="00496477" w:rsidP="00496477">
      <w:pPr>
        <w:pStyle w:val="Heading2"/>
      </w:pPr>
      <w:r>
        <w:t>Quantifying Growth Rate</w:t>
      </w:r>
    </w:p>
    <w:p w14:paraId="434EB230" w14:textId="77777777" w:rsidR="00496477" w:rsidRPr="001C4008" w:rsidRDefault="00496477" w:rsidP="00496477">
      <w:pPr>
        <w:ind w:firstLine="720"/>
      </w:pPr>
      <w:r>
        <w:t xml:space="preserve">Newly emerged hatchlings were weighed to the nearest 0.01g and a small tail tip clipping (~2mm) was taken for genetic analyses (see below). Ventral photographs were taken for digital measurement (Nikon Coolpix A900). For the first two months, photographs of hatchlings were taken approximately every 14 days. After which, hatchlings were photographed at approximately a 35-day interval. From approximately six months onwards, we manually measured hatchling SVL using a clear </w:t>
      </w:r>
      <w:r w:rsidRPr="000712A7">
        <w:t>ruler. Growth measurements continued until we had approximately 16 measures per individual (mean = 11.5 , range = 1 - 18).</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 xml:space="preserve">using ImageJ software </w:t>
      </w:r>
      <w:r>
        <w:fldChar w:fldCharType="begin"/>
      </w:r>
      <w:r>
        <w: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instrText>
      </w:r>
      <w:r>
        <w:fldChar w:fldCharType="separate"/>
      </w:r>
      <w:r>
        <w:rPr>
          <w:noProof/>
        </w:rPr>
        <w:t>(Rueden et al., 2017)</w:t>
      </w:r>
      <w:r>
        <w:fldChar w:fldCharType="end"/>
      </w:r>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w:t>
      </w:r>
      <w:r>
        <w:lastRenderedPageBreak/>
        <w:t xml:space="preserve">five in opaque bins with the same measurements as the adult enclosures. We pseudo-randomised individuals to each shared enclosure while maintaining a similar number of individuals from each treatment. </w:t>
      </w:r>
    </w:p>
    <w:p w14:paraId="3D16AE4F" w14:textId="77777777" w:rsidR="00496477" w:rsidRDefault="00496477" w:rsidP="00496477">
      <w:pPr>
        <w:pStyle w:val="Thesisnormal"/>
      </w:pPr>
    </w:p>
    <w:p w14:paraId="2A29E27E" w14:textId="77777777" w:rsidR="00496477" w:rsidRDefault="00496477" w:rsidP="00496477">
      <w:pPr>
        <w:pStyle w:val="Thesissubheading"/>
        <w:rPr>
          <w:iCs/>
        </w:rPr>
      </w:pPr>
      <w:r>
        <w:t xml:space="preserve">Pedigree and Genomic </w:t>
      </w:r>
      <w:r w:rsidRPr="004D4CF7">
        <w:t>Relatedness</w:t>
      </w:r>
    </w:p>
    <w:p w14:paraId="23E2D4CA" w14:textId="77777777" w:rsidR="00496477" w:rsidRPr="00E40780" w:rsidRDefault="00496477" w:rsidP="00496477">
      <w:pPr>
        <w:ind w:firstLine="720"/>
        <w:rPr>
          <w:rFonts w:cs="Times New Roman"/>
        </w:rPr>
      </w:pPr>
      <w:r>
        <w:rPr>
          <w:rFonts w:cs="Times New Roman"/>
        </w:rPr>
        <w:t>Tail t</w:t>
      </w:r>
      <w:r w:rsidRPr="005D3EB4">
        <w:rPr>
          <w:rFonts w:cs="Times New Roman"/>
        </w:rPr>
        <w:t>issue</w:t>
      </w:r>
      <w:r>
        <w:rPr>
          <w:rFonts w:cs="Times New Roman"/>
        </w:rPr>
        <w:t xml:space="preserve"> </w:t>
      </w:r>
      <w:r w:rsidRPr="005D3EB4">
        <w:rPr>
          <w:rFonts w:cs="Times New Roman"/>
        </w:rPr>
        <w:t xml:space="preserve">samples from adults and hatchlings </w:t>
      </w:r>
      <w:r>
        <w:rPr>
          <w:rFonts w:cs="Times New Roman"/>
        </w:rPr>
        <w:t>were</w:t>
      </w:r>
      <w:r w:rsidRPr="005D3EB4">
        <w:rPr>
          <w:rFonts w:cs="Times New Roman"/>
        </w:rPr>
        <w:t xml:space="preserve"> </w:t>
      </w:r>
      <w:r>
        <w:rPr>
          <w:rFonts w:cs="Times New Roman"/>
        </w:rPr>
        <w:t xml:space="preserve">used to </w:t>
      </w:r>
      <w:r w:rsidRPr="005D3EB4">
        <w:rPr>
          <w:rFonts w:cs="Times New Roman"/>
        </w:rPr>
        <w:t xml:space="preserve">determine parentage of </w:t>
      </w:r>
      <w:r>
        <w:rPr>
          <w:rFonts w:cs="Times New Roman"/>
        </w:rPr>
        <w:t>offspring</w:t>
      </w:r>
      <w:r w:rsidRPr="005D3EB4">
        <w:rPr>
          <w:rFonts w:cs="Times New Roman"/>
        </w:rPr>
        <w:t xml:space="preserve">. </w:t>
      </w:r>
      <w:r>
        <w:rPr>
          <w:rFonts w:cs="Times New Roman"/>
        </w:rPr>
        <w:t>DNA extraction and single nucleotide polymorphism (SNP) genotyping was performed</w:t>
      </w:r>
      <w:r w:rsidRPr="005D3EB4">
        <w:rPr>
          <w:rFonts w:cs="Times New Roman"/>
        </w:rPr>
        <w:t xml:space="preserve"> by Diversity Arrays</w:t>
      </w:r>
      <w:r>
        <w:rPr>
          <w:rFonts w:cs="Times New Roman"/>
        </w:rPr>
        <w:t xml:space="preserve"> Technology, </w:t>
      </w:r>
      <w:r w:rsidRPr="005D3EB4">
        <w:rPr>
          <w:rFonts w:cs="Times New Roman"/>
        </w:rPr>
        <w:t>a commercial company</w:t>
      </w:r>
      <w:r>
        <w:rPr>
          <w:rFonts w:cs="Times New Roman"/>
        </w:rPr>
        <w:t xml:space="preserve"> which</w:t>
      </w:r>
      <w:r w:rsidRPr="005D3EB4">
        <w:rPr>
          <w:rFonts w:cs="Times New Roman"/>
        </w:rPr>
        <w:t xml:space="preserve"> utilises a technique called DArTseq™</w:t>
      </w:r>
      <w:r>
        <w:rPr>
          <w:rFonts w:cs="Times New Roman"/>
        </w:rPr>
        <w:t>.</w:t>
      </w:r>
      <w:r w:rsidRPr="005D3EB4">
        <w:rPr>
          <w:rFonts w:cs="Times New Roman"/>
        </w:rPr>
        <w:t xml:space="preserve"> </w:t>
      </w:r>
      <w:r>
        <w:rPr>
          <w:rFonts w:cs="Times New Roman"/>
        </w:rPr>
        <w:t xml:space="preserve">For more details on DNA extraction and SNP genotyping see ESM. </w:t>
      </w:r>
    </w:p>
    <w:p w14:paraId="500A1B21" w14:textId="77777777" w:rsidR="00496477" w:rsidRDefault="00496477" w:rsidP="00496477">
      <w:pPr>
        <w:ind w:firstLine="720"/>
        <w:jc w:val="both"/>
      </w:pPr>
      <w:r>
        <w:t xml:space="preserve">In order to estimate quantitative genetic parameters, we derived a genomic relatedness matrix (GRM) using our SNP dataset for </w:t>
      </w:r>
      <w:r>
        <w:rPr>
          <w:rFonts w:cs="Times New Roman"/>
        </w:rPr>
        <w:t>261 offspring</w:t>
      </w:r>
      <w:r>
        <w:t xml:space="preserve"> growth data (</w:t>
      </w:r>
      <w:r>
        <w:rPr>
          <w:rFonts w:cs="Times New Roman"/>
        </w:rPr>
        <w:t xml:space="preserve">132 putative parents; </w:t>
      </w:r>
      <w:r w:rsidRPr="00BF52F5">
        <w:t>n</w:t>
      </w:r>
      <w:r w:rsidRPr="00BF52F5">
        <w:rPr>
          <w:vertAlign w:val="subscript"/>
        </w:rPr>
        <w:t>females</w:t>
      </w:r>
      <w:r w:rsidRPr="00BF52F5">
        <w:t xml:space="preserve"> = </w:t>
      </w:r>
      <w:r>
        <w:t>69</w:t>
      </w:r>
      <w:r w:rsidRPr="00BF52F5">
        <w:t>, n</w:t>
      </w:r>
      <w:r w:rsidRPr="00BF52F5">
        <w:rPr>
          <w:vertAlign w:val="subscript"/>
        </w:rPr>
        <w:t>males</w:t>
      </w:r>
      <w:r w:rsidRPr="00BF52F5">
        <w:t xml:space="preserve"> = </w:t>
      </w:r>
      <w:r>
        <w:t xml:space="preserve">63). While our half-sib breeding design allowed us to assign parentage to derive a pedigree, high levels of sperm storage and low levels of multiple paternity (94% of females 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 </w:t>
      </w:r>
      <w:r>
        <w:fldChar w:fldCharType="begin"/>
      </w:r>
      <w:r>
        <w: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fldChar w:fldCharType="separate"/>
      </w:r>
      <w:r w:rsidRPr="005C0FF3">
        <w:rPr>
          <w:rFonts w:cs="Times New Roman"/>
        </w:rPr>
        <w:t>(Bérénos et al., 2014; Huisman, 2017)</w:t>
      </w:r>
      <w:r>
        <w:fldChar w:fldCharType="end"/>
      </w:r>
      <w:r>
        <w:t xml:space="preserve">. Moreover, both relatedness and heritability values estimated from a GRM are strongly correlated to those inferred using a pedigree  </w:t>
      </w:r>
      <w:r>
        <w:fldChar w:fldCharType="begin"/>
      </w:r>
      <w:r>
        <w: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fldChar w:fldCharType="separate"/>
      </w:r>
      <w:r w:rsidRPr="005C0FF3">
        <w:rPr>
          <w:rFonts w:cs="Times New Roman"/>
        </w:rPr>
        <w:t>(Bérénos et al., 2014; Huisman, 2017)</w:t>
      </w:r>
      <w:r>
        <w:fldChar w:fldCharType="end"/>
      </w:r>
      <w:r>
        <w:t xml:space="preserve">. </w:t>
      </w:r>
    </w:p>
    <w:p w14:paraId="2EBFA159" w14:textId="77777777" w:rsidR="00496477" w:rsidRDefault="00496477" w:rsidP="00496477">
      <w:pPr>
        <w:ind w:firstLine="720"/>
        <w:jc w:val="both"/>
      </w:pPr>
      <w:r>
        <w:t xml:space="preserve">Prior to deriving our GRM, we filtered our SNPs </w:t>
      </w:r>
      <w:r>
        <w:rPr>
          <w:rFonts w:cs="Times New Roman"/>
        </w:rPr>
        <w:t xml:space="preserve">using the </w:t>
      </w:r>
      <w:r>
        <w:t xml:space="preserve">R package </w:t>
      </w:r>
      <w:r w:rsidRPr="00A85346">
        <w:rPr>
          <w:i/>
          <w:iCs/>
        </w:rPr>
        <w:t>dartR</w:t>
      </w:r>
      <w:r>
        <w:t xml:space="preserve"> </w:t>
      </w:r>
      <w:r>
        <w:fldChar w:fldCharType="begin"/>
      </w:r>
      <w:r>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Pr>
          <w:noProof/>
        </w:rPr>
        <w:t>(Gruber et al., 2018)</w:t>
      </w:r>
      <w:r>
        <w:fldChar w:fldCharType="end"/>
      </w:r>
      <w:r>
        <w:t xml:space="preserve">. Using the in-built functions of </w:t>
      </w:r>
      <w:r w:rsidRPr="00A85346">
        <w:rPr>
          <w:i/>
          <w:iCs/>
        </w:rPr>
        <w:t>dartR</w:t>
      </w:r>
      <w:r>
        <w:t xml:space="preserve">, we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ins w:id="0" w:author="Daniel Noble" w:date="2020-05-22T16:10:00Z">
        <w:r>
          <w:t>,</w:t>
        </w:r>
      </w:ins>
      <w:r w:rsidRPr="000E0867">
        <w:t xml:space="preserve">438 </w:t>
      </w:r>
      <w:r>
        <w:t xml:space="preserve">loci with an average call rate of 98.5% (see ESM and provided code). Using these 8,438 loci we derived a GRM, which describes the proportion of the genome that is identical by descent </w:t>
      </w:r>
      <w:r>
        <w:fldChar w:fldCharType="begin"/>
      </w:r>
      <w:r>
        <w: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instrText>
      </w:r>
      <w:r>
        <w:fldChar w:fldCharType="separate"/>
      </w:r>
      <w:r>
        <w:rPr>
          <w:noProof/>
        </w:rPr>
        <w:t>(VanRaden, 2008)</w:t>
      </w:r>
      <w:r>
        <w:fldChar w:fldCharType="end"/>
      </w:r>
      <w:r>
        <w:t xml:space="preserve">. We calculated a GRM for all hatchlings using the </w:t>
      </w:r>
      <w:r w:rsidRPr="00211263">
        <w:rPr>
          <w:i/>
          <w:iCs/>
        </w:rPr>
        <w:t>snpReady</w:t>
      </w:r>
      <w:r>
        <w:t xml:space="preserve"> R package </w:t>
      </w:r>
      <w:r>
        <w:fldChar w:fldCharType="begin"/>
      </w:r>
      <w:r>
        <w: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instrText>
      </w:r>
      <w:r>
        <w:fldChar w:fldCharType="separate"/>
      </w:r>
      <w:r>
        <w:rPr>
          <w:noProof/>
        </w:rPr>
        <w:t>(Granato et al., 2018)</w:t>
      </w:r>
      <w:r>
        <w:fldChar w:fldCharType="end"/>
      </w:r>
      <w:r>
        <w:t xml:space="preserve"> following methods described by VanRaden, 2008: </w:t>
      </w:r>
    </w:p>
    <w:p w14:paraId="089D9D71" w14:textId="77777777" w:rsidR="00496477" w:rsidRDefault="00496477" w:rsidP="00496477"/>
    <w:p w14:paraId="21AD9DD1" w14:textId="77777777" w:rsidR="00496477" w:rsidRDefault="00496477" w:rsidP="00496477">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496477"/>
    <w:p w14:paraId="473632E1" w14:textId="77777777" w:rsidR="00496477" w:rsidRDefault="00496477" w:rsidP="00496477">
      <w:r>
        <w:t xml:space="preserve">where </w:t>
      </w:r>
      <w:r>
        <w:rPr>
          <w:i/>
          <w:iCs/>
        </w:rPr>
        <w:t>Z</w:t>
      </w:r>
      <w:r>
        <w:t xml:space="preserve"> is the centered matrix of SNP genotypes of all individuals. This is calculated from a matrix of SNP genotypes coded as -1, 0, 1 for homozygote for the reference allele, heterozygote and homozygote for the SNP allele. </w:t>
      </w:r>
      <w:r w:rsidRPr="00C2499F">
        <w:rPr>
          <w:i/>
          <w:iCs/>
        </w:rPr>
        <w:t>p</w:t>
      </w:r>
      <w:r w:rsidRPr="00C2499F">
        <w:rPr>
          <w:i/>
          <w:iCs/>
          <w:vertAlign w:val="subscript"/>
        </w:rPr>
        <w:t>i</w:t>
      </w:r>
      <w:r>
        <w:rPr>
          <w:vertAlign w:val="subscript"/>
        </w:rPr>
        <w:t xml:space="preserve"> </w:t>
      </w:r>
      <w:r>
        <w:t xml:space="preserve">is the frequency of the second locus at position locus </w:t>
      </w:r>
      <w:r w:rsidRPr="00C2499F">
        <w:rPr>
          <w:i/>
          <w:iCs/>
        </w:rPr>
        <w:t>i</w:t>
      </w:r>
      <w:r>
        <w:rPr>
          <w:i/>
          <w:iCs/>
        </w:rPr>
        <w:t xml:space="preserve">. </w:t>
      </w:r>
      <w:r>
        <w:t xml:space="preserve">The denominator scales the GRM matrix so that the values approximates to a relatedness matrix derived from a pedigree. The GRM was then inverted for modelling fitting (see ESM and provided code). </w:t>
      </w:r>
    </w:p>
    <w:p w14:paraId="054AB822" w14:textId="77777777" w:rsidR="00496477" w:rsidRDefault="00496477" w:rsidP="00496477">
      <w:pPr>
        <w:pStyle w:val="Heading1"/>
      </w:pPr>
      <w:r>
        <w:t>Statistical Analyses</w:t>
      </w:r>
    </w:p>
    <w:p w14:paraId="1E86B464" w14:textId="77777777" w:rsidR="00496477" w:rsidRPr="0013470E" w:rsidRDefault="00496477" w:rsidP="00496477">
      <w:pPr>
        <w:pStyle w:val="BodyText"/>
        <w:ind w:firstLine="720"/>
      </w:pPr>
      <w:r>
        <w:t xml:space="preserve">All analyses were performed using </w:t>
      </w:r>
      <w:r w:rsidRPr="00263B39">
        <w:rPr>
          <w:i/>
          <w:iCs/>
        </w:rPr>
        <w:t>R</w:t>
      </w:r>
      <w:r>
        <w:t xml:space="preserve"> </w:t>
      </w:r>
      <w:r>
        <w:fldChar w:fldCharType="begin"/>
      </w:r>
      <w:r>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Austria","URL":"http://scholar.google.com/scholar?q=related:EKUA0tOF5fAJ:scholar.google.com/&amp;hl=en&amp;num=20&amp;as_sdt=0,5&amp;as_ylo=2013&amp;as_yhi=2013","author":[{"family":"Core Team","given":"R"}],"issued":{"date-parts":[["2013"]]}}}],"schema":"https://github.com/citation-style-language/schema/raw/master/csl-citation.json"} </w:instrText>
      </w:r>
      <w:r>
        <w:fldChar w:fldCharType="separate"/>
      </w:r>
      <w:r>
        <w:rPr>
          <w:noProof/>
        </w:rPr>
        <w:t>(Core Team, 2013)</w:t>
      </w:r>
      <w:r>
        <w:fldChar w:fldCharType="end"/>
      </w:r>
      <w:r>
        <w:t xml:space="preserve">. We checked the data for potential input errors using histograms, scatterplots and Cleveland plots. We fitted Bayesian linear mixed effects models (LMM) in </w:t>
      </w:r>
      <w:r w:rsidRPr="00913B82">
        <w:rPr>
          <w:i/>
          <w:iCs/>
        </w:rPr>
        <w:t>MCMCglmm</w:t>
      </w:r>
      <w:r>
        <w:t xml:space="preserve"> </w:t>
      </w:r>
      <w:r>
        <w:fldChar w:fldCharType="begin"/>
      </w:r>
      <w:r>
        <w:instrText xml:space="preserve"> ADDIN ZOTERO_ITEM CSL_CITATION {"citationID":"kaq9Hvn9","properties":{"formattedCitation":"(Hadfield, 2010)","plainCitation":"(Hadfield, 2010)","noteIndex":0},"citationItems":[{"id":1214,"uris":["http://zotero.org/users/1379426/items/CJPNHQDW"],"uri":["http://zotero.org/users/1379426/items/CJPNHQDW"],"itemData":{"id":1214,"type":"article-journal","abstract":"Generalized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C/C++ using the CSparse library for sparse linear systems.","container-title":"Journal of Statistical Software","issue":"2","page":"1–22","title":"MCMC methods for multi-response generalized linear mixed models: The MCMCglmm R package","volume":"33","author":[{"family":"Hadfield","given":"Jarrod D"}],"issued":{"date-parts":[["2010",6]]}}}],"schema":"https://github.com/citation-style-language/schema/raw/master/csl-citation.json"} </w:instrText>
      </w:r>
      <w:r>
        <w:fldChar w:fldCharType="separate"/>
      </w:r>
      <w:r>
        <w:rPr>
          <w:noProof/>
        </w:rPr>
        <w:t>(Hadfield, 2010)</w:t>
      </w:r>
      <w:r>
        <w:fldChar w:fldCharType="end"/>
      </w:r>
      <w:r>
        <w:t xml:space="preserve">. Mass was log-transformed, and age was z-transformed. Due to natural mortality, missing measurement occasions and equipment malfunctions, we were not able to get all 16 complete measurements across age for each lizard. In total, N = 165/261 lizards had missing data. As </w:t>
      </w:r>
      <w:r>
        <w:lastRenderedPageBreak/>
        <w:t xml:space="preserve">such, missing measurement occasions were assumed as NA and we used data augmentation with </w:t>
      </w:r>
      <w:r w:rsidRPr="005C36F1">
        <w:rPr>
          <w:i/>
          <w:iCs/>
        </w:rPr>
        <w:t>MCMCglmm</w:t>
      </w:r>
      <w:r>
        <w:t xml:space="preserve"> to deal with missing data (REFS). Data augmentation deals with missing data extremely well and can counter the loss of statistical power when using complete case </w:t>
      </w:r>
      <w:ins w:id="1" w:author="Daniel Noble" w:date="2020-06-14T13:45:00Z">
        <w:r>
          <w:t>approaches (</w:t>
        </w:r>
      </w:ins>
      <w:r>
        <w:t xml:space="preserve">REFS). For all models we used noninformative priors with 253,000 MCMC iterations with a burn in of 3000 and sampling the posterior every100 iterations. We ensured proper mixing by inspecting trace plots and checked samples were not strongly auto-correlated using the </w:t>
      </w:r>
      <w:r w:rsidRPr="00913B82">
        <w:rPr>
          <w:i/>
          <w:iCs/>
        </w:rPr>
        <w:t>autocorr</w:t>
      </w:r>
      <w:r>
        <w:t xml:space="preserve"> function from </w:t>
      </w:r>
      <w:r w:rsidRPr="00913B82">
        <w:rPr>
          <w:i/>
          <w:iCs/>
        </w:rPr>
        <w:t>coda</w:t>
      </w:r>
      <w:r>
        <w:t xml:space="preserve"> </w:t>
      </w:r>
      <w:r>
        <w:fldChar w:fldCharType="begin"/>
      </w:r>
      <w:r>
        <w:instrText xml:space="preserve"> ADDIN ZOTERO_ITEM CSL_CITATION {"citationID":"CBCvIb0T","properties":{"formattedCitation":"(Plummer et al., 2006)","plainCitation":"(Plummer et al., 2006)","noteIndex":0},"citationItems":[{"id":2788,"uris":["http://zotero.org/users/1379426/items/KJWJHQ48"],"uri":["http://zotero.org/users/1379426/items/KJWJHQ48"],"itemData":{"id":2788,"type":"article-journal","container-title":"R News","page":"7-11","title":"CODA: Convergence Diagnosis and Output Analysis for MCMC","volume":"6","author":[{"family":"Plummer","given":"Martyn"},{"family":"Best","given":"Nicky"},{"family":"Cowles","given":"Kate"},{"family":"Vines","given":"Karen"}],"issued":{"date-parts":[["2006"]]}}}],"schema":"https://github.com/citation-style-language/schema/raw/master/csl-citation.json"} </w:instrText>
      </w:r>
      <w:r>
        <w:fldChar w:fldCharType="separate"/>
      </w:r>
      <w:r>
        <w:rPr>
          <w:noProof/>
        </w:rPr>
        <w:t>(Plummer et al., 2006)</w:t>
      </w:r>
      <w:r>
        <w:fldChar w:fldCharType="end"/>
      </w:r>
      <w:r>
        <w:t>. We report posterior means and 95% credible intervals for all parameters throughout.</w:t>
      </w:r>
    </w:p>
    <w:p w14:paraId="30C3111C" w14:textId="77777777" w:rsidR="00496477" w:rsidRDefault="00496477" w:rsidP="00496477">
      <w:pPr>
        <w:pStyle w:val="Thesissubhead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77777777" w:rsidR="00496477" w:rsidRDefault="00496477" w:rsidP="00496477">
      <w:pPr>
        <w:ind w:firstLine="720"/>
      </w:pPr>
      <w:r>
        <w:t>First, we tested whether developmental temperature influenced the overall heritability of mass and the relative contributions of variance irrespective of age. To do this, we fitted intercept only models for each treatment group with random intercepts for additive genetic variance (</w:t>
      </w:r>
      <w:r w:rsidRPr="005C36F1">
        <w:rPr>
          <w:i/>
          <w:iCs/>
        </w:rPr>
        <w:t>G</w:t>
      </w:r>
      <w:r>
        <w:t>), maternal effects (</w:t>
      </w:r>
      <w:r w:rsidRPr="005C36F1">
        <w:rPr>
          <w:i/>
          <w:iCs/>
        </w:rPr>
        <w:t>M</w:t>
      </w:r>
      <w:r>
        <w:t>) and permanent environmental effects (</w:t>
      </w:r>
      <w:r>
        <w:rPr>
          <w:i/>
          <w:iCs/>
        </w:rPr>
        <w:t>PE</w:t>
      </w:r>
      <w:r>
        <w:t xml:space="preserve">) as we had repeated measures of the same individuals </w:t>
      </w:r>
      <w:r>
        <w:fldChar w:fldCharType="begin"/>
      </w:r>
      <w:r>
        <w: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 ale","given":"Denis"},{"family":"Clements","given":"Michelle N"},{"family":"Morrissey","given":"Michael M"},{"family":"Postma","given":"Erik"},{"family":"Walling","given":"Craig A"},{"family":"Kruuk","given":"Loeske E B"},{"family":"Nussey","given":"Daniel H"}],"issued":{"date-parts":[["2010",1]]}}}],"schema":"https://github.com/citation-style-language/schema/raw/master/csl-citation.json"} </w:instrText>
      </w:r>
      <w:r>
        <w:fldChar w:fldCharType="separate"/>
      </w:r>
      <w:r>
        <w:rPr>
          <w:noProof/>
        </w:rPr>
        <w:t>(Wilson et al., 2010)</w:t>
      </w:r>
      <w:r>
        <w:fldChar w:fldCharType="end"/>
      </w:r>
      <w:r>
        <w:t>. The model also estimated residual variance (</w:t>
      </w:r>
      <w:r w:rsidRPr="00B760A0">
        <w:rPr>
          <w:i/>
          <w:iCs/>
        </w:rPr>
        <w:t>R</w:t>
      </w:r>
      <w:r>
        <w:t>). Overall. Heritability (</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496477" w:rsidP="00496477">
      <w:pPr>
        <w:pStyle w:val="BodyText"/>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35844753" w14:textId="77777777" w:rsidR="00496477" w:rsidRDefault="00496477" w:rsidP="00496477">
      <w:r>
        <w:t xml:space="preserve">To then test how </w:t>
      </w:r>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how the </w:t>
      </w:r>
      <w:r w:rsidRPr="003702C6">
        <w:t>variance</w:t>
      </w:r>
      <w:r w:rsidRPr="008778D7">
        <w:t xml:space="preserve"> </w:t>
      </w:r>
      <w:r w:rsidRPr="003702C6">
        <w:t>components</w:t>
      </w:r>
      <w:r w:rsidRPr="008778D7">
        <w:t xml:space="preserve"> </w:t>
      </w:r>
      <w:r>
        <w:t xml:space="preserve">change with age. We fitted six intercept only models with varying complexity in their random effects and compared their DIC values (Table S1). We fitted random intercepts and random slopes by including either a linear age term or both linear and quadratic age terms to partition variance across age. The best supported model included a random linear and quadratic slope for </w:t>
      </w:r>
      <w:r w:rsidRPr="002C556A">
        <w:rPr>
          <w:i/>
          <w:iCs/>
        </w:rPr>
        <w:t>G</w:t>
      </w:r>
      <w:r>
        <w:t xml:space="preserve"> and </w:t>
      </w:r>
      <w:r w:rsidRPr="005C36F1">
        <w:rPr>
          <w:i/>
          <w:iCs/>
        </w:rPr>
        <w:t>M</w:t>
      </w:r>
      <w:r>
        <w:t xml:space="preserve"> and a random intercept for </w:t>
      </w:r>
      <w:r>
        <w:rPr>
          <w:i/>
          <w:iCs/>
        </w:rPr>
        <w:t>PE</w:t>
      </w:r>
      <w:r>
        <w:t xml:space="preserve">. (Table S1). </w:t>
      </w:r>
    </w:p>
    <w:p w14:paraId="2EB11298" w14:textId="77777777" w:rsidR="00496477" w:rsidRDefault="00496477" w:rsidP="00496477">
      <w:pPr>
        <w:ind w:firstLine="720"/>
      </w:pPr>
      <w:r>
        <w:t>We therefore fitted an intercept only model using this random effect structure for each treatment group. We estimated a genetic variance-covariance matrix for each treatment (</w:t>
      </w:r>
      <m:oMath>
        <m:r>
          <w:rPr>
            <w:rFonts w:ascii="Cambria Math" w:hAnsi="Cambria Math"/>
          </w:rPr>
          <m:t>G</m:t>
        </m:r>
      </m:oMath>
      <w:r>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t xml:space="preserve"> is the additive genetic variance between the intercept and the quadratic slope.</w:t>
      </w:r>
    </w:p>
    <w:p w14:paraId="5A232A15" w14:textId="77777777" w:rsidR="00496477" w:rsidRDefault="00496477" w:rsidP="00496477">
      <w:pPr>
        <w:pStyle w:val="BodyText"/>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496477">
      <w:pPr>
        <w:pStyle w:val="FirstParagraph"/>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496477">
      <w:pPr>
        <w:pStyle w:val="BodyText"/>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77777777" w:rsidR="00496477" w:rsidRDefault="00496477" w:rsidP="00496477">
      <w:pPr>
        <w:pStyle w:val="FirstParagraph"/>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as follows,</w:t>
      </w:r>
    </w:p>
    <w:p w14:paraId="58928F25" w14:textId="77777777" w:rsidR="00496477" w:rsidRDefault="00496477" w:rsidP="00496477">
      <w:pPr>
        <w:pStyle w:val="BodyText"/>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m:oMath>
      </m:oMathPara>
    </w:p>
    <w:p w14:paraId="098A701C" w14:textId="77777777" w:rsidR="00496477" w:rsidRDefault="00496477" w:rsidP="00496477">
      <w:pPr>
        <w:pStyle w:val="FirstParagraph"/>
      </w:pPr>
      <w:r>
        <w:lastRenderedPageBreak/>
        <w:t xml:space="preserve">where </w:t>
      </w:r>
      <m:oMath>
        <m:r>
          <w:rPr>
            <w:rFonts w:ascii="Cambria Math" w:hAnsi="Cambria Math"/>
          </w:rPr>
          <m:t>x</m:t>
        </m:r>
      </m:oMath>
      <w:r>
        <w:t xml:space="preserve"> is a specific age. 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structure but with the relevant variance components from </w:t>
      </w:r>
      <m:oMath>
        <m:r>
          <w:rPr>
            <w:rFonts w:ascii="Cambria Math" w:hAnsi="Cambria Math"/>
          </w:rPr>
          <m:t>M</m:t>
        </m:r>
      </m:oMath>
      <w:r>
        <w:t xml:space="preserve">. Age-specific heritability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496477" w:rsidP="00496477">
      <w:pPr>
        <w:pStyle w:val="BodyText"/>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37D08EA3" w14:textId="77777777" w:rsidR="00496477" w:rsidRDefault="00496477" w:rsidP="00496477">
      <w:pPr>
        <w:pStyle w:val="Thesissubheading"/>
      </w:pPr>
      <w:r>
        <w:t>The Influence of Developmental Temperature on</w:t>
      </w:r>
      <w:r w:rsidRPr="002A54B3">
        <w:t xml:space="preserve"> </w:t>
      </w:r>
      <w:r>
        <w:t>G</w:t>
      </w:r>
      <w:r w:rsidRPr="002A54B3">
        <w:t xml:space="preserve">rowth </w:t>
      </w:r>
      <w:r>
        <w:t>Trajectories</w:t>
      </w:r>
    </w:p>
    <w:p w14:paraId="56FCD57C" w14:textId="77777777" w:rsidR="00496477" w:rsidRPr="0013470E" w:rsidRDefault="00496477" w:rsidP="00496477">
      <w:pPr>
        <w:ind w:firstLine="720"/>
      </w:pPr>
      <w:r>
        <w:t>We fitted three models that varied in their fixed effect structure</w:t>
      </w:r>
      <w:r w:rsidRPr="00150361">
        <w:t xml:space="preserve"> </w:t>
      </w:r>
      <w:r>
        <w:t>t</w:t>
      </w:r>
      <w:r w:rsidRPr="00F23043">
        <w:t>o determine how</w:t>
      </w:r>
      <w:r>
        <w:t xml:space="preserve"> developmental temperatures affect 1) initial mass (intercept of curve), 2) linear rate of growth (linear slope) and 3) curvature of the growth tracjetory (quadratic term). We also wanted to test for treatment differences in age at which lizards reach their maximum mass (maxima of quadratic curve). We fitted mass as the response and the most supported random effect structure we identified above. The first model included the main effect of developmental temperature and the linear and quadratic term for age (Table S2). The other two models differed in their interaction terms between developmental temperature with age and age</w:t>
      </w:r>
      <w:r w:rsidRPr="00146C86">
        <w:rPr>
          <w:vertAlign w:val="superscript"/>
        </w:rPr>
        <w:t>2</w:t>
      </w:r>
      <w:r>
        <w:rPr>
          <w:vertAlign w:val="superscript"/>
        </w:rPr>
        <w:t xml:space="preserve"> </w:t>
      </w:r>
      <w:r>
        <w:t xml:space="preserve">(Table 2, S3). We then compared DIC values to select the best model for our data that explained changes in mass across age between the two developmental temperature treatments (Table 1). </w:t>
      </w:r>
    </w:p>
    <w:p w14:paraId="3C96E0D2" w14:textId="77777777" w:rsidR="00496477" w:rsidRDefault="00496477" w:rsidP="00496477">
      <w:pPr>
        <w:pStyle w:val="Heading1"/>
      </w:pPr>
      <w:r>
        <w:t>Results</w:t>
      </w:r>
    </w:p>
    <w:p w14:paraId="033BABEA" w14:textId="77777777" w:rsidR="00496477" w:rsidRPr="009C520A" w:rsidRDefault="00496477" w:rsidP="00496477">
      <w:pPr>
        <w:pStyle w:val="FirstParagraph"/>
        <w:ind w:firstLine="720"/>
      </w:pPr>
      <w:r>
        <w:t>Over two years, we collected 3002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The average age for ‘hot’ incubated lizards was 335.82 days (range: 0 – 711) and for ‘cold’ incubated lizards it was 384.8 days (range: 0 – 707). On average, a lizard had 11.5 measurements.</w:t>
      </w:r>
    </w:p>
    <w:p w14:paraId="233ED865" w14:textId="77777777" w:rsidR="00496477" w:rsidRDefault="00496477" w:rsidP="00496477">
      <w:pPr>
        <w:pStyle w:val="Thesissubheading"/>
      </w:pPr>
      <w:r>
        <w:t>Developmental plasticity in growth trajectories in response to temperature</w:t>
      </w:r>
    </w:p>
    <w:p w14:paraId="3D0070DD" w14:textId="77777777" w:rsidR="00496477" w:rsidRPr="00C2318B" w:rsidRDefault="00496477" w:rsidP="00496477">
      <w:pPr>
        <w:ind w:firstLine="720"/>
      </w:pPr>
      <w:r>
        <w:t>While a model containing an interaction between treatment and age (linear and quadratic) was best supported (Table 1; see also Table S2–3) the improvement was marginal, given DIC has a tendency to favour slightly more complex models (REFS).</w:t>
      </w:r>
      <w:ins w:id="2" w:author="Daniel Noble" w:date="2020-06-14T14:50:00Z">
        <w:r>
          <w:t xml:space="preserve"> </w:t>
        </w:r>
      </w:ins>
      <w:r>
        <w:t>Linear growth rate and curvature of the growth trajectory did not differ significantly between the two developmental temperature treatments (Table 2, Table S3). Irrespective of treatment, a lizard mass increased by 1.65g for every SD units increase in age. Developmental temperature did however impact initial mass (Table 2, Fig. 1). Lizards from the ‘cold’ treatment were on average 0.030 g (0.018g – 0.041g) heavier compared to lizards from the ‘hot’ treatment (Table. 2).</w:t>
      </w:r>
      <w:ins w:id="3" w:author="Daniel Noble" w:date="2020-06-14T14:54:00Z">
        <w:r>
          <w:t xml:space="preserve"> </w:t>
        </w:r>
      </w:ins>
      <w:r>
        <w:t xml:space="preserve">Larger initial masses meant that lizards from the ‘cold’ treatment reached their maximum mass slightly earlier (378.53 days, 95% CI: 353.4 – 407.16) compared to lizards from ‘hot’ treatment (408.1 days, 95% CI: 374.73 – 448.26). The population </w:t>
      </w:r>
      <w:r>
        <w:rPr>
          <w:i/>
          <w:iCs/>
        </w:rPr>
        <w:t xml:space="preserve">G </w:t>
      </w:r>
      <w:r>
        <w:t xml:space="preserve">and </w:t>
      </w:r>
      <w:r>
        <w:rPr>
          <w:i/>
          <w:iCs/>
        </w:rPr>
        <w:t>M</w:t>
      </w:r>
      <w:r>
        <w:t xml:space="preserve"> matrices and other variance components are presented in Table S4.</w:t>
      </w:r>
    </w:p>
    <w:p w14:paraId="54F6946B" w14:textId="77777777" w:rsidR="00496477" w:rsidRDefault="00496477" w:rsidP="00496477">
      <w:pPr>
        <w:ind w:firstLine="720"/>
      </w:pPr>
    </w:p>
    <w:p w14:paraId="12A8A750" w14:textId="77777777" w:rsidR="00496477" w:rsidRDefault="00496477" w:rsidP="00496477">
      <w:pPr>
        <w:pStyle w:val="BodyText"/>
      </w:pPr>
      <w:r w:rsidRPr="00EA169D">
        <w:rPr>
          <w:b/>
          <w:bCs/>
        </w:rPr>
        <w:t>Table 1</w:t>
      </w:r>
      <w:r>
        <w:t xml:space="preserve"> Comparisons of DIC of three models with different combinations of treatment interactions with age parameters.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w:t>
      </w:r>
      <w:r w:rsidRPr="00674F7B">
        <w:t>3</w:t>
      </w:r>
      <w:r>
        <w:t>98</w:t>
      </w:r>
      <w:r w:rsidRPr="00674F7B">
        <w:t>2</w:t>
      </w:r>
    </w:p>
    <w:tbl>
      <w:tblPr>
        <w:tblStyle w:val="Table"/>
        <w:tblW w:w="5000" w:type="pct"/>
        <w:tblLook w:val="07E0" w:firstRow="1" w:lastRow="1" w:firstColumn="1" w:lastColumn="1" w:noHBand="1" w:noVBand="1"/>
      </w:tblPr>
      <w:tblGrid>
        <w:gridCol w:w="5814"/>
        <w:gridCol w:w="1887"/>
        <w:gridCol w:w="1319"/>
      </w:tblGrid>
      <w:tr w:rsidR="00496477" w14:paraId="2DE13E1C" w14:textId="77777777" w:rsidTr="009E75CE">
        <w:tc>
          <w:tcPr>
            <w:tcW w:w="0" w:type="auto"/>
            <w:tcBorders>
              <w:bottom w:val="single" w:sz="0" w:space="0" w:color="auto"/>
            </w:tcBorders>
            <w:vAlign w:val="bottom"/>
          </w:tcPr>
          <w:p w14:paraId="6B2764C1" w14:textId="77777777" w:rsidR="00496477" w:rsidRDefault="00496477" w:rsidP="009E75CE">
            <w:pPr>
              <w:pStyle w:val="Compact"/>
            </w:pPr>
            <w:r>
              <w:t>Formula</w:t>
            </w:r>
          </w:p>
        </w:tc>
        <w:tc>
          <w:tcPr>
            <w:tcW w:w="0" w:type="auto"/>
            <w:tcBorders>
              <w:bottom w:val="single" w:sz="0" w:space="0" w:color="auto"/>
            </w:tcBorders>
            <w:vAlign w:val="bottom"/>
          </w:tcPr>
          <w:p w14:paraId="61511EE5" w14:textId="77777777" w:rsidR="00496477" w:rsidRDefault="00496477" w:rsidP="009E75CE">
            <w:pPr>
              <w:pStyle w:val="Compact"/>
              <w:jc w:val="center"/>
            </w:pPr>
            <w:r>
              <w:t>DIC</w:t>
            </w:r>
          </w:p>
        </w:tc>
        <w:tc>
          <w:tcPr>
            <w:tcW w:w="0" w:type="auto"/>
            <w:tcBorders>
              <w:bottom w:val="single" w:sz="0" w:space="0" w:color="auto"/>
            </w:tcBorders>
            <w:vAlign w:val="bottom"/>
          </w:tcPr>
          <w:p w14:paraId="001B2EDB" w14:textId="77777777" w:rsidR="00496477" w:rsidRDefault="00496477" w:rsidP="009E75CE">
            <w:pPr>
              <w:pStyle w:val="Compact"/>
              <w:jc w:val="center"/>
            </w:pPr>
            <m:oMath>
              <m:r>
                <w:rPr>
                  <w:rFonts w:ascii="Cambria Math" w:hAnsi="Cambria Math"/>
                </w:rPr>
                <m:t>∆</m:t>
              </m:r>
            </m:oMath>
            <w:r>
              <w:t>DIC</w:t>
            </w:r>
          </w:p>
        </w:tc>
      </w:tr>
      <w:tr w:rsidR="00496477" w14:paraId="3628092F" w14:textId="77777777" w:rsidTr="009E75CE">
        <w:tc>
          <w:tcPr>
            <w:tcW w:w="0" w:type="auto"/>
          </w:tcPr>
          <w:p w14:paraId="351874A4" w14:textId="77777777" w:rsidR="00496477" w:rsidRDefault="00496477" w:rsidP="009E75CE">
            <w:pPr>
              <w:pStyle w:val="Compact"/>
            </w:pPr>
            <w:r>
              <w:t>Treatment * Age + Treatment*Age</w:t>
            </w:r>
            <w:r>
              <w:rPr>
                <w:vertAlign w:val="superscript"/>
              </w:rPr>
              <w:t>2</w:t>
            </w:r>
          </w:p>
        </w:tc>
        <w:tc>
          <w:tcPr>
            <w:tcW w:w="0" w:type="auto"/>
          </w:tcPr>
          <w:p w14:paraId="063F8FD9" w14:textId="77777777" w:rsidR="00496477" w:rsidRDefault="00496477" w:rsidP="009E75CE">
            <w:pPr>
              <w:pStyle w:val="Compact"/>
              <w:jc w:val="center"/>
            </w:pPr>
            <w:r>
              <w:t>-3332.981</w:t>
            </w:r>
          </w:p>
        </w:tc>
        <w:tc>
          <w:tcPr>
            <w:tcW w:w="0" w:type="auto"/>
          </w:tcPr>
          <w:p w14:paraId="4F7E2A42" w14:textId="77777777" w:rsidR="00496477" w:rsidRDefault="00496477" w:rsidP="009E75CE">
            <w:pPr>
              <w:pStyle w:val="Compact"/>
              <w:jc w:val="center"/>
            </w:pPr>
            <w:r>
              <w:t>0</w:t>
            </w:r>
          </w:p>
        </w:tc>
      </w:tr>
      <w:tr w:rsidR="00496477" w14:paraId="26126874" w14:textId="77777777" w:rsidTr="009E75CE">
        <w:tc>
          <w:tcPr>
            <w:tcW w:w="0" w:type="auto"/>
          </w:tcPr>
          <w:p w14:paraId="38F5166F" w14:textId="77777777" w:rsidR="00496477" w:rsidRDefault="00496477" w:rsidP="009E75CE">
            <w:pPr>
              <w:pStyle w:val="Compact"/>
            </w:pPr>
            <w:r>
              <w:t>Treatment * Age + Age</w:t>
            </w:r>
            <w:r>
              <w:rPr>
                <w:vertAlign w:val="superscript"/>
              </w:rPr>
              <w:t>2</w:t>
            </w:r>
          </w:p>
        </w:tc>
        <w:tc>
          <w:tcPr>
            <w:tcW w:w="0" w:type="auto"/>
          </w:tcPr>
          <w:p w14:paraId="2D6A694E" w14:textId="77777777" w:rsidR="00496477" w:rsidRDefault="00496477" w:rsidP="009E75CE">
            <w:pPr>
              <w:pStyle w:val="Compact"/>
              <w:jc w:val="center"/>
            </w:pPr>
            <w:r>
              <w:t>-3329.495</w:t>
            </w:r>
          </w:p>
        </w:tc>
        <w:tc>
          <w:tcPr>
            <w:tcW w:w="0" w:type="auto"/>
          </w:tcPr>
          <w:p w14:paraId="6656AC07" w14:textId="77777777" w:rsidR="00496477" w:rsidRDefault="00496477" w:rsidP="009E75CE">
            <w:pPr>
              <w:pStyle w:val="Compact"/>
              <w:jc w:val="center"/>
            </w:pPr>
            <w:r w:rsidRPr="006C3B72">
              <w:t>-3.486</w:t>
            </w:r>
          </w:p>
        </w:tc>
      </w:tr>
      <w:tr w:rsidR="00496477" w14:paraId="61103398" w14:textId="77777777" w:rsidTr="009E75CE">
        <w:tc>
          <w:tcPr>
            <w:tcW w:w="0" w:type="auto"/>
          </w:tcPr>
          <w:p w14:paraId="2B3DF0CD" w14:textId="77777777" w:rsidR="00496477" w:rsidRDefault="00496477" w:rsidP="009E75CE">
            <w:pPr>
              <w:pStyle w:val="Compact"/>
            </w:pPr>
            <w:r>
              <w:t>Treatment + Age + Age</w:t>
            </w:r>
            <w:r>
              <w:rPr>
                <w:vertAlign w:val="superscript"/>
              </w:rPr>
              <w:t>2</w:t>
            </w:r>
          </w:p>
        </w:tc>
        <w:tc>
          <w:tcPr>
            <w:tcW w:w="0" w:type="auto"/>
          </w:tcPr>
          <w:p w14:paraId="024BA6F8" w14:textId="77777777" w:rsidR="00496477" w:rsidRDefault="00496477" w:rsidP="009E75CE">
            <w:pPr>
              <w:pStyle w:val="Compact"/>
              <w:jc w:val="center"/>
            </w:pPr>
            <w:r>
              <w:t>-3329.845</w:t>
            </w:r>
          </w:p>
        </w:tc>
        <w:tc>
          <w:tcPr>
            <w:tcW w:w="0" w:type="auto"/>
          </w:tcPr>
          <w:p w14:paraId="2B5117F1" w14:textId="77777777" w:rsidR="00496477" w:rsidRDefault="00496477" w:rsidP="009E75CE">
            <w:pPr>
              <w:pStyle w:val="Compact"/>
              <w:jc w:val="center"/>
            </w:pPr>
            <w:r w:rsidRPr="006C3B72">
              <w:t>-3.136</w:t>
            </w:r>
          </w:p>
        </w:tc>
      </w:tr>
    </w:tbl>
    <w:p w14:paraId="45984428" w14:textId="77777777" w:rsidR="00496477" w:rsidRDefault="00496477" w:rsidP="00496477"/>
    <w:p w14:paraId="7D7B889F" w14:textId="77777777" w:rsidR="00496477" w:rsidRDefault="00496477" w:rsidP="00496477">
      <w:pPr>
        <w:pStyle w:val="BodyText"/>
      </w:pPr>
      <w:r w:rsidRPr="00EA169D">
        <w:rPr>
          <w:b/>
          <w:bCs/>
        </w:rPr>
        <w:t>Table 2</w:t>
      </w:r>
      <w:r>
        <w:t xml:space="preserve"> Coefficient estimates from full model testing the effects of developmental treatment on mass and how mass changes with age. Bolded estimates are significantly different from zero. * indicates that value is above zero prior to rounding.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w:t>
      </w:r>
      <w:r w:rsidRPr="00674F7B">
        <w:t>3</w:t>
      </w:r>
      <w:r>
        <w:t>98</w:t>
      </w:r>
      <w:r w:rsidRPr="00674F7B">
        <w:t>2</w:t>
      </w:r>
    </w:p>
    <w:tbl>
      <w:tblPr>
        <w:tblStyle w:val="Table"/>
        <w:tblpPr w:leftFromText="180" w:rightFromText="180" w:vertAnchor="text" w:horzAnchor="margin" w:tblpY="-22"/>
        <w:tblW w:w="5000" w:type="pct"/>
        <w:tblLook w:val="07E0" w:firstRow="1" w:lastRow="1" w:firstColumn="1" w:lastColumn="1" w:noHBand="1" w:noVBand="1"/>
      </w:tblPr>
      <w:tblGrid>
        <w:gridCol w:w="5150"/>
        <w:gridCol w:w="1494"/>
        <w:gridCol w:w="1194"/>
        <w:gridCol w:w="1182"/>
      </w:tblGrid>
      <w:tr w:rsidR="00496477" w14:paraId="276B9BA2" w14:textId="77777777" w:rsidTr="009E75CE">
        <w:tc>
          <w:tcPr>
            <w:tcW w:w="2855" w:type="pct"/>
            <w:tcBorders>
              <w:bottom w:val="single" w:sz="0" w:space="0" w:color="auto"/>
            </w:tcBorders>
            <w:vAlign w:val="bottom"/>
          </w:tcPr>
          <w:p w14:paraId="073530A7" w14:textId="77777777" w:rsidR="00496477" w:rsidRDefault="00496477" w:rsidP="009E75CE">
            <w:pPr>
              <w:pStyle w:val="Compact"/>
            </w:pPr>
            <w:r>
              <w:t>Variable</w:t>
            </w:r>
          </w:p>
        </w:tc>
        <w:tc>
          <w:tcPr>
            <w:tcW w:w="828" w:type="pct"/>
            <w:tcBorders>
              <w:bottom w:val="single" w:sz="0" w:space="0" w:color="auto"/>
            </w:tcBorders>
            <w:vAlign w:val="bottom"/>
          </w:tcPr>
          <w:p w14:paraId="1E9837EF" w14:textId="77777777" w:rsidR="00496477" w:rsidRDefault="00496477" w:rsidP="009E75CE">
            <w:pPr>
              <w:pStyle w:val="Compact"/>
              <w:jc w:val="center"/>
            </w:pPr>
            <w:r>
              <w:t>Estimate</w:t>
            </w:r>
          </w:p>
        </w:tc>
        <w:tc>
          <w:tcPr>
            <w:tcW w:w="662" w:type="pct"/>
            <w:tcBorders>
              <w:bottom w:val="single" w:sz="0" w:space="0" w:color="auto"/>
            </w:tcBorders>
            <w:vAlign w:val="bottom"/>
          </w:tcPr>
          <w:p w14:paraId="50A68751" w14:textId="77777777" w:rsidR="00496477" w:rsidRDefault="00496477" w:rsidP="009E75CE">
            <w:pPr>
              <w:pStyle w:val="Compact"/>
              <w:jc w:val="center"/>
            </w:pPr>
            <w:r>
              <w:t>Lower</w:t>
            </w:r>
          </w:p>
        </w:tc>
        <w:tc>
          <w:tcPr>
            <w:tcW w:w="655" w:type="pct"/>
            <w:tcBorders>
              <w:bottom w:val="single" w:sz="0" w:space="0" w:color="auto"/>
            </w:tcBorders>
            <w:vAlign w:val="bottom"/>
          </w:tcPr>
          <w:p w14:paraId="1FA210CF" w14:textId="77777777" w:rsidR="00496477" w:rsidRDefault="00496477" w:rsidP="009E75CE">
            <w:pPr>
              <w:pStyle w:val="Compact"/>
              <w:jc w:val="center"/>
            </w:pPr>
            <w:r>
              <w:t>Upper</w:t>
            </w:r>
          </w:p>
        </w:tc>
      </w:tr>
      <w:tr w:rsidR="00496477" w:rsidRPr="006073E2" w14:paraId="33EEBF80" w14:textId="77777777" w:rsidTr="009E75CE">
        <w:tc>
          <w:tcPr>
            <w:tcW w:w="2855" w:type="pct"/>
          </w:tcPr>
          <w:p w14:paraId="663E65CC" w14:textId="77777777" w:rsidR="00496477" w:rsidRDefault="00496477" w:rsidP="009E75CE">
            <w:pPr>
              <w:pStyle w:val="Compact"/>
            </w:pPr>
            <w:r>
              <w:t>Intercept</w:t>
            </w:r>
          </w:p>
        </w:tc>
        <w:tc>
          <w:tcPr>
            <w:tcW w:w="828" w:type="pct"/>
          </w:tcPr>
          <w:p w14:paraId="02D43C0C" w14:textId="77777777" w:rsidR="00496477" w:rsidRPr="006073E2" w:rsidRDefault="00496477" w:rsidP="009E75CE">
            <w:pPr>
              <w:pStyle w:val="Compact"/>
              <w:jc w:val="center"/>
              <w:rPr>
                <w:b/>
                <w:bCs/>
              </w:rPr>
            </w:pPr>
            <w:r w:rsidRPr="006073E2">
              <w:rPr>
                <w:b/>
                <w:bCs/>
              </w:rPr>
              <w:t>-0.987</w:t>
            </w:r>
          </w:p>
        </w:tc>
        <w:tc>
          <w:tcPr>
            <w:tcW w:w="662" w:type="pct"/>
          </w:tcPr>
          <w:p w14:paraId="23105248" w14:textId="77777777" w:rsidR="00496477" w:rsidRPr="006073E2" w:rsidRDefault="00496477" w:rsidP="009E75CE">
            <w:pPr>
              <w:pStyle w:val="Compact"/>
              <w:jc w:val="center"/>
              <w:rPr>
                <w:b/>
                <w:bCs/>
              </w:rPr>
            </w:pPr>
            <w:r w:rsidRPr="006073E2">
              <w:rPr>
                <w:b/>
                <w:bCs/>
              </w:rPr>
              <w:t>-1.008</w:t>
            </w:r>
          </w:p>
        </w:tc>
        <w:tc>
          <w:tcPr>
            <w:tcW w:w="655" w:type="pct"/>
          </w:tcPr>
          <w:p w14:paraId="4431574B" w14:textId="77777777" w:rsidR="00496477" w:rsidRPr="006073E2" w:rsidRDefault="00496477" w:rsidP="009E75CE">
            <w:pPr>
              <w:pStyle w:val="Compact"/>
              <w:jc w:val="center"/>
              <w:rPr>
                <w:b/>
                <w:bCs/>
              </w:rPr>
            </w:pPr>
            <w:r w:rsidRPr="006073E2">
              <w:rPr>
                <w:b/>
                <w:bCs/>
              </w:rPr>
              <w:t>-0.965</w:t>
            </w:r>
          </w:p>
        </w:tc>
      </w:tr>
      <w:tr w:rsidR="00496477" w14:paraId="7C93C3C5" w14:textId="77777777" w:rsidTr="009E75CE">
        <w:tc>
          <w:tcPr>
            <w:tcW w:w="2855" w:type="pct"/>
          </w:tcPr>
          <w:p w14:paraId="69355083" w14:textId="77777777" w:rsidR="00496477" w:rsidRDefault="00496477" w:rsidP="009E75CE">
            <w:pPr>
              <w:pStyle w:val="Compact"/>
            </w:pPr>
            <w:r>
              <w:t>Treatment</w:t>
            </w:r>
          </w:p>
        </w:tc>
        <w:tc>
          <w:tcPr>
            <w:tcW w:w="828" w:type="pct"/>
          </w:tcPr>
          <w:p w14:paraId="3D5EA894" w14:textId="77777777" w:rsidR="00496477" w:rsidRPr="006073E2" w:rsidRDefault="00496477" w:rsidP="009E75CE">
            <w:pPr>
              <w:pStyle w:val="Compact"/>
              <w:jc w:val="center"/>
              <w:rPr>
                <w:b/>
                <w:bCs/>
              </w:rPr>
            </w:pPr>
            <w:r w:rsidRPr="006073E2">
              <w:rPr>
                <w:b/>
                <w:bCs/>
              </w:rPr>
              <w:t>-0.083</w:t>
            </w:r>
          </w:p>
        </w:tc>
        <w:tc>
          <w:tcPr>
            <w:tcW w:w="662" w:type="pct"/>
          </w:tcPr>
          <w:p w14:paraId="7375FA52" w14:textId="77777777" w:rsidR="00496477" w:rsidRPr="006073E2" w:rsidRDefault="00496477" w:rsidP="009E75CE">
            <w:pPr>
              <w:pStyle w:val="Compact"/>
              <w:jc w:val="center"/>
              <w:rPr>
                <w:b/>
                <w:bCs/>
              </w:rPr>
            </w:pPr>
            <w:r w:rsidRPr="006073E2">
              <w:rPr>
                <w:b/>
                <w:bCs/>
              </w:rPr>
              <w:t>-0.115</w:t>
            </w:r>
          </w:p>
        </w:tc>
        <w:tc>
          <w:tcPr>
            <w:tcW w:w="655" w:type="pct"/>
          </w:tcPr>
          <w:p w14:paraId="101123B6" w14:textId="77777777" w:rsidR="00496477" w:rsidRPr="006073E2" w:rsidRDefault="00496477" w:rsidP="009E75CE">
            <w:pPr>
              <w:pStyle w:val="Compact"/>
              <w:jc w:val="center"/>
              <w:rPr>
                <w:b/>
                <w:bCs/>
              </w:rPr>
            </w:pPr>
            <w:r w:rsidRPr="006073E2">
              <w:rPr>
                <w:b/>
                <w:bCs/>
              </w:rPr>
              <w:t>-0.051</w:t>
            </w:r>
          </w:p>
        </w:tc>
      </w:tr>
      <w:tr w:rsidR="00496477" w14:paraId="33F19A2E" w14:textId="77777777" w:rsidTr="009E75CE">
        <w:tc>
          <w:tcPr>
            <w:tcW w:w="2855" w:type="pct"/>
          </w:tcPr>
          <w:p w14:paraId="4BCA67C8" w14:textId="77777777" w:rsidR="00496477" w:rsidRDefault="00496477" w:rsidP="009E75CE">
            <w:pPr>
              <w:pStyle w:val="Compact"/>
            </w:pPr>
            <w:r>
              <w:t>Age</w:t>
            </w:r>
          </w:p>
        </w:tc>
        <w:tc>
          <w:tcPr>
            <w:tcW w:w="828" w:type="pct"/>
          </w:tcPr>
          <w:p w14:paraId="2EFC5061" w14:textId="77777777" w:rsidR="00496477" w:rsidRPr="006073E2" w:rsidRDefault="00496477" w:rsidP="009E75CE">
            <w:pPr>
              <w:pStyle w:val="Compact"/>
              <w:jc w:val="center"/>
              <w:rPr>
                <w:b/>
                <w:bCs/>
              </w:rPr>
            </w:pPr>
            <w:r w:rsidRPr="006073E2">
              <w:rPr>
                <w:b/>
                <w:bCs/>
              </w:rPr>
              <w:t>0.501</w:t>
            </w:r>
          </w:p>
        </w:tc>
        <w:tc>
          <w:tcPr>
            <w:tcW w:w="662" w:type="pct"/>
          </w:tcPr>
          <w:p w14:paraId="20A46238" w14:textId="77777777" w:rsidR="00496477" w:rsidRPr="006073E2" w:rsidRDefault="00496477" w:rsidP="009E75CE">
            <w:pPr>
              <w:pStyle w:val="Compact"/>
              <w:jc w:val="center"/>
              <w:rPr>
                <w:b/>
                <w:bCs/>
              </w:rPr>
            </w:pPr>
            <w:r w:rsidRPr="006073E2">
              <w:rPr>
                <w:b/>
                <w:bCs/>
              </w:rPr>
              <w:t>0.476</w:t>
            </w:r>
          </w:p>
        </w:tc>
        <w:tc>
          <w:tcPr>
            <w:tcW w:w="655" w:type="pct"/>
          </w:tcPr>
          <w:p w14:paraId="5D58D509" w14:textId="77777777" w:rsidR="00496477" w:rsidRPr="006073E2" w:rsidRDefault="00496477" w:rsidP="009E75CE">
            <w:pPr>
              <w:pStyle w:val="Compact"/>
              <w:jc w:val="center"/>
              <w:rPr>
                <w:b/>
                <w:bCs/>
              </w:rPr>
            </w:pPr>
            <w:r w:rsidRPr="006073E2">
              <w:rPr>
                <w:b/>
                <w:bCs/>
              </w:rPr>
              <w:t>0.526</w:t>
            </w:r>
          </w:p>
        </w:tc>
      </w:tr>
      <w:tr w:rsidR="00496477" w14:paraId="0C29CE5A" w14:textId="77777777" w:rsidTr="009E75CE">
        <w:tc>
          <w:tcPr>
            <w:tcW w:w="2855" w:type="pct"/>
          </w:tcPr>
          <w:p w14:paraId="56B49D5E" w14:textId="77777777" w:rsidR="00496477" w:rsidRDefault="00496477" w:rsidP="009E75CE">
            <w:pPr>
              <w:pStyle w:val="Compact"/>
            </w:pPr>
            <w:r>
              <w:t>Age</w:t>
            </w:r>
            <w:r>
              <w:rPr>
                <w:vertAlign w:val="superscript"/>
              </w:rPr>
              <w:t>2</w:t>
            </w:r>
          </w:p>
        </w:tc>
        <w:tc>
          <w:tcPr>
            <w:tcW w:w="828" w:type="pct"/>
          </w:tcPr>
          <w:p w14:paraId="6A060400" w14:textId="77777777" w:rsidR="00496477" w:rsidRPr="006073E2" w:rsidRDefault="00496477" w:rsidP="009E75CE">
            <w:pPr>
              <w:pStyle w:val="Compact"/>
              <w:jc w:val="center"/>
              <w:rPr>
                <w:b/>
                <w:bCs/>
              </w:rPr>
            </w:pPr>
            <w:r w:rsidRPr="006073E2">
              <w:rPr>
                <w:b/>
                <w:bCs/>
              </w:rPr>
              <w:t>-0.2</w:t>
            </w:r>
          </w:p>
        </w:tc>
        <w:tc>
          <w:tcPr>
            <w:tcW w:w="662" w:type="pct"/>
          </w:tcPr>
          <w:p w14:paraId="03D46093" w14:textId="77777777" w:rsidR="00496477" w:rsidRPr="006073E2" w:rsidRDefault="00496477" w:rsidP="009E75CE">
            <w:pPr>
              <w:pStyle w:val="Compact"/>
              <w:jc w:val="center"/>
              <w:rPr>
                <w:b/>
                <w:bCs/>
              </w:rPr>
            </w:pPr>
            <w:r w:rsidRPr="006073E2">
              <w:rPr>
                <w:b/>
                <w:bCs/>
              </w:rPr>
              <w:t>-0.221</w:t>
            </w:r>
          </w:p>
        </w:tc>
        <w:tc>
          <w:tcPr>
            <w:tcW w:w="655" w:type="pct"/>
          </w:tcPr>
          <w:p w14:paraId="0589A273" w14:textId="77777777" w:rsidR="00496477" w:rsidRPr="006073E2" w:rsidRDefault="00496477" w:rsidP="009E75CE">
            <w:pPr>
              <w:pStyle w:val="Compact"/>
              <w:jc w:val="center"/>
              <w:rPr>
                <w:b/>
                <w:bCs/>
              </w:rPr>
            </w:pPr>
            <w:r w:rsidRPr="006073E2">
              <w:rPr>
                <w:b/>
                <w:bCs/>
              </w:rPr>
              <w:t>-0.18</w:t>
            </w:r>
          </w:p>
        </w:tc>
      </w:tr>
      <w:tr w:rsidR="00496477" w14:paraId="562EC7D1" w14:textId="77777777" w:rsidTr="009E75CE">
        <w:tc>
          <w:tcPr>
            <w:tcW w:w="2855" w:type="pct"/>
          </w:tcPr>
          <w:p w14:paraId="3ADE0B7E" w14:textId="77777777" w:rsidR="00496477" w:rsidRDefault="00496477" w:rsidP="009E75CE">
            <w:pPr>
              <w:pStyle w:val="Compact"/>
            </w:pPr>
            <w:r>
              <w:t>Treatment*Age</w:t>
            </w:r>
          </w:p>
        </w:tc>
        <w:tc>
          <w:tcPr>
            <w:tcW w:w="828" w:type="pct"/>
          </w:tcPr>
          <w:p w14:paraId="736BAE79" w14:textId="77777777" w:rsidR="00496477" w:rsidRDefault="00496477" w:rsidP="009E75CE">
            <w:pPr>
              <w:pStyle w:val="Compact"/>
              <w:jc w:val="center"/>
            </w:pPr>
            <w:r>
              <w:t>0.008</w:t>
            </w:r>
          </w:p>
        </w:tc>
        <w:tc>
          <w:tcPr>
            <w:tcW w:w="662" w:type="pct"/>
          </w:tcPr>
          <w:p w14:paraId="05113FA9" w14:textId="77777777" w:rsidR="00496477" w:rsidRDefault="00496477" w:rsidP="009E75CE">
            <w:pPr>
              <w:pStyle w:val="Compact"/>
              <w:jc w:val="center"/>
            </w:pPr>
            <w:r>
              <w:t>-0.023</w:t>
            </w:r>
          </w:p>
        </w:tc>
        <w:tc>
          <w:tcPr>
            <w:tcW w:w="655" w:type="pct"/>
          </w:tcPr>
          <w:p w14:paraId="01C3F8DC" w14:textId="77777777" w:rsidR="00496477" w:rsidRDefault="00496477" w:rsidP="009E75CE">
            <w:pPr>
              <w:pStyle w:val="Compact"/>
              <w:jc w:val="center"/>
            </w:pPr>
            <w:r>
              <w:t>0.039</w:t>
            </w:r>
          </w:p>
        </w:tc>
      </w:tr>
      <w:tr w:rsidR="00496477" w14:paraId="578F5C2A" w14:textId="77777777" w:rsidTr="009E75CE">
        <w:tc>
          <w:tcPr>
            <w:tcW w:w="2855" w:type="pct"/>
          </w:tcPr>
          <w:p w14:paraId="5BB48A19" w14:textId="77777777" w:rsidR="00496477" w:rsidRPr="006073E2" w:rsidRDefault="00496477" w:rsidP="009E75CE">
            <w:pPr>
              <w:pStyle w:val="Compact"/>
              <w:rPr>
                <w:vertAlign w:val="superscript"/>
              </w:rPr>
            </w:pPr>
            <w:r>
              <w:t>Treatment*Age</w:t>
            </w:r>
            <w:r>
              <w:rPr>
                <w:vertAlign w:val="superscript"/>
              </w:rPr>
              <w:t>2</w:t>
            </w:r>
          </w:p>
        </w:tc>
        <w:tc>
          <w:tcPr>
            <w:tcW w:w="828" w:type="pct"/>
          </w:tcPr>
          <w:p w14:paraId="3822C483" w14:textId="77777777" w:rsidR="00496477" w:rsidRDefault="00496477" w:rsidP="009E75CE">
            <w:pPr>
              <w:pStyle w:val="Compact"/>
              <w:jc w:val="center"/>
            </w:pPr>
            <w:r>
              <w:t>0.023</w:t>
            </w:r>
          </w:p>
        </w:tc>
        <w:tc>
          <w:tcPr>
            <w:tcW w:w="662" w:type="pct"/>
          </w:tcPr>
          <w:p w14:paraId="28D9B0DB" w14:textId="77777777" w:rsidR="00496477" w:rsidRDefault="00496477" w:rsidP="009E75CE">
            <w:pPr>
              <w:pStyle w:val="Compact"/>
              <w:jc w:val="center"/>
            </w:pPr>
            <w:r>
              <w:t>-0.009</w:t>
            </w:r>
          </w:p>
        </w:tc>
        <w:tc>
          <w:tcPr>
            <w:tcW w:w="655" w:type="pct"/>
          </w:tcPr>
          <w:p w14:paraId="42627E2D" w14:textId="77777777" w:rsidR="00496477" w:rsidRDefault="00496477" w:rsidP="009E75CE">
            <w:pPr>
              <w:pStyle w:val="Compact"/>
              <w:jc w:val="center"/>
            </w:pPr>
            <w:r>
              <w:t>0.056</w:t>
            </w:r>
          </w:p>
        </w:tc>
      </w:tr>
    </w:tbl>
    <w:p w14:paraId="31CF8C9A" w14:textId="77777777" w:rsidR="00496477" w:rsidRDefault="00496477" w:rsidP="00496477">
      <w:pPr>
        <w:pStyle w:val="BodyText"/>
      </w:pPr>
    </w:p>
    <w:p w14:paraId="0251C584" w14:textId="77777777" w:rsidR="00496477" w:rsidRDefault="00496477" w:rsidP="00496477">
      <w:pPr>
        <w:pStyle w:val="BodyText"/>
        <w:jc w:val="center"/>
      </w:pPr>
      <w:r>
        <w:rPr>
          <w:noProof/>
        </w:rPr>
        <w:drawing>
          <wp:inline distT="0" distB="0" distL="0" distR="0" wp14:anchorId="4EC4DAB7" wp14:editId="71078E59">
            <wp:extent cx="3906175" cy="3438894"/>
            <wp:effectExtent l="0" t="0" r="571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6">
                      <a:extLst>
                        <a:ext uri="{28A0092B-C50C-407E-A947-70E740481C1C}">
                          <a14:useLocalDpi xmlns:a14="http://schemas.microsoft.com/office/drawing/2010/main" val="0"/>
                        </a:ext>
                      </a:extLst>
                    </a:blip>
                    <a:srcRect b="6124"/>
                    <a:stretch/>
                  </pic:blipFill>
                  <pic:spPr bwMode="auto">
                    <a:xfrm>
                      <a:off x="0" y="0"/>
                      <a:ext cx="3921276" cy="3452188"/>
                    </a:xfrm>
                    <a:prstGeom prst="rect">
                      <a:avLst/>
                    </a:prstGeom>
                    <a:ln>
                      <a:noFill/>
                    </a:ln>
                    <a:extLst>
                      <a:ext uri="{53640926-AAD7-44D8-BBD7-CCE9431645EC}">
                        <a14:shadowObscured xmlns:a14="http://schemas.microsoft.com/office/drawing/2010/main"/>
                      </a:ext>
                    </a:extLst>
                  </pic:spPr>
                </pic:pic>
              </a:graphicData>
            </a:graphic>
          </wp:inline>
        </w:drawing>
      </w:r>
    </w:p>
    <w:p w14:paraId="16131D11" w14:textId="77777777" w:rsidR="00496477" w:rsidRDefault="00496477" w:rsidP="00496477">
      <w:pPr>
        <w:pStyle w:val="BodyText"/>
      </w:pPr>
      <w:r w:rsidRPr="00543621">
        <w:rPr>
          <w:b/>
          <w:bCs/>
        </w:rPr>
        <w:t>Fig</w:t>
      </w:r>
      <w:r>
        <w:rPr>
          <w:b/>
          <w:bCs/>
        </w:rPr>
        <w:t xml:space="preserve">ure </w:t>
      </w:r>
      <w:r w:rsidRPr="00543621">
        <w:rPr>
          <w:b/>
          <w:bCs/>
        </w:rPr>
        <w:t>1</w:t>
      </w:r>
      <w:r>
        <w:rPr>
          <w:b/>
          <w:bCs/>
        </w:rPr>
        <w:t xml:space="preserve"> </w:t>
      </w:r>
      <w:r>
        <w:t xml:space="preserve">Model predictions of log-transformed mass over age for a random subset of 40 lizards from the two developmental temperatures. Points represent mean estimates for each lizard from the hot developmental treatment (hot) and the cold developmental treatment (blue). Thick lines represent average growth curve for each treatment. Faint grey lines are each individual’s growth curve. </w:t>
      </w:r>
    </w:p>
    <w:p w14:paraId="764ECCEC" w14:textId="77777777" w:rsidR="00496477" w:rsidRDefault="00496477" w:rsidP="00496477">
      <w:pPr>
        <w:pStyle w:val="Thesissubheading"/>
      </w:pPr>
      <w:r>
        <w:t xml:space="preserve">The influence of developmental temperature on additive genetic variance and maternal effects across age </w:t>
      </w:r>
    </w:p>
    <w:p w14:paraId="48186FF9" w14:textId="77777777" w:rsidR="00496477" w:rsidRPr="00C2318B" w:rsidRDefault="00496477" w:rsidP="00496477">
      <w:pPr>
        <w:pStyle w:val="FirstParagraph"/>
        <w:ind w:firstLine="720"/>
      </w:pPr>
      <w:r>
        <w:t xml:space="preserve">Overall, additive genetic variance, permanent environmental variance and heritability of growth appears to be higher in the hot developmental temperature treatment (Fig. 2, Table S4). However, there were no significant differences among treatment groups (Table S5). Treatment groups did not differ in how the relative contributions of </w:t>
      </w:r>
      <w:r w:rsidRPr="006C3B72">
        <w:rPr>
          <w:i/>
          <w:iCs/>
        </w:rPr>
        <w:t>G</w:t>
      </w:r>
      <w:r>
        <w:t xml:space="preserve"> and </w:t>
      </w:r>
      <w:r w:rsidRPr="006C3B72">
        <w:rPr>
          <w:i/>
          <w:iCs/>
        </w:rPr>
        <w:t>M</w:t>
      </w:r>
      <w:r>
        <w:rPr>
          <w:i/>
          <w:iCs/>
        </w:rPr>
        <w:t xml:space="preserve"> </w:t>
      </w:r>
      <w:r>
        <w:t xml:space="preserve">changed with age as the 95% credible intervals overlapped (Fig. 3). Initially, additive genetic variance was very low and remained constant until approximately nine months of age, after which it increased steadily (Fig. S1). Maternal effects decreased sharply upon hatching and dropped to the minimum at approximately six months (Fig. S1). From six months onwards, </w:t>
      </w:r>
      <w:r w:rsidRPr="006C3B72">
        <w:rPr>
          <w:i/>
          <w:iCs/>
        </w:rPr>
        <w:t>M</w:t>
      </w:r>
      <w:r>
        <w:t xml:space="preserve"> gradually increased until lizards were approximately one year of age. Consequently, </w:t>
      </w:r>
      <w:r w:rsidRPr="005A6FA8">
        <w:rPr>
          <w:i/>
          <w:iCs/>
        </w:rPr>
        <w:t>h</w:t>
      </w:r>
      <w:r w:rsidRPr="005A6FA8">
        <w:rPr>
          <w:i/>
          <w:iCs/>
          <w:vertAlign w:val="superscript"/>
        </w:rPr>
        <w:t>2</w:t>
      </w:r>
      <w:r>
        <w:t xml:space="preserve"> peaked at approximately six months and slowly decreased until nine months where it showed a gradual increase again (Fig. 3A). In contrast, maternal effects explained a majority of the total phenotypic variance upon emergence (</w:t>
      </w:r>
      <w:r>
        <w:rPr>
          <w:i/>
          <w:iCs/>
        </w:rPr>
        <w:t>M</w:t>
      </w:r>
      <w:r w:rsidRPr="00A168D8">
        <w:rPr>
          <w:i/>
          <w:iCs/>
          <w:vertAlign w:val="superscript"/>
        </w:rPr>
        <w:t>2</w:t>
      </w:r>
      <w:r>
        <w:t xml:space="preserve">) and at approximately six months of age (Fig. 3B). The </w:t>
      </w:r>
      <w:r>
        <w:rPr>
          <w:i/>
          <w:iCs/>
        </w:rPr>
        <w:t xml:space="preserve">G </w:t>
      </w:r>
      <w:r w:rsidRPr="00C2318B">
        <w:t>and</w:t>
      </w:r>
      <w:r>
        <w:rPr>
          <w:i/>
          <w:iCs/>
        </w:rPr>
        <w:t xml:space="preserve"> M</w:t>
      </w:r>
      <w:r>
        <w:t xml:space="preserve"> matrices and other variance components for each treatment group are presented in Table S6-S7.</w:t>
      </w:r>
    </w:p>
    <w:p w14:paraId="6C8C6F35" w14:textId="77777777" w:rsidR="00496477" w:rsidRPr="0064245E" w:rsidRDefault="00496477" w:rsidP="00496477">
      <w:pPr>
        <w:pStyle w:val="BodyText"/>
      </w:pPr>
      <w:r w:rsidRPr="00757A64">
        <w:rPr>
          <w:noProof/>
        </w:rPr>
        <w:drawing>
          <wp:anchor distT="0" distB="0" distL="114300" distR="114300" simplePos="0" relativeHeight="251659264" behindDoc="0" locked="0" layoutInCell="1" allowOverlap="1" wp14:anchorId="49ECCD70" wp14:editId="1C922B1D">
            <wp:simplePos x="0" y="0"/>
            <wp:positionH relativeFrom="column">
              <wp:posOffset>1504950</wp:posOffset>
            </wp:positionH>
            <wp:positionV relativeFrom="paragraph">
              <wp:posOffset>-1012825</wp:posOffset>
            </wp:positionV>
            <wp:extent cx="2838450" cy="4864100"/>
            <wp:effectExtent l="3175"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9125" r="10657" b="2185"/>
                    <a:stretch/>
                  </pic:blipFill>
                  <pic:spPr bwMode="auto">
                    <a:xfrm rot="16200000">
                      <a:off x="0" y="0"/>
                      <a:ext cx="2838450" cy="4864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933698" w14:textId="77777777" w:rsidR="00496477" w:rsidRDefault="00496477" w:rsidP="00496477">
      <w:pPr>
        <w:pStyle w:val="BodyText"/>
        <w:rPr>
          <w:lang w:val="en-HK"/>
        </w:rPr>
      </w:pPr>
      <w:r>
        <w:rPr>
          <w:b/>
          <w:bCs/>
        </w:rPr>
        <w:t>Figure 2</w:t>
      </w:r>
      <w:r>
        <w:t xml:space="preserve"> Pie charts depicting the overall relative contributions of mass variance for the hot (n = 126) and cold (n =136) developmental treatment group irrespective of age. Point estimates and 95% credible intervals are presented in Table S4. There were no significant differences in variance components between developmental temperature treatments.</w:t>
      </w:r>
      <w:r w:rsidRPr="00AE09BC">
        <w:rPr>
          <w:lang w:val="en-HK"/>
        </w:rPr>
        <w:t xml:space="preserve"> </w:t>
      </w:r>
    </w:p>
    <w:p w14:paraId="44A24640" w14:textId="77777777" w:rsidR="00496477" w:rsidRDefault="00496477" w:rsidP="00496477">
      <w:pPr>
        <w:pStyle w:val="BodyText"/>
      </w:pPr>
      <w:r w:rsidRPr="00AE09BC">
        <w:rPr>
          <w:lang w:val="en-HK"/>
        </w:rPr>
        <w:drawing>
          <wp:anchor distT="0" distB="0" distL="114300" distR="114300" simplePos="0" relativeHeight="251660288" behindDoc="0" locked="0" layoutInCell="1" allowOverlap="1" wp14:anchorId="2E8CC0D1" wp14:editId="68CDDE20">
            <wp:simplePos x="0" y="0"/>
            <wp:positionH relativeFrom="column">
              <wp:posOffset>772345</wp:posOffset>
            </wp:positionH>
            <wp:positionV relativeFrom="paragraph">
              <wp:posOffset>115095</wp:posOffset>
            </wp:positionV>
            <wp:extent cx="4582795" cy="3991610"/>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3463" b="15727"/>
                    <a:stretch/>
                  </pic:blipFill>
                  <pic:spPr bwMode="auto">
                    <a:xfrm>
                      <a:off x="0" y="0"/>
                      <a:ext cx="4582795" cy="39916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6DE7B5" w14:textId="77777777" w:rsidR="00496477" w:rsidRPr="00543621" w:rsidRDefault="00496477" w:rsidP="00496477">
      <w:pPr>
        <w:pStyle w:val="BodyText"/>
      </w:pPr>
      <w:r w:rsidRPr="00757A64">
        <w:rPr>
          <w:b/>
          <w:bCs/>
        </w:rPr>
        <w:t>Figure 3</w:t>
      </w:r>
      <w:r>
        <w:t xml:space="preserve"> Scatterplot showing the relationship of the how heritability (</w:t>
      </w:r>
      <w:r w:rsidRPr="00192500">
        <w:rPr>
          <w:i/>
          <w:iCs/>
        </w:rPr>
        <w:t>h</w:t>
      </w:r>
      <w:r w:rsidRPr="00192500">
        <w:rPr>
          <w:i/>
          <w:iCs/>
          <w:vertAlign w:val="superscript"/>
        </w:rPr>
        <w:t>2</w:t>
      </w:r>
      <w:r>
        <w:t>) and the proportion of total variance explained by maternal effects (</w:t>
      </w:r>
      <w:r w:rsidRPr="00192500">
        <w:rPr>
          <w:i/>
          <w:iCs/>
        </w:rPr>
        <w:t>M</w:t>
      </w:r>
      <w:r w:rsidRPr="00192500">
        <w:rPr>
          <w:i/>
          <w:iCs/>
          <w:vertAlign w:val="superscript"/>
        </w:rPr>
        <w:t>2</w:t>
      </w:r>
      <w:r>
        <w:t xml:space="preserve">) changed with age for the hot developmental treatment (n = 125, red) and the cold developmental treatment (n = 136, blue). Points represent estimates generated from the posterior distribution of the variance-covariance matrix, thin lines represent the 95% credible intervals, thick lines represent the mean for each treatment group. </w:t>
      </w:r>
    </w:p>
    <w:p w14:paraId="335ED828" w14:textId="77777777" w:rsidR="00496477" w:rsidRDefault="00496477" w:rsidP="00496477">
      <w:pPr>
        <w:pStyle w:val="Heading1"/>
      </w:pPr>
      <w:r>
        <w:t>Discussion</w:t>
      </w:r>
    </w:p>
    <w:p w14:paraId="5897425C" w14:textId="77777777" w:rsidR="00496477" w:rsidRPr="00FB6539" w:rsidRDefault="00496477" w:rsidP="00496477">
      <w:pPr>
        <w:ind w:firstLine="720"/>
      </w:pPr>
      <w:r>
        <w:t>Developmental temperature did not affect growth rate or the shape of the growth trajectory. Nonetheless, lizards incubated at a hot temperature emerged weighing less than lizards incubated at a cold temperature. Irrespective of age, the relative genetic and maternal contributions to variance did not differ between temperature treatments. Heritability first peaked at six months owing to a drop in maternal effects then it gradually increased due to a rise in additive genetic variance around nine months of age. We predicted that maternal contributions to phenotypic variance should dissipate after hatching as lizards experience the environment on their own. This prediction was partially supported. Indeed, the proportion of variance explained by maternal effects continued to decrease upon hatching but subsequently rose again at approximately six months. Our study suggests that variation in mass is largely driven by environmental sources and both genetic and non-genetic sources of maternal effects could influence the evolutionary potential of body mass over time.</w:t>
      </w:r>
    </w:p>
    <w:p w14:paraId="3DD9965E" w14:textId="77777777" w:rsidR="00496477" w:rsidRDefault="00496477" w:rsidP="00496477"/>
    <w:p w14:paraId="5F6A70E8" w14:textId="77777777" w:rsidR="00496477" w:rsidRDefault="00496477" w:rsidP="00496477">
      <w:pPr>
        <w:pStyle w:val="ListParagraph"/>
        <w:numPr>
          <w:ilvl w:val="0"/>
          <w:numId w:val="2"/>
        </w:numPr>
      </w:pPr>
      <w:r>
        <w:t>Developmental temp did not affect growth trajectory</w:t>
      </w:r>
    </w:p>
    <w:p w14:paraId="117A6F8B" w14:textId="77777777" w:rsidR="00496477" w:rsidRDefault="00496477" w:rsidP="00496477">
      <w:pPr>
        <w:pStyle w:val="ListParagraph"/>
        <w:numPr>
          <w:ilvl w:val="1"/>
          <w:numId w:val="2"/>
        </w:numPr>
      </w:pPr>
      <w:r>
        <w:t>Hot smaller than cold but not evidence of compensatory growth</w:t>
      </w:r>
    </w:p>
    <w:p w14:paraId="2115D342" w14:textId="77777777" w:rsidR="00496477" w:rsidRDefault="00496477" w:rsidP="00496477">
      <w:pPr>
        <w:pStyle w:val="ListParagraph"/>
        <w:numPr>
          <w:ilvl w:val="1"/>
          <w:numId w:val="2"/>
        </w:numPr>
      </w:pPr>
      <w:r>
        <w:t>Little evidence that by being larger at hatching, you reach sexual maturity earlier</w:t>
      </w:r>
    </w:p>
    <w:p w14:paraId="5D564173" w14:textId="77777777" w:rsidR="00496477" w:rsidRDefault="00496477" w:rsidP="00496477">
      <w:pPr>
        <w:pStyle w:val="ListParagraph"/>
        <w:numPr>
          <w:ilvl w:val="1"/>
          <w:numId w:val="2"/>
        </w:numPr>
      </w:pPr>
      <w:r>
        <w:t>Discuss implications on life history if environment determines size and timing of sexual maturity</w:t>
      </w:r>
    </w:p>
    <w:p w14:paraId="5119B4A4" w14:textId="77777777" w:rsidR="00496477" w:rsidRDefault="00496477" w:rsidP="00496477">
      <w:pPr>
        <w:pStyle w:val="ListParagraph"/>
        <w:ind w:left="1440"/>
      </w:pPr>
    </w:p>
    <w:p w14:paraId="6233C594" w14:textId="77777777" w:rsidR="00496477" w:rsidRDefault="00496477" w:rsidP="00496477">
      <w:pPr>
        <w:pStyle w:val="ListParagraph"/>
        <w:numPr>
          <w:ilvl w:val="0"/>
          <w:numId w:val="2"/>
        </w:numPr>
      </w:pPr>
      <w:r>
        <w:t>Overall very little additive genetic variation across both treatments, environmental sources contributed most to variance in body size</w:t>
      </w:r>
    </w:p>
    <w:p w14:paraId="772F9BF9" w14:textId="77777777" w:rsidR="00496477" w:rsidRDefault="00496477" w:rsidP="00496477">
      <w:pPr>
        <w:pStyle w:val="ListParagraph"/>
        <w:numPr>
          <w:ilvl w:val="1"/>
          <w:numId w:val="2"/>
        </w:numPr>
      </w:pPr>
      <w:r>
        <w:t>Genetic variation may only increase outside of constant lab conditions</w:t>
      </w:r>
    </w:p>
    <w:p w14:paraId="787F9E28" w14:textId="77777777" w:rsidR="00496477" w:rsidRDefault="00496477" w:rsidP="00496477">
      <w:pPr>
        <w:pStyle w:val="ListParagraph"/>
        <w:numPr>
          <w:ilvl w:val="1"/>
          <w:numId w:val="2"/>
        </w:numPr>
      </w:pPr>
      <w:r>
        <w:t>From 9 months onwards individuals were in shared enclosures and may have to compete for resources and coincided with an increase of Va</w:t>
      </w:r>
    </w:p>
    <w:p w14:paraId="52E36ABA" w14:textId="77777777" w:rsidR="00496477" w:rsidRDefault="00496477" w:rsidP="00496477">
      <w:pPr>
        <w:pStyle w:val="ListParagraph"/>
        <w:numPr>
          <w:ilvl w:val="1"/>
          <w:numId w:val="2"/>
        </w:numPr>
      </w:pPr>
      <w:r>
        <w:t>Need long term studies in semi natural conditions</w:t>
      </w:r>
    </w:p>
    <w:p w14:paraId="798247B2" w14:textId="77777777" w:rsidR="00496477" w:rsidRDefault="00496477" w:rsidP="00496477"/>
    <w:p w14:paraId="1605679C" w14:textId="77777777" w:rsidR="00496477" w:rsidRDefault="00496477" w:rsidP="00496477">
      <w:pPr>
        <w:pStyle w:val="ListParagraph"/>
        <w:numPr>
          <w:ilvl w:val="0"/>
          <w:numId w:val="2"/>
        </w:numPr>
      </w:pPr>
      <w:r>
        <w:t>Maternal effects did indeed decline upon hatching but increased later in life</w:t>
      </w:r>
    </w:p>
    <w:p w14:paraId="68648D88" w14:textId="77777777" w:rsidR="00496477" w:rsidRDefault="00496477" w:rsidP="00496477">
      <w:pPr>
        <w:pStyle w:val="ListParagraph"/>
        <w:numPr>
          <w:ilvl w:val="1"/>
          <w:numId w:val="2"/>
        </w:numPr>
      </w:pPr>
      <w:r>
        <w:t>Acknowledge that we don’t know what is driving this pattern</w:t>
      </w:r>
    </w:p>
    <w:p w14:paraId="74968DA5" w14:textId="77777777" w:rsidR="00496477" w:rsidRDefault="00496477" w:rsidP="00496477">
      <w:pPr>
        <w:pStyle w:val="ListParagraph"/>
        <w:numPr>
          <w:ilvl w:val="1"/>
          <w:numId w:val="2"/>
        </w:numPr>
      </w:pPr>
      <w:r>
        <w:t>Genetic and non-genetic contributions of maternal effects</w:t>
      </w:r>
    </w:p>
    <w:p w14:paraId="48839681" w14:textId="77777777" w:rsidR="001410C0" w:rsidRPr="00552493" w:rsidRDefault="001410C0" w:rsidP="00552493"/>
    <w:p w14:paraId="1E8822C7" w14:textId="624A3DC3" w:rsidR="00FE606F" w:rsidRDefault="00FE606F" w:rsidP="00FE606F">
      <w:pPr>
        <w:pStyle w:val="Heading1"/>
      </w:pPr>
      <w:r>
        <w:t>Conclusion</w:t>
      </w:r>
    </w:p>
    <w:p w14:paraId="5CC71838" w14:textId="4A9EC676" w:rsidR="00FE606F" w:rsidRDefault="00FE606F" w:rsidP="00FE606F">
      <w:pPr>
        <w:pStyle w:val="Heading1"/>
      </w:pPr>
      <w:r>
        <w:t>Author contributions</w:t>
      </w:r>
    </w:p>
    <w:p w14:paraId="48307F3F" w14:textId="3D8DE048" w:rsidR="00FE606F" w:rsidRDefault="00FE606F" w:rsidP="00FE606F"/>
    <w:p w14:paraId="06E20C64" w14:textId="77777777" w:rsidR="00552493" w:rsidRPr="00FE606F" w:rsidRDefault="00552493" w:rsidP="00FE606F"/>
    <w:p w14:paraId="742281C6" w14:textId="77777777" w:rsidR="00FE606F" w:rsidRPr="00B0332F" w:rsidRDefault="00FE606F" w:rsidP="00FE606F">
      <w:pPr>
        <w:pStyle w:val="Heading1"/>
        <w:contextualSpacing/>
        <w:rPr>
          <w:rFonts w:cs="Times New Roman"/>
          <w:lang w:val="en-AU"/>
        </w:rPr>
      </w:pPr>
      <w:r w:rsidRPr="00B0332F">
        <w:rPr>
          <w:rFonts w:cs="Times New Roman"/>
          <w:lang w:val="en-AU"/>
        </w:rPr>
        <w:t>Data accessibility</w:t>
      </w:r>
    </w:p>
    <w:p w14:paraId="6AD97C51" w14:textId="77777777" w:rsidR="00FE606F" w:rsidRPr="00C032B4" w:rsidRDefault="00FE606F" w:rsidP="00FE606F">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Pr="00C032B4">
        <w:t>DOI</w:t>
      </w:r>
      <w:r>
        <w:t>: XXXXXXXXXXX)</w:t>
      </w:r>
    </w:p>
    <w:p w14:paraId="34832524" w14:textId="77777777" w:rsidR="00FE606F" w:rsidRPr="00B0332F" w:rsidRDefault="00FE606F" w:rsidP="00FE606F">
      <w:pPr>
        <w:contextualSpacing/>
        <w:rPr>
          <w:lang w:val="en-AU"/>
        </w:rPr>
      </w:pPr>
    </w:p>
    <w:p w14:paraId="26349758" w14:textId="77777777" w:rsidR="00FE606F" w:rsidRPr="00B0332F" w:rsidRDefault="00FE606F" w:rsidP="00FE606F">
      <w:pPr>
        <w:pStyle w:val="Heading1"/>
        <w:contextualSpacing/>
        <w:rPr>
          <w:rFonts w:cs="Times New Roman"/>
          <w:lang w:val="en-AU"/>
        </w:rPr>
      </w:pPr>
      <w:r w:rsidRPr="00B0332F">
        <w:rPr>
          <w:rFonts w:cs="Times New Roman"/>
          <w:lang w:val="en-AU"/>
        </w:rPr>
        <w:t>Acknowledgements</w:t>
      </w:r>
    </w:p>
    <w:p w14:paraId="773D099F" w14:textId="198AA477" w:rsidR="00FE606F" w:rsidRPr="00FE606F" w:rsidRDefault="00FE606F" w:rsidP="00FE606F"/>
    <w:sectPr w:rsidR="00FE606F" w:rsidRPr="00FE606F" w:rsidSect="00DE6B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06F"/>
    <w:rsid w:val="00000893"/>
    <w:rsid w:val="00002462"/>
    <w:rsid w:val="00003E53"/>
    <w:rsid w:val="000040D3"/>
    <w:rsid w:val="00012A3A"/>
    <w:rsid w:val="00013029"/>
    <w:rsid w:val="00015242"/>
    <w:rsid w:val="0001579C"/>
    <w:rsid w:val="00024234"/>
    <w:rsid w:val="00027110"/>
    <w:rsid w:val="000272E8"/>
    <w:rsid w:val="000365A1"/>
    <w:rsid w:val="0004698F"/>
    <w:rsid w:val="00055A01"/>
    <w:rsid w:val="0005607F"/>
    <w:rsid w:val="000560F2"/>
    <w:rsid w:val="000625F2"/>
    <w:rsid w:val="00062C67"/>
    <w:rsid w:val="00062EF8"/>
    <w:rsid w:val="000712A7"/>
    <w:rsid w:val="0007518A"/>
    <w:rsid w:val="000778A0"/>
    <w:rsid w:val="000912A0"/>
    <w:rsid w:val="0009402D"/>
    <w:rsid w:val="000A582A"/>
    <w:rsid w:val="000B510F"/>
    <w:rsid w:val="000C0B37"/>
    <w:rsid w:val="000C25C9"/>
    <w:rsid w:val="000D2A14"/>
    <w:rsid w:val="000E0867"/>
    <w:rsid w:val="000E2CE7"/>
    <w:rsid w:val="000E30E7"/>
    <w:rsid w:val="001050C2"/>
    <w:rsid w:val="001111B7"/>
    <w:rsid w:val="001119B8"/>
    <w:rsid w:val="00113E58"/>
    <w:rsid w:val="00127F21"/>
    <w:rsid w:val="001410C0"/>
    <w:rsid w:val="00146A11"/>
    <w:rsid w:val="00146C86"/>
    <w:rsid w:val="00150F3C"/>
    <w:rsid w:val="0016227F"/>
    <w:rsid w:val="00171668"/>
    <w:rsid w:val="00171E2F"/>
    <w:rsid w:val="00172B09"/>
    <w:rsid w:val="00184D23"/>
    <w:rsid w:val="001858F0"/>
    <w:rsid w:val="00186C08"/>
    <w:rsid w:val="00192B34"/>
    <w:rsid w:val="001975B1"/>
    <w:rsid w:val="001A0C80"/>
    <w:rsid w:val="001A249E"/>
    <w:rsid w:val="001A30F7"/>
    <w:rsid w:val="001B26FF"/>
    <w:rsid w:val="001B3E61"/>
    <w:rsid w:val="001C1254"/>
    <w:rsid w:val="001C1558"/>
    <w:rsid w:val="001C4008"/>
    <w:rsid w:val="001D3F43"/>
    <w:rsid w:val="001D63E9"/>
    <w:rsid w:val="001E1F76"/>
    <w:rsid w:val="001E693F"/>
    <w:rsid w:val="001E7AF6"/>
    <w:rsid w:val="001F13BB"/>
    <w:rsid w:val="00207D3C"/>
    <w:rsid w:val="00211263"/>
    <w:rsid w:val="00230756"/>
    <w:rsid w:val="00244828"/>
    <w:rsid w:val="00251988"/>
    <w:rsid w:val="00253019"/>
    <w:rsid w:val="002604A9"/>
    <w:rsid w:val="00261DAD"/>
    <w:rsid w:val="00263670"/>
    <w:rsid w:val="00263BDD"/>
    <w:rsid w:val="00272CE3"/>
    <w:rsid w:val="00274ECD"/>
    <w:rsid w:val="00277AB9"/>
    <w:rsid w:val="002808F8"/>
    <w:rsid w:val="0028140D"/>
    <w:rsid w:val="00285969"/>
    <w:rsid w:val="00291B1F"/>
    <w:rsid w:val="00296402"/>
    <w:rsid w:val="002B5E52"/>
    <w:rsid w:val="002B6DC7"/>
    <w:rsid w:val="002B7355"/>
    <w:rsid w:val="002C556A"/>
    <w:rsid w:val="002C7AFC"/>
    <w:rsid w:val="002D5A05"/>
    <w:rsid w:val="003006E1"/>
    <w:rsid w:val="00305648"/>
    <w:rsid w:val="003121CC"/>
    <w:rsid w:val="00317AE3"/>
    <w:rsid w:val="003217F2"/>
    <w:rsid w:val="00324C22"/>
    <w:rsid w:val="00331E8A"/>
    <w:rsid w:val="00332E8C"/>
    <w:rsid w:val="00334DBD"/>
    <w:rsid w:val="00337F71"/>
    <w:rsid w:val="0034462B"/>
    <w:rsid w:val="003572E8"/>
    <w:rsid w:val="003630C7"/>
    <w:rsid w:val="003639A3"/>
    <w:rsid w:val="00364AF0"/>
    <w:rsid w:val="00370E46"/>
    <w:rsid w:val="00376AC7"/>
    <w:rsid w:val="003813F1"/>
    <w:rsid w:val="003823FA"/>
    <w:rsid w:val="0039168A"/>
    <w:rsid w:val="003A70F3"/>
    <w:rsid w:val="003B014A"/>
    <w:rsid w:val="003C6320"/>
    <w:rsid w:val="003D05B1"/>
    <w:rsid w:val="003D3BD3"/>
    <w:rsid w:val="003D721B"/>
    <w:rsid w:val="003E0332"/>
    <w:rsid w:val="003E7621"/>
    <w:rsid w:val="003E7E5D"/>
    <w:rsid w:val="003F6048"/>
    <w:rsid w:val="003F7163"/>
    <w:rsid w:val="004013F3"/>
    <w:rsid w:val="00410A61"/>
    <w:rsid w:val="00410B36"/>
    <w:rsid w:val="0042241B"/>
    <w:rsid w:val="00431125"/>
    <w:rsid w:val="0043490F"/>
    <w:rsid w:val="00435F18"/>
    <w:rsid w:val="00437ED7"/>
    <w:rsid w:val="00443918"/>
    <w:rsid w:val="00466CA4"/>
    <w:rsid w:val="00466E50"/>
    <w:rsid w:val="00470499"/>
    <w:rsid w:val="00472776"/>
    <w:rsid w:val="00477397"/>
    <w:rsid w:val="00484E30"/>
    <w:rsid w:val="00487AEF"/>
    <w:rsid w:val="00490790"/>
    <w:rsid w:val="00496477"/>
    <w:rsid w:val="004A1BB2"/>
    <w:rsid w:val="004A5BC8"/>
    <w:rsid w:val="004A66B5"/>
    <w:rsid w:val="004B0B8B"/>
    <w:rsid w:val="004B38FB"/>
    <w:rsid w:val="004B3C82"/>
    <w:rsid w:val="004B6F48"/>
    <w:rsid w:val="004C32F0"/>
    <w:rsid w:val="004C625A"/>
    <w:rsid w:val="004D4531"/>
    <w:rsid w:val="004F0505"/>
    <w:rsid w:val="004F5B2D"/>
    <w:rsid w:val="00500041"/>
    <w:rsid w:val="0050451E"/>
    <w:rsid w:val="00505C06"/>
    <w:rsid w:val="00514445"/>
    <w:rsid w:val="00525371"/>
    <w:rsid w:val="00530D98"/>
    <w:rsid w:val="0053402A"/>
    <w:rsid w:val="00541E71"/>
    <w:rsid w:val="00542EED"/>
    <w:rsid w:val="0054517F"/>
    <w:rsid w:val="00545CE8"/>
    <w:rsid w:val="00552493"/>
    <w:rsid w:val="00560932"/>
    <w:rsid w:val="0056736E"/>
    <w:rsid w:val="0058190A"/>
    <w:rsid w:val="00590295"/>
    <w:rsid w:val="00590AEE"/>
    <w:rsid w:val="0059236A"/>
    <w:rsid w:val="005A031B"/>
    <w:rsid w:val="005A2C63"/>
    <w:rsid w:val="005A75A4"/>
    <w:rsid w:val="005B22DB"/>
    <w:rsid w:val="005C15E9"/>
    <w:rsid w:val="005C6252"/>
    <w:rsid w:val="005C6375"/>
    <w:rsid w:val="005D2CD1"/>
    <w:rsid w:val="005D3EB4"/>
    <w:rsid w:val="005D5FC0"/>
    <w:rsid w:val="005D6ABE"/>
    <w:rsid w:val="005D7E67"/>
    <w:rsid w:val="005F62AC"/>
    <w:rsid w:val="00602823"/>
    <w:rsid w:val="006073E2"/>
    <w:rsid w:val="006115AC"/>
    <w:rsid w:val="006139EA"/>
    <w:rsid w:val="00613AF6"/>
    <w:rsid w:val="006174D2"/>
    <w:rsid w:val="00631933"/>
    <w:rsid w:val="00632F8F"/>
    <w:rsid w:val="00635EE7"/>
    <w:rsid w:val="006508AC"/>
    <w:rsid w:val="00652422"/>
    <w:rsid w:val="00653297"/>
    <w:rsid w:val="00655EBC"/>
    <w:rsid w:val="00657A9C"/>
    <w:rsid w:val="00663684"/>
    <w:rsid w:val="006679A2"/>
    <w:rsid w:val="006705CF"/>
    <w:rsid w:val="0067067E"/>
    <w:rsid w:val="00675E92"/>
    <w:rsid w:val="0068082F"/>
    <w:rsid w:val="00685064"/>
    <w:rsid w:val="006850C8"/>
    <w:rsid w:val="006A082E"/>
    <w:rsid w:val="006A2566"/>
    <w:rsid w:val="006B7939"/>
    <w:rsid w:val="006C12D6"/>
    <w:rsid w:val="006C5C6F"/>
    <w:rsid w:val="006D2D1C"/>
    <w:rsid w:val="006D5078"/>
    <w:rsid w:val="006D741A"/>
    <w:rsid w:val="006D7494"/>
    <w:rsid w:val="006E02B5"/>
    <w:rsid w:val="006E05AC"/>
    <w:rsid w:val="006E26C7"/>
    <w:rsid w:val="006F0138"/>
    <w:rsid w:val="006F4F26"/>
    <w:rsid w:val="006F54DB"/>
    <w:rsid w:val="00701961"/>
    <w:rsid w:val="00707D6F"/>
    <w:rsid w:val="007530C8"/>
    <w:rsid w:val="007544B5"/>
    <w:rsid w:val="00757E22"/>
    <w:rsid w:val="00763E3A"/>
    <w:rsid w:val="00764D36"/>
    <w:rsid w:val="00765005"/>
    <w:rsid w:val="00766666"/>
    <w:rsid w:val="007667F0"/>
    <w:rsid w:val="00772014"/>
    <w:rsid w:val="00783063"/>
    <w:rsid w:val="00796769"/>
    <w:rsid w:val="007968D4"/>
    <w:rsid w:val="007A000C"/>
    <w:rsid w:val="007A333B"/>
    <w:rsid w:val="007A3F96"/>
    <w:rsid w:val="007B4026"/>
    <w:rsid w:val="007B4A7A"/>
    <w:rsid w:val="007B5EBD"/>
    <w:rsid w:val="007B6EDD"/>
    <w:rsid w:val="007B76C0"/>
    <w:rsid w:val="007D4805"/>
    <w:rsid w:val="007D7204"/>
    <w:rsid w:val="007D7A0F"/>
    <w:rsid w:val="007E6F6F"/>
    <w:rsid w:val="007F65AE"/>
    <w:rsid w:val="008112A0"/>
    <w:rsid w:val="0081179C"/>
    <w:rsid w:val="00813DC4"/>
    <w:rsid w:val="008151E0"/>
    <w:rsid w:val="008321FC"/>
    <w:rsid w:val="00835799"/>
    <w:rsid w:val="0083755C"/>
    <w:rsid w:val="008416CB"/>
    <w:rsid w:val="00847598"/>
    <w:rsid w:val="00847E3F"/>
    <w:rsid w:val="008528AD"/>
    <w:rsid w:val="0085551F"/>
    <w:rsid w:val="00864A7F"/>
    <w:rsid w:val="00864CB2"/>
    <w:rsid w:val="0087468E"/>
    <w:rsid w:val="00876543"/>
    <w:rsid w:val="008846BA"/>
    <w:rsid w:val="00890EFD"/>
    <w:rsid w:val="008979EB"/>
    <w:rsid w:val="008B15FA"/>
    <w:rsid w:val="008B2AB9"/>
    <w:rsid w:val="008C5B35"/>
    <w:rsid w:val="008D4671"/>
    <w:rsid w:val="008E06DB"/>
    <w:rsid w:val="008E64ED"/>
    <w:rsid w:val="008F7A48"/>
    <w:rsid w:val="009006C8"/>
    <w:rsid w:val="00902C9F"/>
    <w:rsid w:val="00914168"/>
    <w:rsid w:val="00922710"/>
    <w:rsid w:val="00922D51"/>
    <w:rsid w:val="00925754"/>
    <w:rsid w:val="009264A3"/>
    <w:rsid w:val="0093090B"/>
    <w:rsid w:val="0094037C"/>
    <w:rsid w:val="00945B87"/>
    <w:rsid w:val="00945E50"/>
    <w:rsid w:val="0095179D"/>
    <w:rsid w:val="009533CE"/>
    <w:rsid w:val="00956285"/>
    <w:rsid w:val="00963407"/>
    <w:rsid w:val="00974A2E"/>
    <w:rsid w:val="00975F7A"/>
    <w:rsid w:val="00980738"/>
    <w:rsid w:val="00980D2A"/>
    <w:rsid w:val="00984478"/>
    <w:rsid w:val="00996FFD"/>
    <w:rsid w:val="009A6730"/>
    <w:rsid w:val="009B3A1B"/>
    <w:rsid w:val="009B3A46"/>
    <w:rsid w:val="009C11CD"/>
    <w:rsid w:val="009C21DD"/>
    <w:rsid w:val="009C520A"/>
    <w:rsid w:val="009C7152"/>
    <w:rsid w:val="009C750C"/>
    <w:rsid w:val="009D29D0"/>
    <w:rsid w:val="009D3543"/>
    <w:rsid w:val="009D4176"/>
    <w:rsid w:val="009E1250"/>
    <w:rsid w:val="009E67C5"/>
    <w:rsid w:val="009F086B"/>
    <w:rsid w:val="009F219F"/>
    <w:rsid w:val="009F4474"/>
    <w:rsid w:val="00A0085C"/>
    <w:rsid w:val="00A03B9C"/>
    <w:rsid w:val="00A06BB0"/>
    <w:rsid w:val="00A107E3"/>
    <w:rsid w:val="00A12F6F"/>
    <w:rsid w:val="00A16F26"/>
    <w:rsid w:val="00A2184E"/>
    <w:rsid w:val="00A31D41"/>
    <w:rsid w:val="00A34C03"/>
    <w:rsid w:val="00A34D03"/>
    <w:rsid w:val="00A50A0E"/>
    <w:rsid w:val="00A52150"/>
    <w:rsid w:val="00A57336"/>
    <w:rsid w:val="00A6170E"/>
    <w:rsid w:val="00A64AC5"/>
    <w:rsid w:val="00A6551B"/>
    <w:rsid w:val="00A65AAD"/>
    <w:rsid w:val="00A713B7"/>
    <w:rsid w:val="00A8241B"/>
    <w:rsid w:val="00A836A1"/>
    <w:rsid w:val="00A83712"/>
    <w:rsid w:val="00A85346"/>
    <w:rsid w:val="00A93B36"/>
    <w:rsid w:val="00A948C6"/>
    <w:rsid w:val="00AA1C83"/>
    <w:rsid w:val="00AA7057"/>
    <w:rsid w:val="00AB4D5C"/>
    <w:rsid w:val="00AB55AE"/>
    <w:rsid w:val="00AB6D50"/>
    <w:rsid w:val="00AC4989"/>
    <w:rsid w:val="00AD3BA0"/>
    <w:rsid w:val="00AD622B"/>
    <w:rsid w:val="00AE049B"/>
    <w:rsid w:val="00B02B86"/>
    <w:rsid w:val="00B12403"/>
    <w:rsid w:val="00B14CEA"/>
    <w:rsid w:val="00B416D5"/>
    <w:rsid w:val="00B4214F"/>
    <w:rsid w:val="00B42C73"/>
    <w:rsid w:val="00B51EBE"/>
    <w:rsid w:val="00B62727"/>
    <w:rsid w:val="00B6301A"/>
    <w:rsid w:val="00B704F9"/>
    <w:rsid w:val="00B71B42"/>
    <w:rsid w:val="00B743ED"/>
    <w:rsid w:val="00B82231"/>
    <w:rsid w:val="00B82C7F"/>
    <w:rsid w:val="00B84B89"/>
    <w:rsid w:val="00B90E56"/>
    <w:rsid w:val="00B97709"/>
    <w:rsid w:val="00BC44A3"/>
    <w:rsid w:val="00BC6F9C"/>
    <w:rsid w:val="00BC72BE"/>
    <w:rsid w:val="00BD6F21"/>
    <w:rsid w:val="00BD7777"/>
    <w:rsid w:val="00BE2242"/>
    <w:rsid w:val="00BE2DE0"/>
    <w:rsid w:val="00BE5407"/>
    <w:rsid w:val="00BE68B3"/>
    <w:rsid w:val="00BF3711"/>
    <w:rsid w:val="00BF4990"/>
    <w:rsid w:val="00BF52F5"/>
    <w:rsid w:val="00BF57F0"/>
    <w:rsid w:val="00BF71DA"/>
    <w:rsid w:val="00BF72A2"/>
    <w:rsid w:val="00C01F79"/>
    <w:rsid w:val="00C13BB6"/>
    <w:rsid w:val="00C13C51"/>
    <w:rsid w:val="00C17080"/>
    <w:rsid w:val="00C17595"/>
    <w:rsid w:val="00C2135F"/>
    <w:rsid w:val="00C2499F"/>
    <w:rsid w:val="00C25B5A"/>
    <w:rsid w:val="00C25E4D"/>
    <w:rsid w:val="00C2640E"/>
    <w:rsid w:val="00C26FD1"/>
    <w:rsid w:val="00C33563"/>
    <w:rsid w:val="00C3401A"/>
    <w:rsid w:val="00C366E7"/>
    <w:rsid w:val="00C47F70"/>
    <w:rsid w:val="00C56352"/>
    <w:rsid w:val="00C5687B"/>
    <w:rsid w:val="00C576C8"/>
    <w:rsid w:val="00C609DE"/>
    <w:rsid w:val="00C60A25"/>
    <w:rsid w:val="00C61AEF"/>
    <w:rsid w:val="00C70A4F"/>
    <w:rsid w:val="00C726E8"/>
    <w:rsid w:val="00C742BD"/>
    <w:rsid w:val="00C74379"/>
    <w:rsid w:val="00C762C5"/>
    <w:rsid w:val="00C77BE9"/>
    <w:rsid w:val="00C80624"/>
    <w:rsid w:val="00C84205"/>
    <w:rsid w:val="00C91A55"/>
    <w:rsid w:val="00C94582"/>
    <w:rsid w:val="00CA658E"/>
    <w:rsid w:val="00CB00FB"/>
    <w:rsid w:val="00CB4360"/>
    <w:rsid w:val="00CB49E0"/>
    <w:rsid w:val="00CC4E1E"/>
    <w:rsid w:val="00CD006F"/>
    <w:rsid w:val="00CD2C9C"/>
    <w:rsid w:val="00CD4499"/>
    <w:rsid w:val="00CD646D"/>
    <w:rsid w:val="00CD7B06"/>
    <w:rsid w:val="00CE5EA4"/>
    <w:rsid w:val="00CE63A8"/>
    <w:rsid w:val="00CF5C34"/>
    <w:rsid w:val="00D10AF4"/>
    <w:rsid w:val="00D12670"/>
    <w:rsid w:val="00D12A35"/>
    <w:rsid w:val="00D214FD"/>
    <w:rsid w:val="00D24095"/>
    <w:rsid w:val="00D24622"/>
    <w:rsid w:val="00D35299"/>
    <w:rsid w:val="00D41F47"/>
    <w:rsid w:val="00D4313E"/>
    <w:rsid w:val="00D46CF6"/>
    <w:rsid w:val="00D47E7C"/>
    <w:rsid w:val="00D731FB"/>
    <w:rsid w:val="00D749F0"/>
    <w:rsid w:val="00D80615"/>
    <w:rsid w:val="00D862E6"/>
    <w:rsid w:val="00D901ED"/>
    <w:rsid w:val="00D93CC2"/>
    <w:rsid w:val="00D9433F"/>
    <w:rsid w:val="00D94A70"/>
    <w:rsid w:val="00DA11CF"/>
    <w:rsid w:val="00DA4547"/>
    <w:rsid w:val="00DA4F5E"/>
    <w:rsid w:val="00DB2D94"/>
    <w:rsid w:val="00DC36E2"/>
    <w:rsid w:val="00DC5782"/>
    <w:rsid w:val="00DD0136"/>
    <w:rsid w:val="00DD1764"/>
    <w:rsid w:val="00DD441C"/>
    <w:rsid w:val="00DE66B8"/>
    <w:rsid w:val="00DE6B68"/>
    <w:rsid w:val="00DF41BA"/>
    <w:rsid w:val="00DF4847"/>
    <w:rsid w:val="00DF7AF6"/>
    <w:rsid w:val="00E01982"/>
    <w:rsid w:val="00E0324B"/>
    <w:rsid w:val="00E1668C"/>
    <w:rsid w:val="00E430A8"/>
    <w:rsid w:val="00E43EF6"/>
    <w:rsid w:val="00E61257"/>
    <w:rsid w:val="00E6342D"/>
    <w:rsid w:val="00E70336"/>
    <w:rsid w:val="00E70389"/>
    <w:rsid w:val="00E7149A"/>
    <w:rsid w:val="00E83BBD"/>
    <w:rsid w:val="00E87840"/>
    <w:rsid w:val="00E9234E"/>
    <w:rsid w:val="00E96B11"/>
    <w:rsid w:val="00E97834"/>
    <w:rsid w:val="00EA1D19"/>
    <w:rsid w:val="00EA43BB"/>
    <w:rsid w:val="00EA5B70"/>
    <w:rsid w:val="00EA69A4"/>
    <w:rsid w:val="00EC6266"/>
    <w:rsid w:val="00EC7CB4"/>
    <w:rsid w:val="00ED5C00"/>
    <w:rsid w:val="00ED7CA8"/>
    <w:rsid w:val="00EF2056"/>
    <w:rsid w:val="00EF50CB"/>
    <w:rsid w:val="00F03377"/>
    <w:rsid w:val="00F11BB8"/>
    <w:rsid w:val="00F135D3"/>
    <w:rsid w:val="00F13DF4"/>
    <w:rsid w:val="00F3290C"/>
    <w:rsid w:val="00F3322E"/>
    <w:rsid w:val="00F3412D"/>
    <w:rsid w:val="00F35996"/>
    <w:rsid w:val="00F50E8D"/>
    <w:rsid w:val="00F53FE5"/>
    <w:rsid w:val="00F559CF"/>
    <w:rsid w:val="00F56D95"/>
    <w:rsid w:val="00F62084"/>
    <w:rsid w:val="00F63BFD"/>
    <w:rsid w:val="00F65D28"/>
    <w:rsid w:val="00F723BE"/>
    <w:rsid w:val="00F85027"/>
    <w:rsid w:val="00F87B5B"/>
    <w:rsid w:val="00F91B6F"/>
    <w:rsid w:val="00FA13F2"/>
    <w:rsid w:val="00FA2014"/>
    <w:rsid w:val="00FA3624"/>
    <w:rsid w:val="00FA427B"/>
    <w:rsid w:val="00FA717A"/>
    <w:rsid w:val="00FB6519"/>
    <w:rsid w:val="00FC155D"/>
    <w:rsid w:val="00FC1890"/>
    <w:rsid w:val="00FC2D8C"/>
    <w:rsid w:val="00FD578B"/>
    <w:rsid w:val="00FE1D77"/>
    <w:rsid w:val="00FE606F"/>
    <w:rsid w:val="00FE684C"/>
    <w:rsid w:val="00FF03FD"/>
    <w:rsid w:val="00FF0D4C"/>
    <w:rsid w:val="00FF2955"/>
    <w:rsid w:val="00FF3324"/>
    <w:rsid w:val="00FF4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062C67"/>
    <w:rPr>
      <w:rFonts w:ascii="Times" w:eastAsiaTheme="minorEastAsia" w:hAnsi="Times"/>
      <w:lang w:val="en-AU"/>
    </w:rPr>
  </w:style>
  <w:style w:type="paragraph" w:customStyle="1" w:styleId="Thesissubheading">
    <w:name w:val="Thesis subheading"/>
    <w:basedOn w:val="Heading3"/>
    <w:qFormat/>
    <w:rsid w:val="00062C67"/>
    <w:pPr>
      <w:spacing w:before="200"/>
    </w:pPr>
    <w:rPr>
      <w:rFonts w:ascii="Times" w:hAnsi="Times"/>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6</Pages>
  <Words>18248</Words>
  <Characters>104015</Characters>
  <Application>Microsoft Office Word</Application>
  <DocSecurity>0</DocSecurity>
  <Lines>866</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fonti.kar@gmail.com</cp:lastModifiedBy>
  <cp:revision>196</cp:revision>
  <dcterms:created xsi:type="dcterms:W3CDTF">2020-04-07T04:17:00Z</dcterms:created>
  <dcterms:modified xsi:type="dcterms:W3CDTF">2020-07-01T02:20:00Z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id="zKV70hBk"/&gt;&lt;style id="http://www.zotero.org/styles/apa" locale="en-GB" hasBibliography="1" bibliographyStyleHasBeenSet="1"/&gt;&lt;prefs&gt;&lt;pref name="fieldType" value="Field"/&gt;&lt;/prefs&gt;&lt;/data&gt;</vt:lpwstr>
  </property>
</Properties>
</file>