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51249237" w:rsidR="00FE606F" w:rsidRDefault="00665FC8" w:rsidP="00A248E1">
      <w:pPr>
        <w:pStyle w:val="Heading1"/>
      </w:pPr>
      <w:commentRangeStart w:id="0"/>
      <w:r>
        <w:t xml:space="preserve">Heritability and developmental plasticity </w:t>
      </w:r>
      <w:r w:rsidR="002B0ED6">
        <w:t>of</w:t>
      </w:r>
      <w:r w:rsidR="00BE1C41">
        <w:t xml:space="preserve"> </w:t>
      </w:r>
      <w:r>
        <w:t xml:space="preserve">growth </w:t>
      </w:r>
      <w:r w:rsidR="002B0ED6">
        <w:t>in</w:t>
      </w:r>
      <w:r>
        <w:t xml:space="preserve"> an oviparous lizard</w:t>
      </w:r>
      <w:commentRangeEnd w:id="0"/>
      <w:r w:rsidR="00251E93">
        <w:rPr>
          <w:rStyle w:val="CommentReference"/>
          <w:rFonts w:eastAsiaTheme="minorHAnsi" w:cstheme="minorBidi"/>
          <w:b w:val="0"/>
          <w:color w:val="auto"/>
        </w:rPr>
        <w:commentReference w:id="0"/>
      </w:r>
    </w:p>
    <w:p w14:paraId="65134F81" w14:textId="34F17BC9" w:rsidR="00A248E1" w:rsidRPr="00B0332F" w:rsidRDefault="00A248E1" w:rsidP="00A248E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Daniel W.A. Noble</w:t>
      </w:r>
      <w:r w:rsidR="006D0B22">
        <w:rPr>
          <w:vertAlign w:val="superscript"/>
          <w:lang w:val="en-AU"/>
        </w:rPr>
        <w:t>1,</w:t>
      </w:r>
      <w:r>
        <w:rPr>
          <w:vertAlign w:val="superscript"/>
          <w:lang w:val="en-AU"/>
        </w:rPr>
        <w:t>3</w:t>
      </w:r>
    </w:p>
    <w:p w14:paraId="30DE0692" w14:textId="77777777" w:rsidR="00A248E1" w:rsidRPr="00B0332F" w:rsidRDefault="00A248E1" w:rsidP="00136C0F">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136C0F">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136C0F">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A248E1">
      <w:pPr>
        <w:contextualSpacing/>
        <w:rPr>
          <w:lang w:val="en-AU"/>
        </w:rPr>
      </w:pPr>
    </w:p>
    <w:p w14:paraId="43876612" w14:textId="77777777" w:rsidR="00A248E1" w:rsidRPr="00B0332F" w:rsidRDefault="00A248E1" w:rsidP="00A248E1">
      <w:pPr>
        <w:contextualSpacing/>
        <w:rPr>
          <w:lang w:val="en-AU"/>
        </w:rPr>
      </w:pPr>
      <w:r w:rsidRPr="00B0332F">
        <w:rPr>
          <w:lang w:val="en-AU"/>
        </w:rPr>
        <w:t>Corresponding author: Fonti Kar</w:t>
      </w:r>
    </w:p>
    <w:p w14:paraId="3C639B94" w14:textId="77777777" w:rsidR="00A248E1" w:rsidRPr="00B0332F" w:rsidRDefault="00A248E1" w:rsidP="00A248E1">
      <w:pPr>
        <w:contextualSpacing/>
        <w:rPr>
          <w:lang w:val="en-AU"/>
        </w:rPr>
      </w:pPr>
      <w:r w:rsidRPr="00B0332F">
        <w:rPr>
          <w:lang w:val="en-AU"/>
        </w:rPr>
        <w:t xml:space="preserve">Correspondence email: </w:t>
      </w:r>
      <w:hyperlink r:id="rId10" w:history="1">
        <w:r w:rsidRPr="00B0332F">
          <w:rPr>
            <w:rStyle w:val="Hyperlink"/>
            <w:lang w:val="en-AU"/>
          </w:rPr>
          <w:t>fonti.kar@gmail.com</w:t>
        </w:r>
      </w:hyperlink>
    </w:p>
    <w:p w14:paraId="01A2FEBD" w14:textId="77777777" w:rsidR="00A248E1" w:rsidRDefault="00A248E1" w:rsidP="00632C0E">
      <w:pPr>
        <w:pStyle w:val="Thesisnormal"/>
      </w:pPr>
    </w:p>
    <w:p w14:paraId="31722DEC" w14:textId="1F0AEFEC" w:rsidR="00FE606F" w:rsidRDefault="00FE606F" w:rsidP="00FE606F">
      <w:pPr>
        <w:pStyle w:val="Heading1"/>
      </w:pPr>
      <w:r>
        <w:t>Abstract</w:t>
      </w:r>
    </w:p>
    <w:p w14:paraId="0B6306EE" w14:textId="0E048808" w:rsidR="003215AA" w:rsidRDefault="00B2563C" w:rsidP="00CD67CE">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a higher mass 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CD67CE"/>
    <w:p w14:paraId="51104AB4" w14:textId="6877E522" w:rsidR="00FE606F" w:rsidRDefault="00FE606F" w:rsidP="00FE606F">
      <w:pPr>
        <w:pStyle w:val="Heading1"/>
      </w:pPr>
      <w:r>
        <w:t>Keywords</w:t>
      </w:r>
    </w:p>
    <w:p w14:paraId="5A9E47E7" w14:textId="5A44C0A8" w:rsidR="00665FC8" w:rsidRPr="00665FC8" w:rsidRDefault="00665FC8" w:rsidP="00665FC8">
      <w:r>
        <w:t>Body mass, growth rate, additive genetic variance, incubation temperature, maternal effects</w:t>
      </w:r>
      <w:r w:rsidR="000104DC">
        <w:t>, temperature-size rule</w:t>
      </w:r>
      <w:r w:rsidR="00E24983">
        <w:t>, cr</w:t>
      </w:r>
      <w:r w:rsidR="00922FCF">
        <w:t>yptic genetic variation</w:t>
      </w:r>
    </w:p>
    <w:p w14:paraId="37AD7B0C" w14:textId="3258C2C5" w:rsidR="003030DA" w:rsidRPr="00C13E80" w:rsidRDefault="003030DA" w:rsidP="00894D53">
      <w:pPr>
        <w:pStyle w:val="Heading1"/>
      </w:pPr>
      <w:r>
        <w:t>Introduction</w:t>
      </w:r>
    </w:p>
    <w:p w14:paraId="3697C90B" w14:textId="00ECE0BF" w:rsidR="002B0ED6" w:rsidRDefault="003030DA" w:rsidP="003030DA">
      <w:pPr>
        <w:ind w:firstLine="720"/>
      </w:pPr>
      <w:r>
        <w:t>Developmental plasticity plays a key role in generating phenotypic variation</w:t>
      </w:r>
      <w:r w:rsidR="00AE0DED">
        <w:t xml:space="preserve"> (Noble et al 2018; </w:t>
      </w:r>
      <w:r w:rsidR="00AE0DED">
        <w:rPr>
          <w:noProof/>
        </w:rPr>
        <w:t>Ghalambor et al., 2007; West-Eberhard, 2003</w:t>
      </w:r>
      <w:r w:rsidR="00AE0DED">
        <w:t>)</w:t>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17209D">
        <w:fldChar w:fldCharType="begin"/>
      </w:r>
      <w:r w:rsidR="0017209D">
        <w:instrText xml:space="preserve"> ADDIN ZOTERO_ITEM CSL_CITATION {"citationID":"MwdbHyD0","properties":{"formattedCitation":"(Monaghan, 2008; West-Eberhard, 2003)","plainCitation":"(Monaghan, 2008; West-Eberhard, 2003)","noteIndex":0},"citationItems":[{"id":1711,"uris":["http://zotero.org/users/1379426/items/LEKCK6ZB"],"uri":["http://zotero.org/users/1379426/items/LEKCK6ZB"],"itemData":{"id":1711,"type":"article-journal","container-title":"Philosophical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7209D">
        <w:fldChar w:fldCharType="separate"/>
      </w:r>
      <w:r w:rsidR="0017209D">
        <w:rPr>
          <w:noProof/>
        </w:rPr>
        <w:t>(Monaghan, 2008; West-Eberhard, 2003)</w:t>
      </w:r>
      <w:r w:rsidR="0017209D">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17209D">
        <w:fldChar w:fldCharType="begin"/>
      </w:r>
      <w:r w:rsidR="0017209D">
        <w:instrText xml:space="preserve"> ADDIN ZOTERO_ITEM CSL_CITATION {"citationID":"OXz3NiUd","properties":{"formattedCitation":"(Monaghan, 2008; Noble et al., 2017)","plainCitation":"(Monaghan, 2008; Noble et al., 2017)","noteIndex":0},"citationItems":[{"id":1711,"uris":["http://zotero.org/users/1379426/items/LEKCK6ZB"],"uri":["http://zotero.org/users/1379426/items/LEKCK6ZB"],"itemData":{"id":1711,"type":"article-journal","container-title":"Philosophical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17209D">
        <w:fldChar w:fldCharType="separate"/>
      </w:r>
      <w:r w:rsidR="0017209D">
        <w:rPr>
          <w:noProof/>
        </w:rPr>
        <w:t>(Monaghan, 2008; Noble et al., 2017)</w:t>
      </w:r>
      <w:r w:rsidR="0017209D">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fldChar w:fldCharType="begin"/>
      </w:r>
      <w:r w:rsidR="0017209D">
        <w:instrText xml:space="preserve"> ADDIN ZOTERO_ITEM CSL_CITATION {"citationID":"cX9Z7iZX","properties":{"formattedCitation":"(Beaman et al., 2016; Ghalambor et al., 2007)","plainCitation":"(Beaman et al., 2016; Ghalambor et al., 2007)","noteIndex":0},"citationItems":[{"id":3599,"uris":["http://zotero.org/users/1379426/items/Z8PCLL9D"],"uri":["http://zotero.org/users/1379426/items/Z8PCLL9D"],"itemData":{"id":3599,"type":"article-journal","abstract":"Phenotypic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in Ecology &amp;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sidR="0017209D">
        <w:rPr>
          <w:noProof/>
        </w:rPr>
        <w:t>(Beaman et al., 2016; Ghalambor et al., 2007)</w:t>
      </w:r>
      <w:r>
        <w:fldChar w:fldCharType="end"/>
      </w:r>
      <w:r>
        <w:t xml:space="preserve">. </w:t>
      </w:r>
      <w:r w:rsidR="005D27B5">
        <w:t>Regardless</w:t>
      </w:r>
      <w:r w:rsidR="00C254DF">
        <w:t xml:space="preserve">, </w:t>
      </w:r>
      <w:r w:rsidR="00C254DF">
        <w:lastRenderedPageBreak/>
        <w:t>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fldChar w:fldCharType="begin"/>
      </w:r>
      <w:r w:rsidR="000F70BF">
        <w:instrText xml:space="preserve"> ADDIN ZOTERO_ITEM CSL_CITATION {"citationID":"hXv6a1VY","properties":{"formattedCitation":"(Beldade et al., 2011; Noble et al., 2019; West-Eberhard, 2003)","plainCitation":"(Beldade et al., 2011; Noble et al., 2019; West-Eberhard, 2003)","noteIndex":0},"citationItems":[{"id":3452,"uris":["http://zotero.org/users/1379426/items/SSZZ3NFI"],"uri":["http://zotero.org/users/1379426/items/SSZZ3NFI"],"itemData":{"id":3452,"type":"article-journal","abstract":"Aside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sidR="000F70BF">
        <w:rPr>
          <w:noProof/>
        </w:rPr>
        <w:t>(Beldade et al., 2011; Noble et al., 2019; West-Eberhard, 2003)</w:t>
      </w:r>
      <w:r>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470477">
        <w:fldChar w:fldCharType="begin"/>
      </w:r>
      <w:r w:rsidR="00470477">
        <w:instrText xml:space="preserve"> ADDIN ZOTERO_ITEM CSL_CITATION {"citationID":"DMt2spJ6","properties":{"formattedCitation":"(Botero et al., 2015; Reed et al., 2010)","plainCitation":"(Botero et al., 2015;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470477">
        <w:fldChar w:fldCharType="separate"/>
      </w:r>
      <w:r w:rsidR="00470477">
        <w:rPr>
          <w:noProof/>
        </w:rPr>
        <w:t>(Botero et al., 2015; Reed et al., 2010)</w:t>
      </w:r>
      <w:r w:rsidR="00470477">
        <w:fldChar w:fldCharType="end"/>
      </w:r>
      <w:r w:rsidR="00955BAF">
        <w:t>.</w:t>
      </w:r>
    </w:p>
    <w:p w14:paraId="75FA4428" w14:textId="77777777" w:rsidR="002B0ED6" w:rsidRDefault="002B0ED6" w:rsidP="00203D94"/>
    <w:p w14:paraId="5DFB89D5" w14:textId="5A48875F" w:rsidR="003030DA" w:rsidRPr="002179BE" w:rsidRDefault="005D27B5" w:rsidP="007C535A">
      <w:pPr>
        <w:ind w:firstLine="720"/>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 </w:t>
      </w:r>
      <w:r w:rsidR="00D61D8E">
        <w:fldChar w:fldCharType="begin"/>
      </w:r>
      <w:r w:rsidR="00D61D8E">
        <w: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D61D8E">
        <w:fldChar w:fldCharType="separate"/>
      </w:r>
      <w:r w:rsidR="00D61D8E">
        <w:rPr>
          <w:noProof/>
        </w:rPr>
        <w:t>(Lynch &amp; Walsh, 1998)</w:t>
      </w:r>
      <w:r w:rsidR="00D61D8E">
        <w:fldChar w:fldCharType="end"/>
      </w:r>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1C5D32">
        <w:fldChar w:fldCharType="begin"/>
      </w:r>
      <w:r w:rsidR="00203D94">
        <w:instrText xml:space="preserve"> ADDIN ZOTERO_ITEM CSL_CITATION {"citationID":"Ia42ZUT7","properties":{"formattedCitation":"(Falconer &amp; Mackay, 1996)","plainCitation":"(Falconer &amp; Mackay, 1996)","noteIndex":0},"citationItems":[{"id":"9nT0ITq1/n1CI8i6b","uris":["http://zotero.org/users/1379426/items/KZU3WB8H"],"uri":["http://zotero.org/users/1379426/items/KZU3WB8H"],"itemData":{"id":3989,"type":"book","edition":"4","publisher":"Pearson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instrText>
      </w:r>
      <w:r w:rsidR="001C5D32">
        <w:fldChar w:fldCharType="separate"/>
      </w:r>
      <w:r w:rsidR="001C5D32">
        <w:rPr>
          <w:noProof/>
        </w:rPr>
        <w:t>(Falconer &amp; Mackay, 1996)</w:t>
      </w:r>
      <w:r w:rsidR="001C5D32">
        <w:fldChar w:fldCharType="end"/>
      </w:r>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203D94">
        <w:fldChar w:fldCharType="begin"/>
      </w:r>
      <w:r w:rsidR="00203D94">
        <w: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203D94">
        <w:fldChar w:fldCharType="separate"/>
      </w:r>
      <w:r w:rsidR="00203D94" w:rsidRPr="00203D94">
        <w:rPr>
          <w:rFonts w:cs="Times New Roman"/>
        </w:rPr>
        <w:t>(</w:t>
      </w:r>
      <w:proofErr w:type="spellStart"/>
      <w:r w:rsidR="00203D94" w:rsidRPr="00203D94">
        <w:rPr>
          <w:rFonts w:cs="Times New Roman"/>
        </w:rPr>
        <w:t>Charmantier</w:t>
      </w:r>
      <w:proofErr w:type="spellEnd"/>
      <w:r w:rsidR="00203D94" w:rsidRPr="00203D94">
        <w:rPr>
          <w:rFonts w:cs="Times New Roman"/>
        </w:rPr>
        <w:t xml:space="preserve"> &amp; </w:t>
      </w:r>
      <w:proofErr w:type="spellStart"/>
      <w:r w:rsidR="00203D94" w:rsidRPr="00203D94">
        <w:rPr>
          <w:rFonts w:cs="Times New Roman"/>
        </w:rPr>
        <w:t>Garant</w:t>
      </w:r>
      <w:proofErr w:type="spellEnd"/>
      <w:r w:rsidR="00203D94" w:rsidRPr="00203D94">
        <w:rPr>
          <w:rFonts w:cs="Times New Roman"/>
        </w:rPr>
        <w:t xml:space="preserve">, 2005; Fischer et al., 2020; Hoffmann &amp; </w:t>
      </w:r>
      <w:proofErr w:type="spellStart"/>
      <w:r w:rsidR="00203D94" w:rsidRPr="00203D94">
        <w:rPr>
          <w:rFonts w:cs="Times New Roman"/>
        </w:rPr>
        <w:t>Merilä</w:t>
      </w:r>
      <w:proofErr w:type="spellEnd"/>
      <w:r w:rsidR="00203D94" w:rsidRPr="00203D94">
        <w:rPr>
          <w:rFonts w:cs="Times New Roman"/>
        </w:rPr>
        <w:t xml:space="preserve">, 1999; Noble et al., 2019; </w:t>
      </w:r>
      <w:proofErr w:type="spellStart"/>
      <w:r w:rsidR="00203D94" w:rsidRPr="00203D94">
        <w:rPr>
          <w:rFonts w:cs="Times New Roman"/>
        </w:rPr>
        <w:t>Rowiński</w:t>
      </w:r>
      <w:proofErr w:type="spellEnd"/>
      <w:r w:rsidR="00203D94" w:rsidRPr="00203D94">
        <w:rPr>
          <w:rFonts w:cs="Times New Roman"/>
        </w:rPr>
        <w:t xml:space="preserve"> &amp; </w:t>
      </w:r>
      <w:proofErr w:type="spellStart"/>
      <w:r w:rsidR="00203D94" w:rsidRPr="00203D94">
        <w:rPr>
          <w:rFonts w:cs="Times New Roman"/>
        </w:rPr>
        <w:t>Rogell</w:t>
      </w:r>
      <w:proofErr w:type="spellEnd"/>
      <w:r w:rsidR="00203D94" w:rsidRPr="00203D94">
        <w:rPr>
          <w:rFonts w:cs="Times New Roman"/>
        </w:rPr>
        <w:t>, 2017; Wood &amp; Brodie, 2015)</w:t>
      </w:r>
      <w:r w:rsidR="00203D94">
        <w:fldChar w:fldCharType="end"/>
      </w:r>
      <w:r w:rsidR="003030DA">
        <w:t>.</w:t>
      </w:r>
      <w:proofErr w:type="spellStart"/>
      <w:r w:rsidR="003030DA" w:rsidRPr="00AB1956">
        <w:t xml:space="preserve"> </w:t>
      </w:r>
      <w:proofErr w:type="spellEnd"/>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3030DA">
        <w:fldChar w:fldCharType="begin"/>
      </w:r>
      <w:r w:rsidR="00402A81">
        <w: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3030DA">
        <w:fldChar w:fldCharType="separate"/>
      </w:r>
      <w:r w:rsidR="00402A81" w:rsidRPr="00402A81">
        <w:rPr>
          <w:rFonts w:cs="Times New Roman"/>
        </w:rPr>
        <w:t>(Hoffman &amp; Parsons, 1991; Hoffmann &amp; Merilä, 1999)</w:t>
      </w:r>
      <w:r w:rsidR="003030DA">
        <w:fldChar w:fldCharType="end"/>
      </w:r>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3030DA">
        <w:fldChar w:fldCharType="begin"/>
      </w:r>
      <w:r w:rsidR="00203D94">
        <w:instrText xml:space="preserve"> ADDIN ZOTERO_ITEM CSL_CITATION {"citationID":"8InbjA87","properties":{"formattedCitation":"(Paaby &amp; Rockman, 2014)","plainCitation":"(Paaby &amp; Rockman, 2014)","noteIndex":0},"citationItems":[{"id":"9nT0ITq1/ZekjTQdo","uris":["http://zotero.org/users/1379426/items/L8RKS7SG"],"uri":["http://zotero.org/users/1379426/items/L8RKS7SG"],"itemData":{"id":3197,"type":"article-journal","abstract":"Cryptic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rsidR="003030DA">
        <w:fldChar w:fldCharType="separate"/>
      </w:r>
      <w:r w:rsidR="003030DA">
        <w:rPr>
          <w:noProof/>
        </w:rPr>
        <w:t>(Paaby &amp; Rockman, 2014)</w:t>
      </w:r>
      <w:r w:rsidR="003030DA">
        <w:fldChar w:fldCharType="end"/>
      </w:r>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3030DA">
        <w:fldChar w:fldCharType="begin"/>
      </w:r>
      <w:r w:rsidR="00203D94">
        <w: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rsidR="003030DA">
        <w:fldChar w:fldCharType="separate"/>
      </w:r>
      <w:r w:rsidR="00203D94">
        <w:rPr>
          <w:noProof/>
        </w:rPr>
        <w:t>(Charmantier &amp; Garant, 2005; Coltman et al., 2001)</w:t>
      </w:r>
      <w:r w:rsidR="003030DA">
        <w:fldChar w:fldCharType="end"/>
      </w:r>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w:t>
      </w:r>
      <w:r w:rsidR="00AD24C8">
        <w:t xml:space="preserve">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3030DA"/>
    <w:p w14:paraId="5545D77F" w14:textId="2439442F" w:rsidR="003030DA" w:rsidRPr="00E64B49" w:rsidRDefault="003030DA" w:rsidP="00E64B49">
      <w:pPr>
        <w:ind w:firstLine="720"/>
      </w:pPr>
      <w:r>
        <w:t xml:space="preserve">Comparative studies have shown that the influence of </w:t>
      </w:r>
      <w:r w:rsidR="0085156C">
        <w:t xml:space="preserve">environmental stress on genetic variance during </w:t>
      </w:r>
      <w:r>
        <w:t xml:space="preserve">development is not straightforward </w:t>
      </w:r>
      <w:r>
        <w:fldChar w:fldCharType="begin"/>
      </w:r>
      <w:r w:rsidR="00203D94">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00203D94" w:rsidRPr="00203D94">
        <w:rPr>
          <w:rFonts w:cs="Times New Roman"/>
        </w:rPr>
        <w:t>(</w:t>
      </w:r>
      <w:proofErr w:type="spellStart"/>
      <w:r w:rsidR="00203D94" w:rsidRPr="00203D94">
        <w:rPr>
          <w:rFonts w:cs="Times New Roman"/>
        </w:rPr>
        <w:t>Charmantier</w:t>
      </w:r>
      <w:proofErr w:type="spellEnd"/>
      <w:r w:rsidR="00203D94" w:rsidRPr="00203D94">
        <w:rPr>
          <w:rFonts w:cs="Times New Roman"/>
        </w:rPr>
        <w:t xml:space="preserve"> &amp; </w:t>
      </w:r>
      <w:proofErr w:type="spellStart"/>
      <w:r w:rsidR="00203D94" w:rsidRPr="00203D94">
        <w:rPr>
          <w:rFonts w:cs="Times New Roman"/>
        </w:rPr>
        <w:t>Garant</w:t>
      </w:r>
      <w:proofErr w:type="spellEnd"/>
      <w:r w:rsidR="00203D94" w:rsidRPr="00203D94">
        <w:rPr>
          <w:rFonts w:cs="Times New Roman"/>
        </w:rPr>
        <w:t xml:space="preserve">, 2005; Hoffmann &amp; </w:t>
      </w:r>
      <w:proofErr w:type="spellStart"/>
      <w:r w:rsidR="00203D94" w:rsidRPr="00203D94">
        <w:rPr>
          <w:rFonts w:cs="Times New Roman"/>
        </w:rPr>
        <w:t>Merilä</w:t>
      </w:r>
      <w:proofErr w:type="spellEnd"/>
      <w:r w:rsidR="00203D94" w:rsidRPr="00203D94">
        <w:rPr>
          <w:rFonts w:cs="Times New Roman"/>
        </w:rPr>
        <w:t xml:space="preserve">, 1999; </w:t>
      </w:r>
      <w:proofErr w:type="spellStart"/>
      <w:r w:rsidR="00203D94" w:rsidRPr="00203D94">
        <w:rPr>
          <w:rFonts w:cs="Times New Roman"/>
        </w:rPr>
        <w:t>Rowiński</w:t>
      </w:r>
      <w:proofErr w:type="spellEnd"/>
      <w:r w:rsidR="00203D94" w:rsidRPr="00203D94">
        <w:rPr>
          <w:rFonts w:cs="Times New Roman"/>
        </w:rPr>
        <w:t xml:space="preserve"> &amp; </w:t>
      </w:r>
      <w:proofErr w:type="spellStart"/>
      <w:r w:rsidR="00203D94" w:rsidRPr="00203D94">
        <w:rPr>
          <w:rFonts w:cs="Times New Roman"/>
        </w:rPr>
        <w:t>Rogell</w:t>
      </w:r>
      <w:proofErr w:type="spellEnd"/>
      <w:r w:rsidR="00203D94" w:rsidRPr="00203D94">
        <w:rPr>
          <w:rFonts w:cs="Times New Roman"/>
        </w:rPr>
        <w:t>, 2017)</w:t>
      </w:r>
      <w:r>
        <w:fldChar w:fldCharType="end"/>
      </w:r>
      <w:r>
        <w:t xml:space="preserve">. In lab studies, </w:t>
      </w:r>
      <w:r w:rsidR="00BC51E9">
        <w:t xml:space="preserve">elevated </w:t>
      </w:r>
      <w:r>
        <w:t>developmental stress ha</w:t>
      </w:r>
      <w:r w:rsidR="00475A8F">
        <w:t>s</w:t>
      </w:r>
      <w:r>
        <w:t xml:space="preser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rsidR="00203D94">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instrText>
      </w:r>
      <w:r>
        <w:fldChar w:fldCharType="separate"/>
      </w:r>
      <w:r w:rsidR="00203D94">
        <w:rPr>
          <w:noProof/>
        </w:rPr>
        <w:t>(Charmantier &amp; Garant, 2005)</w:t>
      </w:r>
      <w:r>
        <w:fldChar w:fldCharType="end"/>
      </w:r>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fldChar w:fldCharType="begin"/>
      </w:r>
      <w:r w:rsidR="00203D94">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sidR="00203D94">
        <w:rPr>
          <w:noProof/>
        </w:rPr>
        <w:t>(Charmantier &amp; Garant, 2005; Dahlgaard &amp; Hoffmann, 2000)</w:t>
      </w:r>
      <w:r>
        <w:fldChar w:fldCharType="end"/>
      </w:r>
      <w:r>
        <w:t>.</w:t>
      </w:r>
      <w:r w:rsidR="007C535A">
        <w:t xml:space="preserve"> Importantly, e</w:t>
      </w:r>
      <w:r>
        <w:t xml:space="preserve">nvironmental comparisons of heritability have been criticised as </w:t>
      </w:r>
      <w:r w:rsidR="007C535A">
        <w:t>the</w:t>
      </w:r>
      <w:r w:rsidR="009867E0">
        <w:t xml:space="preserve"> ratio nature of </w:t>
      </w:r>
      <w:r w:rsidR="00F8101C">
        <w:t>its</w:t>
      </w:r>
      <w:r w:rsidR="009867E0">
        <w:t xml:space="preserve"> calculations</w:t>
      </w:r>
      <w:r w:rsidR="004171FC">
        <w:t xml:space="preserve"> </w:t>
      </w:r>
      <w:r w:rsidR="009867E0">
        <w:t>can mask</w:t>
      </w:r>
      <w:r w:rsidR="00326D46">
        <w:t xml:space="preserve"> changes in the</w:t>
      </w:r>
      <w:r>
        <w:t xml:space="preserve"> relative contributions of non-genetic </w:t>
      </w:r>
      <w:r w:rsidR="00326D46">
        <w:t xml:space="preserve">and genetic </w:t>
      </w:r>
      <w:r>
        <w:t>variance</w:t>
      </w:r>
      <w:r w:rsidR="00326D46">
        <w:t xml:space="preserve"> </w:t>
      </w:r>
      <w:r w:rsidR="0085156C">
        <w:fldChar w:fldCharType="begin"/>
      </w:r>
      <w:r w:rsidR="0085156C">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85156C">
        <w:fldChar w:fldCharType="separate"/>
      </w:r>
      <w:r w:rsidR="0085156C" w:rsidRPr="005C0FF3">
        <w:rPr>
          <w:rFonts w:cs="Times New Roman"/>
        </w:rPr>
        <w:t>(Rowiński &amp; Rogell, 2017)</w:t>
      </w:r>
      <w:r w:rsidR="0085156C">
        <w:fldChar w:fldCharType="end"/>
      </w:r>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 xml:space="preserve">of life history traits </w:t>
      </w:r>
      <w:r w:rsidR="00F8101C">
        <w:t>which</w:t>
      </w:r>
      <w:r w:rsidR="007C535A">
        <w:t xml:space="preserve"> </w:t>
      </w:r>
      <w:r w:rsidR="00EF1492">
        <w:t xml:space="preserve">has been argued </w:t>
      </w:r>
      <w:r w:rsidR="007C535A">
        <w:t>to be more important to fitness</w:t>
      </w:r>
      <w:r w:rsidR="00EF1492">
        <w:t>,</w:t>
      </w:r>
      <w:r w:rsidR="0085156C">
        <w:t xml:space="preserve"> did not change between control and stressful conditions</w:t>
      </w:r>
      <w:r w:rsidR="00EF1492">
        <w:t xml:space="preserve"> </w:t>
      </w:r>
      <w:r w:rsidR="00EF1492">
        <w:fldChar w:fldCharType="begin"/>
      </w:r>
      <w:r w:rsidR="0017209D">
        <w: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EF1492">
        <w:fldChar w:fldCharType="separate"/>
      </w:r>
      <w:r w:rsidR="00EF1492" w:rsidRPr="005C0FF3">
        <w:rPr>
          <w:rFonts w:cs="Times New Roman"/>
        </w:rPr>
        <w:t>(Rowiński &amp; Rogell, 2017)</w:t>
      </w:r>
      <w:r w:rsidR="00EF1492">
        <w:fldChar w:fldCharType="end"/>
      </w:r>
      <w:r w:rsidR="0085156C">
        <w:t>. The</w:t>
      </w:r>
      <w:r w:rsidR="00EF1492">
        <w:t xml:space="preserve"> same</w:t>
      </w:r>
      <w:r w:rsidR="0085156C">
        <w:t xml:space="preserve"> pattern was observed for morphological traits</w:t>
      </w:r>
      <w:r w:rsidR="00F8101C">
        <w:t xml:space="preserve"> </w:t>
      </w:r>
      <w:r w:rsidR="00F8101C">
        <w:fldChar w:fldCharType="begin"/>
      </w:r>
      <w:r w:rsidR="00F8101C">
        <w: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F8101C">
        <w:fldChar w:fldCharType="separate"/>
      </w:r>
      <w:r w:rsidR="00F8101C">
        <w:rPr>
          <w:noProof/>
        </w:rPr>
        <w:t>(Fischer et al., 2020)</w:t>
      </w:r>
      <w:r w:rsidR="00F8101C">
        <w:fldChar w:fldCharType="end"/>
      </w:r>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 (</w:t>
      </w:r>
      <w:proofErr w:type="spellStart"/>
      <w:r w:rsidR="0085156C" w:rsidRPr="005810ED">
        <w:rPr>
          <w:rFonts w:cs="Times New Roman"/>
        </w:rPr>
        <w:t>Rowiński</w:t>
      </w:r>
      <w:proofErr w:type="spellEnd"/>
      <w:r w:rsidR="0085156C" w:rsidRPr="005810ED">
        <w:rPr>
          <w:rFonts w:cs="Times New Roman"/>
        </w:rPr>
        <w:t xml:space="preserve"> &amp; </w:t>
      </w:r>
      <w:proofErr w:type="spellStart"/>
      <w:r w:rsidR="0085156C" w:rsidRPr="005810ED">
        <w:rPr>
          <w:rFonts w:cs="Times New Roman"/>
        </w:rPr>
        <w:t>Rogell</w:t>
      </w:r>
      <w:proofErr w:type="spellEnd"/>
      <w:r w:rsidR="0085156C" w:rsidRPr="005810ED">
        <w:rPr>
          <w:rFonts w:cs="Times New Roman"/>
        </w:rPr>
        <w:t>, 2017</w:t>
      </w:r>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3030DA"/>
    <w:p w14:paraId="49380BE4" w14:textId="2C42E001" w:rsidR="003030DA" w:rsidRDefault="003030DA" w:rsidP="00350C4D">
      <w:pPr>
        <w:ind w:firstLine="720"/>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98547C">
        <w:fldChar w:fldCharType="begin"/>
      </w:r>
      <w:r w:rsidR="0098547C">
        <w: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98547C">
        <w:fldChar w:fldCharType="separate"/>
      </w:r>
      <w:r w:rsidR="0098547C">
        <w:rPr>
          <w:noProof/>
        </w:rPr>
        <w:t>(Noordwijk et al., 1988; Stillwell &amp; Fox, 2009)</w:t>
      </w:r>
      <w:r w:rsidR="0098547C">
        <w:fldChar w:fldCharType="end"/>
      </w:r>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fldChar w:fldCharType="begin"/>
      </w:r>
      <w:r w:rsidR="000F70BF">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sidR="000F70BF">
        <w:rPr>
          <w:noProof/>
        </w:rPr>
        <w:t>(Eyck et al., 2019; Noble et al., 2017)</w:t>
      </w:r>
      <w:r>
        <w:fldChar w:fldCharType="end"/>
      </w:r>
      <w:r>
        <w:t xml:space="preserve">. </w:t>
      </w:r>
      <w:r w:rsidR="004729E4">
        <w:t>M</w:t>
      </w:r>
      <w:r>
        <w:t xml:space="preserve">aternal </w:t>
      </w:r>
      <w:r w:rsidR="00E15365">
        <w:lastRenderedPageBreak/>
        <w:t xml:space="preserve">investment in </w:t>
      </w:r>
      <w:r>
        <w:t>offspring</w:t>
      </w:r>
      <w:r w:rsidR="004729E4">
        <w:t xml:space="preserve"> are also important sources of body size variation</w:t>
      </w:r>
      <w:r w:rsidR="0098547C">
        <w:t xml:space="preserve"> </w:t>
      </w:r>
      <w:r w:rsidR="0098547C">
        <w:fldChar w:fldCharType="begin"/>
      </w:r>
      <w:r w:rsidR="0098547C">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98547C" w:rsidRPr="0098547C">
        <w:rPr>
          <w:rFonts w:cs="Times New Roman"/>
        </w:rPr>
        <w:t>(Noble et al., 2014; Wilson &amp; Réale,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98547C">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98547C">
        <w:rPr>
          <w:noProof/>
        </w:rPr>
        <w:t>(Mitchell et al., 2018; Shine &amp; Harlow, 1996; Uller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98547C">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in Ecology &amp;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98547C">
        <w:rPr>
          <w:noProof/>
        </w:rPr>
        <w:t>(Mousseau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BC6055">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8C73F4">
        <w:rPr>
          <w:noProof/>
        </w:rPr>
        <w:t>(Krist, 2010; Wilson, Kruuk,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A2753A">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A2753A">
        <w:rPr>
          <w:noProof/>
        </w:rPr>
        <w:t>(Kruuk,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350C4D">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350C4D" w:rsidRPr="00350C4D">
        <w:rPr>
          <w:rFonts w:cs="Times New Roman"/>
        </w:rPr>
        <w:t>(Réale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203D94">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203D94">
        <w:rPr>
          <w:noProof/>
        </w:rPr>
        <w:t>(Charmantier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w:t>
      </w:r>
      <w:r w:rsidR="00350C4D">
        <w:rPr>
          <w:lang w:val="en-AU"/>
        </w:rPr>
        <w:t xml:space="preserve">nal) </w:t>
      </w:r>
      <w:r w:rsidR="002179BE">
        <w:t>are predicted to vary</w:t>
      </w:r>
      <w:r w:rsidR="00350C4D">
        <w:t xml:space="preserve"> across ontogeny and temporal approach is therefore needed in order to evaluate when evolutionary potential of body size is greatest. </w:t>
      </w:r>
    </w:p>
    <w:p w14:paraId="476C607A" w14:textId="77777777" w:rsidR="00350C4D" w:rsidRDefault="00350C4D" w:rsidP="00350C4D">
      <w:pPr>
        <w:ind w:firstLine="720"/>
      </w:pPr>
    </w:p>
    <w:p w14:paraId="6EB3FE54" w14:textId="0D95CD84" w:rsidR="00496477" w:rsidRDefault="003030DA" w:rsidP="00496477">
      <w:pPr>
        <w:ind w:firstLine="720"/>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496477">
      <w:pPr>
        <w:pStyle w:val="Heading1"/>
      </w:pPr>
      <w:r>
        <w:t>Materials and Methods</w:t>
      </w:r>
    </w:p>
    <w:p w14:paraId="0D48CAC6" w14:textId="10BE18A8" w:rsidR="00496477" w:rsidRDefault="005B39E9" w:rsidP="00496477">
      <w:pPr>
        <w:pStyle w:val="Heading2"/>
      </w:pPr>
      <w:r>
        <w:t>Lizard collection and husbandry</w:t>
      </w:r>
    </w:p>
    <w:p w14:paraId="3C97B98A" w14:textId="47ECAD15" w:rsidR="00496477" w:rsidRDefault="00496477" w:rsidP="00496477">
      <w:pPr>
        <w:ind w:firstLine="720"/>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144,  </w:t>
      </w:r>
      <w:proofErr w:type="spellStart"/>
      <w:r>
        <w:t>n</w:t>
      </w:r>
      <w:r w:rsidRPr="00237431">
        <w:rPr>
          <w:vertAlign w:val="subscript"/>
        </w:rPr>
        <w:t>males</w:t>
      </w:r>
      <w:proofErr w:type="spellEnd"/>
      <w:r>
        <w:t xml:space="preserve"> = 50) using wild individuals collected across five sites throughout the Sydney region between August and September 2015. </w:t>
      </w:r>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w:t>
      </w:r>
      <w:r w:rsidR="005B39E9">
        <w:t>led</w:t>
      </w:r>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w:t>
      </w:r>
      <w:r>
        <w:lastRenderedPageBreak/>
        <w:t xml:space="preserve">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632C0E">
      <w:pPr>
        <w:pStyle w:val="Thesisnormal"/>
      </w:pPr>
    </w:p>
    <w:p w14:paraId="0C7BC104" w14:textId="5596681F" w:rsidR="00496477" w:rsidRDefault="00496477" w:rsidP="00496477">
      <w:pPr>
        <w:pStyle w:val="Heading2"/>
      </w:pPr>
      <w:r>
        <w:t xml:space="preserve">Developmental Temperature </w:t>
      </w:r>
      <w:r w:rsidR="005B39E9">
        <w:t>Manipulations</w:t>
      </w:r>
    </w:p>
    <w:p w14:paraId="02A85D58" w14:textId="08563B20" w:rsidR="00496477" w:rsidRDefault="00496477" w:rsidP="00496477">
      <w:pPr>
        <w:ind w:firstLine="720"/>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r>
        <w:t>24 hour</w:t>
      </w:r>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sites </w:t>
      </w:r>
      <w:r w:rsidR="007E12BE">
        <w:t xml:space="preserve">for </w:t>
      </w:r>
      <w:r>
        <w:rPr>
          <w:i/>
          <w:iCs/>
        </w:rPr>
        <w:t xml:space="preserve">L. </w:t>
      </w:r>
      <w:proofErr w:type="spellStart"/>
      <w:r>
        <w:rPr>
          <w:i/>
          <w:iCs/>
        </w:rPr>
        <w:t>delicata</w:t>
      </w:r>
      <w:proofErr w:type="spellEnd"/>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3D16AE4F" w14:textId="51A02974" w:rsidR="00496477" w:rsidRDefault="00496477" w:rsidP="00272B5F">
      <w:pPr>
        <w:ind w:firstLine="720"/>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w:t>
      </w:r>
      <w:r w:rsidR="00F86910">
        <w:t>he mean age for hot incubated lizards was 335.82 (range: 0 – 711) and for cold incubated lizards it was 384.8 (range: 0 – 707)</w:t>
      </w:r>
      <w:r w:rsidR="00F86910">
        <w:t xml:space="preserve"> which is approximately 25 – 50% of their total lifespan </w:t>
      </w:r>
      <w:r w:rsidR="00F86910">
        <w:fldChar w:fldCharType="begin"/>
      </w:r>
      <w:r w:rsidR="00F86910">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F86910">
        <w:rPr>
          <w:noProof/>
        </w:rPr>
        <w:t>(Chapple et al., 2014)</w:t>
      </w:r>
      <w:r w:rsidR="00F86910">
        <w:fldChar w:fldCharType="end"/>
      </w:r>
      <w:r w:rsidR="00F86910">
        <w:t>.</w:t>
      </w:r>
      <w:commentRangeStart w:id="1"/>
      <w:commentRangeEnd w:id="1"/>
      <w:r w:rsidR="00F86910">
        <w:rPr>
          <w:rStyle w:val="CommentReference"/>
        </w:rPr>
        <w:commentReference w:id="1"/>
      </w:r>
      <w:commentRangeStart w:id="2"/>
      <w:commentRangeEnd w:id="2"/>
      <w:r w:rsidR="00F86910">
        <w:rPr>
          <w:rStyle w:val="CommentReference"/>
        </w:rPr>
        <w:commentReference w:id="2"/>
      </w:r>
      <w:commentRangeStart w:id="3"/>
      <w:commentRangeEnd w:id="3"/>
      <w:r w:rsidR="00F86910">
        <w:rPr>
          <w:rStyle w:val="CommentReference"/>
        </w:rPr>
        <w:commentReference w:id="3"/>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5579D1">
      <w:pPr>
        <w:pStyle w:val="Thesissubheading"/>
        <w:rPr>
          <w:iCs/>
        </w:rPr>
      </w:pPr>
      <w:r w:rsidRPr="00D92F42">
        <w:t>Genomic Relatedness</w:t>
      </w:r>
      <w:r w:rsidR="003F0035">
        <w:t xml:space="preserve"> Matrix</w:t>
      </w:r>
    </w:p>
    <w:p w14:paraId="500A1B21" w14:textId="6552790B" w:rsidR="00496477" w:rsidRDefault="006A796C" w:rsidP="00496477">
      <w:pPr>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lastRenderedPageBreak/>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496477">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Moreover, both relatedness and heritability values estimated from a GRM</w:t>
      </w:r>
      <w:r w:rsidR="002A7E5F">
        <w:t xml:space="preserve"> very similar </w:t>
      </w:r>
      <w:r w:rsidR="00496477">
        <w:t xml:space="preserve">to those inferred using a pedigree </w:t>
      </w:r>
      <w:r w:rsidR="00496477">
        <w:fldChar w:fldCharType="begin"/>
      </w:r>
      <w:r w:rsidR="00496477">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w:t>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r w:rsidRPr="005D3EB4">
        <w:rPr>
          <w:rFonts w:cs="Times New Roman"/>
        </w:rPr>
        <w:t xml:space="preserve"> 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27E33DA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1A068881" w:rsidR="00496477" w:rsidRDefault="00496477" w:rsidP="00496477">
      <w:r>
        <w:t xml:space="preserve">where </w:t>
      </w:r>
      <w:r>
        <w:rPr>
          <w:i/>
          <w:iCs/>
        </w:rPr>
        <w:t>Z</w:t>
      </w:r>
      <w:r>
        <w:t xml:space="preserve"> is the </w:t>
      </w:r>
      <w:proofErr w:type="spellStart"/>
      <w:r>
        <w:t>centered</w:t>
      </w:r>
      <w:proofErr w:type="spellEnd"/>
      <w:r>
        <w:t xml:space="preserve"> 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49AA6370" w:rsidR="00496477" w:rsidRPr="0013470E" w:rsidRDefault="00496477" w:rsidP="00496477">
      <w:pPr>
        <w:pStyle w:val="BodyText"/>
        <w:ind w:firstLine="720"/>
      </w:pPr>
      <w:r w:rsidRPr="00471098">
        <w:t xml:space="preserve">All analyses were performed using </w:t>
      </w:r>
      <w:r w:rsidRPr="00471098">
        <w:rPr>
          <w:i/>
          <w:iCs/>
        </w:rPr>
        <w:t>R</w:t>
      </w:r>
      <w:r w:rsidRPr="00471098">
        <w:t xml:space="preserve"> </w:t>
      </w:r>
      <w:r w:rsidRPr="00471098">
        <w:fldChar w:fldCharType="begin"/>
      </w:r>
      <w:r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Pr="00471098">
        <w:fldChar w:fldCharType="separate"/>
      </w:r>
      <w:r w:rsidRPr="00471098">
        <w:rPr>
          <w:noProof/>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632C0E">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632C0E" w:rsidRPr="00632C0E">
        <w:rPr>
          <w:rFonts w:cs="Times New Roman"/>
          <w:lang w:val="en-GB"/>
        </w:rPr>
        <w:t>(Bürkner, 2017; Gelman et al., 2015)</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5579D1">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205370" w:rsidR="00496477" w:rsidRDefault="00496477" w:rsidP="00496477">
      <w:pPr>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BC6055">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D756B0"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227BFCA3" w:rsidR="00C563B4" w:rsidRDefault="00496477" w:rsidP="007A461C">
      <w:pPr>
        <w:pStyle w:val="Thesisnormal"/>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632C0E">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632C0E" w:rsidRPr="00632C0E">
        <w:rPr>
          <w:rFonts w:cs="Times New Roman"/>
        </w:rPr>
        <w:t>(Wilson &amp; Réale,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632C0E">
      <w:pPr>
        <w:pStyle w:val="Thesisnormal"/>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496477">
      <w:pPr>
        <w:ind w:firstLine="720"/>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D756B0"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349A5A3B" w:rsidR="00496477" w:rsidRDefault="00496477" w:rsidP="00496477">
      <w:pPr>
        <w:pStyle w:val="FirstParagraph"/>
      </w:pPr>
      <w:r>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w:t>
      </w:r>
      <w:r>
        <w:lastRenderedPageBreak/>
        <w:t xml:space="preserve">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D756B0"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5C9151F" w:rsidR="001F5511" w:rsidRDefault="001F5511" w:rsidP="00632C0E">
      <w:pPr>
        <w:pStyle w:val="Thesisnormal"/>
      </w:pPr>
      <w:r>
        <w:t xml:space="preserve">As the mean body mass increases over time, the variance may also increase concurrently due to scale effects and potentially bias estimates of quantitative genetics parameters </w:t>
      </w:r>
      <w:r>
        <w:fldChar w:fldCharType="begin"/>
      </w:r>
      <w:r w:rsidR="00BC6055">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w:instrText>
      </w:r>
      <w:r w:rsidR="00BC6055">
        <w:rPr>
          <w:rFonts w:ascii="Cambria Math" w:hAnsi="Cambria Math" w:cs="Cambria Math"/>
        </w:rPr>
        <w:instrText>‐</w:instrText>
      </w:r>
      <w:r w:rsidR="00BC6055">
        <w:instrText xml:space="preserv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632C0E">
      <w:pPr>
        <w:pStyle w:val="Thesisnormal"/>
      </w:pPr>
    </w:p>
    <w:p w14:paraId="37D08EA3" w14:textId="39D60DB1" w:rsidR="00496477" w:rsidRPr="005579D1" w:rsidRDefault="00496477" w:rsidP="005579D1">
      <w:pPr>
        <w:pStyle w:val="Thesissubheading"/>
      </w:pPr>
      <w:r w:rsidRPr="005579D1">
        <w:t>The Influence of Developmental Temperature on Growth Trajectories</w:t>
      </w:r>
    </w:p>
    <w:p w14:paraId="68483B82" w14:textId="77777777" w:rsidR="00AC4E55" w:rsidRDefault="00CB2033" w:rsidP="00AC4E55">
      <w:pPr>
        <w:ind w:firstLine="720"/>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AC4E55"/>
    <w:p w14:paraId="3C96E0D2" w14:textId="361FE58F" w:rsidR="00496477" w:rsidRDefault="00496477" w:rsidP="00AC4E55">
      <w:r w:rsidRPr="00AC4E55">
        <w:rPr>
          <w:rStyle w:val="Heading1Char"/>
        </w:rPr>
        <w:t>Results</w:t>
      </w:r>
    </w:p>
    <w:p w14:paraId="07D5A4F5" w14:textId="298617B3" w:rsidR="00AC4E55" w:rsidRDefault="00885D52" w:rsidP="00AC4E55">
      <w:pPr>
        <w:pStyle w:val="FirstParagraph"/>
        <w:ind w:firstLine="720"/>
      </w:pPr>
      <w:r>
        <w:t xml:space="preserve">Over two years, we </w:t>
      </w:r>
      <w:commentRangeStart w:id="4"/>
      <w:commentRangeStart w:id="5"/>
      <w:commentRangeStart w:id="6"/>
      <w:r>
        <w:t>collected 3</w:t>
      </w:r>
      <w:r w:rsidR="00723E50">
        <w:t>,</w:t>
      </w:r>
      <w:r>
        <w:t xml:space="preserve">002 observations </w:t>
      </w:r>
      <w:commentRangeEnd w:id="4"/>
      <w:r w:rsidR="00DA2B1D">
        <w:rPr>
          <w:rStyle w:val="CommentReference"/>
          <w:lang w:val="en-GB"/>
        </w:rPr>
        <w:commentReference w:id="4"/>
      </w:r>
      <w:commentRangeEnd w:id="5"/>
      <w:r w:rsidR="005579D1">
        <w:rPr>
          <w:rStyle w:val="CommentReference"/>
          <w:lang w:val="en-GB"/>
        </w:rPr>
        <w:commentReference w:id="5"/>
      </w:r>
      <w:commentRangeEnd w:id="6"/>
      <w:r w:rsidR="00B73F56">
        <w:rPr>
          <w:rStyle w:val="CommentReference"/>
          <w:lang w:val="en-GB"/>
        </w:rPr>
        <w:commentReference w:id="6"/>
      </w:r>
      <w:r>
        <w:t>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AC4E55">
      <w:pPr>
        <w:pStyle w:val="FirstParagraph"/>
        <w:ind w:firstLine="720"/>
      </w:pPr>
      <w:r>
        <w:t>Overall, additive genetic variance, permanent environmental variance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6606EC4" w:rsidR="00C6294D" w:rsidRPr="00C6294D" w:rsidRDefault="00AC4E55" w:rsidP="00C6294D">
      <w:pPr>
        <w:rPr>
          <w:lang w:val="en-HK"/>
        </w:rPr>
      </w:pPr>
      <w:r w:rsidRPr="00B32DFC">
        <w:rPr>
          <w:noProof/>
        </w:rPr>
        <w:lastRenderedPageBreak/>
        <w:drawing>
          <wp:anchor distT="0" distB="0" distL="114300" distR="114300" simplePos="0" relativeHeight="251661312" behindDoc="1" locked="0" layoutInCell="1" allowOverlap="1" wp14:anchorId="6F6C88ED" wp14:editId="1F422022">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r w:rsidR="00C6294D">
        <w:t>n</w:t>
      </w:r>
      <w:r w:rsidR="00C6294D" w:rsidRPr="00330A62">
        <w:rPr>
          <w:vertAlign w:val="subscript"/>
        </w:rPr>
        <w:t>lizards</w:t>
      </w:r>
      <w:proofErr w:type="spellEnd"/>
      <w:r w:rsidR="00C6294D" w:rsidDel="002B435C">
        <w:t xml:space="preserve"> </w:t>
      </w:r>
      <w:r w:rsidR="00C6294D">
        <w:t xml:space="preserve"> =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5AE27B19" w:rsidR="00AC4E55" w:rsidRPr="007650FB" w:rsidRDefault="00AC4E55" w:rsidP="007650FB">
      <w:pPr>
        <w:pStyle w:val="FirstParagraph"/>
      </w:pPr>
      <w:r w:rsidRPr="00C00E8D">
        <w:rPr>
          <w:noProof/>
          <w:lang w:val="en-HK"/>
        </w:rPr>
        <w:drawing>
          <wp:anchor distT="0" distB="0" distL="114300" distR="114300" simplePos="0" relativeHeight="251660288" behindDoc="1" locked="0" layoutInCell="1" allowOverlap="1" wp14:anchorId="06414FA2" wp14:editId="14C168E9">
            <wp:simplePos x="0" y="0"/>
            <wp:positionH relativeFrom="column">
              <wp:posOffset>1457325</wp:posOffset>
            </wp:positionH>
            <wp:positionV relativeFrom="paragraph">
              <wp:posOffset>548005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t>
      </w:r>
      <w:r w:rsidR="0096446A">
        <w:t xml:space="preserve">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7788FF38" w:rsidR="005036BC" w:rsidRPr="005036BC" w:rsidRDefault="005036BC" w:rsidP="005036BC">
      <w:pPr>
        <w:pStyle w:val="BodyText"/>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512ACF">
      <w:pPr>
        <w:pStyle w:val="FirstParagraph"/>
        <w:ind w:firstLine="720"/>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37432B">
      <w:pPr>
        <w:pStyle w:val="FirstParagraph"/>
        <w:ind w:firstLine="720"/>
      </w:pPr>
      <w:r w:rsidRPr="00806B78">
        <w:t>After</w:t>
      </w:r>
      <w:r>
        <w:t xml:space="preserve"> </w:t>
      </w:r>
      <w:r w:rsidR="00806B78">
        <w:t>accounting</w:t>
      </w:r>
      <w:r>
        <w:t xml:space="preserve"> for heterogenous residual variance, we found no treatment differences in </w:t>
      </w:r>
      <w:r w:rsidR="009A1FDF">
        <w:t>h</w:t>
      </w:r>
      <w:r w:rsidR="009A1FDF">
        <w:t>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96446A">
      <w:pPr>
        <w:pStyle w:val="BodyText"/>
      </w:pPr>
      <w:r w:rsidRPr="0037432B">
        <w:rPr>
          <w:noProof/>
        </w:rPr>
        <w:drawing>
          <wp:anchor distT="0" distB="0" distL="114300" distR="114300" simplePos="0" relativeHeight="251662336" behindDoc="1" locked="0" layoutInCell="1" allowOverlap="1" wp14:anchorId="1B62A1B8" wp14:editId="09EF03FC">
            <wp:simplePos x="0" y="0"/>
            <wp:positionH relativeFrom="column">
              <wp:posOffset>568729</wp:posOffset>
            </wp:positionH>
            <wp:positionV relativeFrom="paragraph">
              <wp:posOffset>104314</wp:posOffset>
            </wp:positionV>
            <wp:extent cx="4639310" cy="4606925"/>
            <wp:effectExtent l="0" t="0" r="0" b="3175"/>
            <wp:wrapTight wrapText="bothSides">
              <wp:wrapPolygon edited="0">
                <wp:start x="0" y="0"/>
                <wp:lineTo x="0" y="21555"/>
                <wp:lineTo x="21523" y="21555"/>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96446A">
      <w:pPr>
        <w:pStyle w:val="BodyText"/>
        <w:rPr>
          <w:b/>
          <w:bCs/>
        </w:rPr>
      </w:pPr>
    </w:p>
    <w:p w14:paraId="2ECEBB21" w14:textId="77777777" w:rsidR="007650FB" w:rsidRDefault="007650FB" w:rsidP="0096446A">
      <w:pPr>
        <w:pStyle w:val="BodyText"/>
        <w:rPr>
          <w:b/>
          <w:bCs/>
        </w:rPr>
      </w:pPr>
    </w:p>
    <w:p w14:paraId="77DDA2F0" w14:textId="77777777" w:rsidR="007650FB" w:rsidRDefault="007650FB" w:rsidP="0096446A">
      <w:pPr>
        <w:pStyle w:val="BodyText"/>
        <w:rPr>
          <w:b/>
          <w:bCs/>
        </w:rPr>
      </w:pPr>
    </w:p>
    <w:p w14:paraId="5AFFE8BA" w14:textId="77777777" w:rsidR="007650FB" w:rsidRDefault="007650FB" w:rsidP="0096446A">
      <w:pPr>
        <w:pStyle w:val="BodyText"/>
        <w:rPr>
          <w:b/>
          <w:bCs/>
        </w:rPr>
      </w:pPr>
    </w:p>
    <w:p w14:paraId="0133610C" w14:textId="77777777" w:rsidR="007650FB" w:rsidRDefault="007650FB" w:rsidP="0096446A">
      <w:pPr>
        <w:pStyle w:val="BodyText"/>
        <w:rPr>
          <w:b/>
          <w:bCs/>
        </w:rPr>
      </w:pPr>
    </w:p>
    <w:p w14:paraId="56EB7C25" w14:textId="77777777" w:rsidR="007650FB" w:rsidRDefault="007650FB" w:rsidP="0096446A">
      <w:pPr>
        <w:pStyle w:val="BodyText"/>
        <w:rPr>
          <w:b/>
          <w:bCs/>
        </w:rPr>
      </w:pPr>
    </w:p>
    <w:p w14:paraId="4AD4061A" w14:textId="77777777" w:rsidR="007650FB" w:rsidRDefault="007650FB" w:rsidP="0096446A">
      <w:pPr>
        <w:pStyle w:val="BodyText"/>
        <w:rPr>
          <w:b/>
          <w:bCs/>
        </w:rPr>
      </w:pPr>
    </w:p>
    <w:p w14:paraId="3195C25D" w14:textId="77777777" w:rsidR="007650FB" w:rsidRDefault="007650FB" w:rsidP="0096446A">
      <w:pPr>
        <w:pStyle w:val="BodyText"/>
        <w:rPr>
          <w:b/>
          <w:bCs/>
        </w:rPr>
      </w:pPr>
    </w:p>
    <w:p w14:paraId="26DC0CF5" w14:textId="77777777" w:rsidR="007650FB" w:rsidRDefault="007650FB" w:rsidP="0096446A">
      <w:pPr>
        <w:pStyle w:val="BodyText"/>
        <w:rPr>
          <w:b/>
          <w:bCs/>
        </w:rPr>
      </w:pPr>
    </w:p>
    <w:p w14:paraId="433B6BA0" w14:textId="77777777" w:rsidR="007650FB" w:rsidRDefault="007650FB" w:rsidP="0096446A">
      <w:pPr>
        <w:pStyle w:val="BodyText"/>
        <w:rPr>
          <w:b/>
          <w:bCs/>
        </w:rPr>
      </w:pPr>
    </w:p>
    <w:p w14:paraId="6900DCA1" w14:textId="77777777" w:rsidR="007650FB" w:rsidRDefault="007650FB" w:rsidP="0096446A">
      <w:pPr>
        <w:pStyle w:val="BodyText"/>
        <w:rPr>
          <w:b/>
          <w:bCs/>
        </w:rPr>
      </w:pPr>
    </w:p>
    <w:p w14:paraId="2E43E49A" w14:textId="77777777" w:rsidR="007650FB" w:rsidRDefault="007650FB" w:rsidP="0096446A">
      <w:pPr>
        <w:pStyle w:val="BodyText"/>
        <w:rPr>
          <w:b/>
          <w:bCs/>
        </w:rPr>
      </w:pPr>
    </w:p>
    <w:p w14:paraId="5775F6D1" w14:textId="77777777" w:rsidR="007650FB" w:rsidRDefault="007650FB" w:rsidP="0096446A">
      <w:pPr>
        <w:pStyle w:val="BodyText"/>
        <w:rPr>
          <w:b/>
          <w:bCs/>
        </w:rPr>
      </w:pPr>
    </w:p>
    <w:p w14:paraId="55AE6C0C" w14:textId="77777777" w:rsidR="007650FB" w:rsidRDefault="007650FB" w:rsidP="0096446A">
      <w:pPr>
        <w:pStyle w:val="BodyText"/>
        <w:rPr>
          <w:b/>
          <w:bCs/>
        </w:rPr>
      </w:pPr>
    </w:p>
    <w:p w14:paraId="3AB6DBD7" w14:textId="77777777" w:rsidR="007650FB" w:rsidRDefault="007650FB" w:rsidP="0096446A">
      <w:pPr>
        <w:pStyle w:val="BodyText"/>
        <w:rPr>
          <w:b/>
          <w:bCs/>
        </w:rPr>
      </w:pPr>
    </w:p>
    <w:p w14:paraId="275D4C59" w14:textId="77777777" w:rsidR="007650FB" w:rsidRDefault="007650FB" w:rsidP="0096446A">
      <w:pPr>
        <w:pStyle w:val="BodyText"/>
        <w:rPr>
          <w:b/>
          <w:bCs/>
        </w:rPr>
      </w:pPr>
    </w:p>
    <w:p w14:paraId="356ABAAA" w14:textId="141C93C3" w:rsidR="00B75E1A" w:rsidRPr="0096446A" w:rsidRDefault="00B75E1A" w:rsidP="0096446A">
      <w:pPr>
        <w:pStyle w:val="BodyText"/>
      </w:pPr>
      <w:r w:rsidRPr="00757A64">
        <w:rPr>
          <w:b/>
          <w:bCs/>
        </w:rPr>
        <w:t xml:space="preserve">Figure </w:t>
      </w:r>
      <w:r w:rsidR="00D42EB3">
        <w:rPr>
          <w:b/>
          <w:bCs/>
        </w:rPr>
        <w:t>3</w:t>
      </w:r>
      <w:r>
        <w:t xml:space="preserve"> </w:t>
      </w:r>
      <w:r w:rsidR="000B703E">
        <w:t>H</w:t>
      </w:r>
      <w:r>
        <w:t>eritability (</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r w:rsidRPr="00D42EB3">
        <w:rPr>
          <w:i/>
          <w:iCs/>
        </w:rPr>
        <w:t>M</w:t>
      </w:r>
      <w:r w:rsidRPr="00B75E1A">
        <w:rPr>
          <w:vertAlign w:val="superscript"/>
        </w:rPr>
        <w:t>2</w:t>
      </w:r>
      <w:r>
        <w:t xml:space="preserve">, </w:t>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r w:rsidR="006F0D07">
        <w:t>n</w:t>
      </w:r>
      <w:r w:rsidR="006F0D07" w:rsidRPr="00330A62">
        <w:rPr>
          <w:vertAlign w:val="subscript"/>
        </w:rPr>
        <w:t>lizards</w:t>
      </w:r>
      <w:proofErr w:type="spellEnd"/>
      <w:r w:rsidR="006F0D07">
        <w:t xml:space="preserve"> </w:t>
      </w:r>
      <w:r>
        <w:t xml:space="preserve"> = 136, blue). Points represent estimates generated </w:t>
      </w:r>
      <w:r>
        <w:lastRenderedPageBreak/>
        <w:t xml:space="preserve">from the posterior distribution of the variance-covariance matrix, thin lines represent the 95% credible intervals, thick lines represent the mean for each treatment group. </w:t>
      </w:r>
    </w:p>
    <w:p w14:paraId="233ED865" w14:textId="77777777" w:rsidR="00496477" w:rsidRDefault="00496477" w:rsidP="005579D1">
      <w:pPr>
        <w:pStyle w:val="Thesissubheading"/>
      </w:pPr>
      <w:r>
        <w:t>Developmental plasticity in growth trajectories in response to temperature</w:t>
      </w:r>
    </w:p>
    <w:p w14:paraId="57300212" w14:textId="25B5D0E6" w:rsidR="00876764" w:rsidRDefault="00496477" w:rsidP="00496477">
      <w:pPr>
        <w:ind w:firstLine="720"/>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140AC7">
      <w:pPr>
        <w:pStyle w:val="BodyText"/>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6864"/>
        <w:gridCol w:w="893"/>
        <w:gridCol w:w="1000"/>
        <w:gridCol w:w="147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D756B0">
            <w:pPr>
              <w:pStyle w:val="Compact"/>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D756B0">
            <w:pPr>
              <w:pStyle w:val="Compact"/>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D756B0">
            <w:pPr>
              <w:pStyle w:val="Compact"/>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D756B0">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D756B0">
            <w:pPr>
              <w:pStyle w:val="Compact"/>
            </w:pPr>
            <w:r>
              <w:t>Treatment + Age + Age</w:t>
            </w:r>
            <w:r w:rsidRPr="00470E70">
              <w:rPr>
                <w:vertAlign w:val="superscript"/>
              </w:rPr>
              <w:t>2</w:t>
            </w:r>
            <w:r>
              <w:t xml:space="preserve"> + </w:t>
            </w:r>
            <w:r>
              <w:rPr>
                <w:vertAlign w:val="superscript"/>
              </w:rPr>
              <w:t xml:space="preserve"> </w:t>
            </w:r>
            <w:r>
              <w:t xml:space="preserve">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D756B0">
            <w:pPr>
              <w:pStyle w:val="Compact"/>
              <w:jc w:val="center"/>
            </w:pPr>
            <w:r>
              <w:t>-3301</w:t>
            </w:r>
          </w:p>
        </w:tc>
        <w:tc>
          <w:tcPr>
            <w:tcW w:w="0" w:type="auto"/>
            <w:tcBorders>
              <w:top w:val="single" w:sz="2" w:space="0" w:color="auto"/>
            </w:tcBorders>
          </w:tcPr>
          <w:p w14:paraId="1B8A375F" w14:textId="77777777" w:rsidR="00140AC7" w:rsidRDefault="00140AC7" w:rsidP="00D756B0">
            <w:pPr>
              <w:pStyle w:val="Compact"/>
              <w:jc w:val="center"/>
            </w:pPr>
            <w:r>
              <w:t>0</w:t>
            </w:r>
          </w:p>
        </w:tc>
        <w:tc>
          <w:tcPr>
            <w:tcW w:w="0" w:type="auto"/>
            <w:tcBorders>
              <w:top w:val="single" w:sz="2" w:space="0" w:color="auto"/>
            </w:tcBorders>
          </w:tcPr>
          <w:p w14:paraId="207B072A" w14:textId="77777777" w:rsidR="00140AC7" w:rsidRDefault="00140AC7" w:rsidP="00D756B0">
            <w:pPr>
              <w:pStyle w:val="Compact"/>
              <w:jc w:val="center"/>
            </w:pPr>
            <w:r>
              <w:t>0</w:t>
            </w:r>
          </w:p>
        </w:tc>
      </w:tr>
      <w:tr w:rsidR="00140AC7" w14:paraId="2EACC52E" w14:textId="77777777" w:rsidTr="00D756B0">
        <w:trPr>
          <w:trHeight w:val="188"/>
        </w:trPr>
        <w:tc>
          <w:tcPr>
            <w:tcW w:w="0" w:type="auto"/>
          </w:tcPr>
          <w:p w14:paraId="51025D68" w14:textId="77777777" w:rsidR="00140AC7" w:rsidRDefault="00140AC7" w:rsidP="00D756B0">
            <w:pPr>
              <w:pStyle w:val="Compact"/>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D756B0">
            <w:pPr>
              <w:pStyle w:val="Compact"/>
              <w:jc w:val="center"/>
            </w:pPr>
            <w:r>
              <w:t>-3295</w:t>
            </w:r>
          </w:p>
        </w:tc>
        <w:tc>
          <w:tcPr>
            <w:tcW w:w="0" w:type="auto"/>
          </w:tcPr>
          <w:p w14:paraId="6B9644FD" w14:textId="77777777" w:rsidR="00140AC7" w:rsidRDefault="00140AC7" w:rsidP="00D756B0">
            <w:pPr>
              <w:pStyle w:val="Compact"/>
              <w:jc w:val="center"/>
            </w:pPr>
            <w:r>
              <w:t>-0.62</w:t>
            </w:r>
          </w:p>
        </w:tc>
        <w:tc>
          <w:tcPr>
            <w:tcW w:w="0" w:type="auto"/>
          </w:tcPr>
          <w:p w14:paraId="7EE1920C" w14:textId="77777777" w:rsidR="00140AC7" w:rsidRDefault="00140AC7" w:rsidP="00D756B0">
            <w:pPr>
              <w:pStyle w:val="Compact"/>
              <w:jc w:val="center"/>
            </w:pPr>
            <w:r>
              <w:t>1.182</w:t>
            </w:r>
          </w:p>
        </w:tc>
      </w:tr>
      <w:tr w:rsidR="00140AC7" w14:paraId="50C48D64" w14:textId="77777777" w:rsidTr="00D756B0">
        <w:trPr>
          <w:trHeight w:val="188"/>
        </w:trPr>
        <w:tc>
          <w:tcPr>
            <w:tcW w:w="0" w:type="auto"/>
          </w:tcPr>
          <w:p w14:paraId="35154210" w14:textId="77777777" w:rsidR="00140AC7" w:rsidRDefault="00140AC7" w:rsidP="00D756B0">
            <w:pPr>
              <w:pStyle w:val="Compact"/>
            </w:pPr>
            <w:commentRangeStart w:id="7"/>
            <w:commentRangeStart w:id="8"/>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D756B0">
            <w:pPr>
              <w:pStyle w:val="Compact"/>
              <w:jc w:val="center"/>
            </w:pPr>
            <w:r>
              <w:t>-3300</w:t>
            </w:r>
          </w:p>
        </w:tc>
        <w:tc>
          <w:tcPr>
            <w:tcW w:w="0" w:type="auto"/>
          </w:tcPr>
          <w:p w14:paraId="50FBA743" w14:textId="77777777" w:rsidR="00140AC7" w:rsidRDefault="00140AC7" w:rsidP="00D756B0">
            <w:pPr>
              <w:pStyle w:val="Compact"/>
              <w:jc w:val="center"/>
            </w:pPr>
            <w:r>
              <w:t>-2.798</w:t>
            </w:r>
          </w:p>
        </w:tc>
        <w:tc>
          <w:tcPr>
            <w:tcW w:w="0" w:type="auto"/>
          </w:tcPr>
          <w:p w14:paraId="614C8CDB" w14:textId="77777777" w:rsidR="00140AC7" w:rsidRDefault="00140AC7" w:rsidP="00D756B0">
            <w:pPr>
              <w:pStyle w:val="Compact"/>
              <w:jc w:val="center"/>
            </w:pPr>
            <w:r>
              <w:t>1.375</w:t>
            </w:r>
            <w:commentRangeEnd w:id="7"/>
            <w:r>
              <w:rPr>
                <w:rStyle w:val="CommentReference"/>
                <w:lang w:val="en-GB"/>
              </w:rPr>
              <w:commentReference w:id="7"/>
            </w:r>
            <w:r>
              <w:rPr>
                <w:rStyle w:val="CommentReference"/>
                <w:lang w:val="en-GB"/>
              </w:rPr>
              <w:commentReference w:id="8"/>
            </w:r>
          </w:p>
        </w:tc>
      </w:tr>
      <w:commentRangeEnd w:id="8"/>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D756B0">
            <w:pPr>
              <w:pStyle w:val="Compact"/>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D756B0">
            <w:pPr>
              <w:pStyle w:val="Compact"/>
              <w:jc w:val="center"/>
            </w:pPr>
            <w:r>
              <w:t>-3292</w:t>
            </w:r>
          </w:p>
        </w:tc>
        <w:tc>
          <w:tcPr>
            <w:tcW w:w="0" w:type="auto"/>
            <w:tcBorders>
              <w:bottom w:val="single" w:sz="4" w:space="0" w:color="auto"/>
            </w:tcBorders>
          </w:tcPr>
          <w:p w14:paraId="5CB6A0D0" w14:textId="77777777" w:rsidR="00140AC7" w:rsidRDefault="00140AC7" w:rsidP="00D756B0">
            <w:pPr>
              <w:pStyle w:val="Compact"/>
              <w:jc w:val="center"/>
            </w:pPr>
            <w:r>
              <w:t>-4.452</w:t>
            </w:r>
          </w:p>
        </w:tc>
        <w:tc>
          <w:tcPr>
            <w:tcW w:w="0" w:type="auto"/>
            <w:tcBorders>
              <w:bottom w:val="single" w:sz="4" w:space="0" w:color="auto"/>
            </w:tcBorders>
          </w:tcPr>
          <w:p w14:paraId="6544307D" w14:textId="77777777" w:rsidR="00140AC7" w:rsidRDefault="00140AC7" w:rsidP="00D756B0">
            <w:pPr>
              <w:pStyle w:val="Compact"/>
              <w:jc w:val="center"/>
            </w:pPr>
            <w:r>
              <w:t>1.563</w:t>
            </w:r>
          </w:p>
        </w:tc>
      </w:tr>
    </w:tbl>
    <w:p w14:paraId="4E7765DE" w14:textId="77777777" w:rsidR="00140AC7" w:rsidRDefault="00140AC7" w:rsidP="00140AC7"/>
    <w:p w14:paraId="54F6946B" w14:textId="35C801D3" w:rsidR="00496477" w:rsidRDefault="00496477" w:rsidP="0073218D">
      <w:pPr>
        <w:ind w:firstLine="720"/>
      </w:pPr>
      <w:r>
        <w:t xml:space="preserve">Developmental temperature </w:t>
      </w:r>
      <w:r w:rsidR="00387140">
        <w:t>did,</w:t>
      </w:r>
      <w:r>
        <w:t xml:space="preserve"> however</w:t>
      </w:r>
      <w:r w:rsidR="00387140">
        <w:t>,</w:t>
      </w:r>
      <w:r>
        <w:t xml:space="preserve"> </w:t>
      </w:r>
      <w:r w:rsidR="00387140">
        <w:t>influenced</w:t>
      </w:r>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7650FB">
      <w:pPr>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4">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7650FB">
      <w:pPr>
        <w:pStyle w:val="BodyText"/>
      </w:pPr>
      <w:r w:rsidRPr="00543621">
        <w:rPr>
          <w:b/>
          <w:bCs/>
        </w:rPr>
        <w:lastRenderedPageBreak/>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3B7E2353" w14:textId="4421F403" w:rsidR="00140AC7" w:rsidRPr="00AA3E17" w:rsidRDefault="00140AC7" w:rsidP="00140AC7">
      <w:pPr>
        <w:pStyle w:val="BodyText"/>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is 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D756B0">
            <w:pPr>
              <w:pStyle w:val="Compact"/>
            </w:pPr>
            <w:r>
              <w:t>Parameter</w:t>
            </w:r>
          </w:p>
        </w:tc>
        <w:tc>
          <w:tcPr>
            <w:tcW w:w="0" w:type="auto"/>
            <w:tcBorders>
              <w:bottom w:val="single" w:sz="0" w:space="0" w:color="auto"/>
            </w:tcBorders>
            <w:vAlign w:val="bottom"/>
          </w:tcPr>
          <w:p w14:paraId="27D97948" w14:textId="77777777" w:rsidR="00140AC7" w:rsidRDefault="00140AC7" w:rsidP="00D756B0">
            <w:pPr>
              <w:pStyle w:val="Compact"/>
              <w:jc w:val="center"/>
            </w:pPr>
            <w:r>
              <w:t>Estimate</w:t>
            </w:r>
          </w:p>
        </w:tc>
        <w:tc>
          <w:tcPr>
            <w:tcW w:w="0" w:type="auto"/>
            <w:tcBorders>
              <w:bottom w:val="single" w:sz="0" w:space="0" w:color="auto"/>
            </w:tcBorders>
            <w:vAlign w:val="bottom"/>
          </w:tcPr>
          <w:p w14:paraId="5D0E910D" w14:textId="77777777" w:rsidR="00140AC7" w:rsidRDefault="00140AC7" w:rsidP="00D756B0">
            <w:pPr>
              <w:pStyle w:val="Compact"/>
              <w:jc w:val="center"/>
            </w:pPr>
            <w:r>
              <w:t>Lower</w:t>
            </w:r>
          </w:p>
        </w:tc>
        <w:tc>
          <w:tcPr>
            <w:tcW w:w="0" w:type="auto"/>
            <w:tcBorders>
              <w:bottom w:val="single" w:sz="0" w:space="0" w:color="auto"/>
            </w:tcBorders>
            <w:vAlign w:val="bottom"/>
          </w:tcPr>
          <w:p w14:paraId="12DF8E05" w14:textId="77777777" w:rsidR="00140AC7" w:rsidRDefault="00140AC7" w:rsidP="00D756B0">
            <w:pPr>
              <w:pStyle w:val="Compact"/>
              <w:jc w:val="center"/>
            </w:pPr>
            <w:r>
              <w:t>Upper</w:t>
            </w:r>
          </w:p>
        </w:tc>
      </w:tr>
      <w:tr w:rsidR="00140AC7" w14:paraId="3F5BD18D" w14:textId="77777777" w:rsidTr="00D756B0">
        <w:tc>
          <w:tcPr>
            <w:tcW w:w="0" w:type="auto"/>
          </w:tcPr>
          <w:p w14:paraId="3F913B16" w14:textId="77777777" w:rsidR="00140AC7" w:rsidRDefault="00140AC7" w:rsidP="00D756B0">
            <w:pPr>
              <w:pStyle w:val="Compact"/>
            </w:pPr>
            <w:r>
              <w:t>Intercept</w:t>
            </w:r>
          </w:p>
        </w:tc>
        <w:tc>
          <w:tcPr>
            <w:tcW w:w="0" w:type="auto"/>
          </w:tcPr>
          <w:p w14:paraId="4194A2C5" w14:textId="77777777" w:rsidR="00140AC7" w:rsidRPr="00AA3E17" w:rsidRDefault="00140AC7" w:rsidP="00D756B0">
            <w:pPr>
              <w:pStyle w:val="Compact"/>
              <w:jc w:val="center"/>
              <w:rPr>
                <w:b/>
                <w:bCs/>
              </w:rPr>
            </w:pPr>
            <w:r w:rsidRPr="00AA3E17">
              <w:rPr>
                <w:b/>
                <w:bCs/>
              </w:rPr>
              <w:t>-0.991</w:t>
            </w:r>
          </w:p>
        </w:tc>
        <w:tc>
          <w:tcPr>
            <w:tcW w:w="0" w:type="auto"/>
          </w:tcPr>
          <w:p w14:paraId="7E3528FE" w14:textId="77777777" w:rsidR="00140AC7" w:rsidRPr="00AA3E17" w:rsidRDefault="00140AC7" w:rsidP="00D756B0">
            <w:pPr>
              <w:pStyle w:val="Compact"/>
              <w:jc w:val="center"/>
              <w:rPr>
                <w:b/>
                <w:bCs/>
              </w:rPr>
            </w:pPr>
            <w:r w:rsidRPr="00AA3E17">
              <w:rPr>
                <w:b/>
                <w:bCs/>
              </w:rPr>
              <w:t>-1.01</w:t>
            </w:r>
          </w:p>
        </w:tc>
        <w:tc>
          <w:tcPr>
            <w:tcW w:w="0" w:type="auto"/>
          </w:tcPr>
          <w:p w14:paraId="587298C6" w14:textId="77777777" w:rsidR="00140AC7" w:rsidRPr="00AA3E17" w:rsidRDefault="00140AC7" w:rsidP="00D756B0">
            <w:pPr>
              <w:pStyle w:val="Compact"/>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D756B0">
            <w:pPr>
              <w:pStyle w:val="Compact"/>
            </w:pPr>
            <w:r>
              <w:t>Treatment</w:t>
            </w:r>
          </w:p>
        </w:tc>
        <w:tc>
          <w:tcPr>
            <w:tcW w:w="0" w:type="auto"/>
          </w:tcPr>
          <w:p w14:paraId="778F30AE" w14:textId="77777777" w:rsidR="00140AC7" w:rsidRPr="00AA3E17" w:rsidRDefault="00140AC7" w:rsidP="00D756B0">
            <w:pPr>
              <w:pStyle w:val="Compact"/>
              <w:jc w:val="center"/>
              <w:rPr>
                <w:b/>
                <w:bCs/>
              </w:rPr>
            </w:pPr>
            <w:r w:rsidRPr="00AA3E17">
              <w:rPr>
                <w:b/>
                <w:bCs/>
              </w:rPr>
              <w:t>-0.083</w:t>
            </w:r>
          </w:p>
        </w:tc>
        <w:tc>
          <w:tcPr>
            <w:tcW w:w="0" w:type="auto"/>
          </w:tcPr>
          <w:p w14:paraId="4B4B8DFA" w14:textId="77777777" w:rsidR="00140AC7" w:rsidRPr="00AA3E17" w:rsidRDefault="00140AC7" w:rsidP="00D756B0">
            <w:pPr>
              <w:pStyle w:val="Compact"/>
              <w:jc w:val="center"/>
              <w:rPr>
                <w:b/>
                <w:bCs/>
              </w:rPr>
            </w:pPr>
            <w:r w:rsidRPr="00AA3E17">
              <w:rPr>
                <w:b/>
                <w:bCs/>
              </w:rPr>
              <w:t>-0.114</w:t>
            </w:r>
          </w:p>
        </w:tc>
        <w:tc>
          <w:tcPr>
            <w:tcW w:w="0" w:type="auto"/>
          </w:tcPr>
          <w:p w14:paraId="2C9298F2" w14:textId="77777777" w:rsidR="00140AC7" w:rsidRPr="00AA3E17" w:rsidRDefault="00140AC7" w:rsidP="00D756B0">
            <w:pPr>
              <w:pStyle w:val="Compact"/>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D756B0">
            <w:pPr>
              <w:pStyle w:val="Compact"/>
            </w:pPr>
            <w:r>
              <w:t>Age</w:t>
            </w:r>
          </w:p>
        </w:tc>
        <w:tc>
          <w:tcPr>
            <w:tcW w:w="0" w:type="auto"/>
          </w:tcPr>
          <w:p w14:paraId="33B0DD44" w14:textId="77777777" w:rsidR="00140AC7" w:rsidRPr="00AA3E17" w:rsidRDefault="00140AC7" w:rsidP="00D756B0">
            <w:pPr>
              <w:pStyle w:val="Compact"/>
              <w:jc w:val="center"/>
              <w:rPr>
                <w:b/>
                <w:bCs/>
              </w:rPr>
            </w:pPr>
            <w:r w:rsidRPr="00AA3E17">
              <w:rPr>
                <w:b/>
                <w:bCs/>
              </w:rPr>
              <w:t>0.5</w:t>
            </w:r>
          </w:p>
        </w:tc>
        <w:tc>
          <w:tcPr>
            <w:tcW w:w="0" w:type="auto"/>
          </w:tcPr>
          <w:p w14:paraId="23254FF3" w14:textId="77777777" w:rsidR="00140AC7" w:rsidRPr="00AA3E17" w:rsidRDefault="00140AC7" w:rsidP="00D756B0">
            <w:pPr>
              <w:pStyle w:val="Compact"/>
              <w:jc w:val="center"/>
              <w:rPr>
                <w:b/>
                <w:bCs/>
              </w:rPr>
            </w:pPr>
            <w:r w:rsidRPr="00AA3E17">
              <w:rPr>
                <w:b/>
                <w:bCs/>
              </w:rPr>
              <w:t>0.476</w:t>
            </w:r>
          </w:p>
        </w:tc>
        <w:tc>
          <w:tcPr>
            <w:tcW w:w="0" w:type="auto"/>
          </w:tcPr>
          <w:p w14:paraId="6978D360" w14:textId="77777777" w:rsidR="00140AC7" w:rsidRPr="00AA3E17" w:rsidRDefault="00140AC7" w:rsidP="00D756B0">
            <w:pPr>
              <w:pStyle w:val="Compact"/>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D756B0">
            <w:pPr>
              <w:pStyle w:val="Compact"/>
            </w:pPr>
            <w:r>
              <w:t>Age</w:t>
            </w:r>
            <w:r w:rsidRPr="00470E70">
              <w:rPr>
                <w:vertAlign w:val="superscript"/>
              </w:rPr>
              <w:t>2</w:t>
            </w:r>
          </w:p>
        </w:tc>
        <w:tc>
          <w:tcPr>
            <w:tcW w:w="0" w:type="auto"/>
          </w:tcPr>
          <w:p w14:paraId="57220E77" w14:textId="77777777" w:rsidR="00140AC7" w:rsidRPr="00AA3E17" w:rsidRDefault="00140AC7" w:rsidP="00D756B0">
            <w:pPr>
              <w:pStyle w:val="Compact"/>
              <w:jc w:val="center"/>
              <w:rPr>
                <w:b/>
                <w:bCs/>
              </w:rPr>
            </w:pPr>
            <w:r w:rsidRPr="00AA3E17">
              <w:rPr>
                <w:b/>
                <w:bCs/>
              </w:rPr>
              <w:t>-0.196</w:t>
            </w:r>
          </w:p>
        </w:tc>
        <w:tc>
          <w:tcPr>
            <w:tcW w:w="0" w:type="auto"/>
          </w:tcPr>
          <w:p w14:paraId="5091D541" w14:textId="77777777" w:rsidR="00140AC7" w:rsidRPr="00AA3E17" w:rsidRDefault="00140AC7" w:rsidP="00D756B0">
            <w:pPr>
              <w:pStyle w:val="Compact"/>
              <w:jc w:val="center"/>
              <w:rPr>
                <w:b/>
                <w:bCs/>
              </w:rPr>
            </w:pPr>
            <w:r w:rsidRPr="00AA3E17">
              <w:rPr>
                <w:b/>
                <w:bCs/>
              </w:rPr>
              <w:t>-0.216</w:t>
            </w:r>
          </w:p>
        </w:tc>
        <w:tc>
          <w:tcPr>
            <w:tcW w:w="0" w:type="auto"/>
          </w:tcPr>
          <w:p w14:paraId="05AEF948" w14:textId="77777777" w:rsidR="00140AC7" w:rsidRPr="00AA3E17" w:rsidRDefault="00140AC7" w:rsidP="00D756B0">
            <w:pPr>
              <w:pStyle w:val="Compact"/>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D756B0">
            <w:pPr>
              <w:pStyle w:val="Compact"/>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D756B0">
            <w:pPr>
              <w:pStyle w:val="Compact"/>
              <w:jc w:val="center"/>
            </w:pPr>
            <w:r>
              <w:t>0.008</w:t>
            </w:r>
          </w:p>
        </w:tc>
        <w:tc>
          <w:tcPr>
            <w:tcW w:w="0" w:type="auto"/>
          </w:tcPr>
          <w:p w14:paraId="1B8D1276" w14:textId="77777777" w:rsidR="00140AC7" w:rsidRDefault="00140AC7" w:rsidP="00D756B0">
            <w:pPr>
              <w:pStyle w:val="Compact"/>
              <w:jc w:val="center"/>
            </w:pPr>
            <w:r>
              <w:t>-0.021</w:t>
            </w:r>
          </w:p>
        </w:tc>
        <w:tc>
          <w:tcPr>
            <w:tcW w:w="0" w:type="auto"/>
          </w:tcPr>
          <w:p w14:paraId="0E0A085F" w14:textId="77777777" w:rsidR="00140AC7" w:rsidRDefault="00140AC7" w:rsidP="00D756B0">
            <w:pPr>
              <w:pStyle w:val="Compact"/>
              <w:jc w:val="center"/>
            </w:pPr>
            <w:r>
              <w:t>0.037</w:t>
            </w:r>
          </w:p>
        </w:tc>
      </w:tr>
      <w:tr w:rsidR="00140AC7" w14:paraId="07093FE1" w14:textId="77777777" w:rsidTr="00D756B0">
        <w:tc>
          <w:tcPr>
            <w:tcW w:w="0" w:type="auto"/>
          </w:tcPr>
          <w:p w14:paraId="595C0539" w14:textId="77777777" w:rsidR="00140AC7" w:rsidRDefault="00140AC7" w:rsidP="00D756B0">
            <w:pPr>
              <w:pStyle w:val="Compact"/>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D756B0">
            <w:pPr>
              <w:pStyle w:val="Compact"/>
              <w:jc w:val="center"/>
            </w:pPr>
            <w:r>
              <w:t>0.022</w:t>
            </w:r>
          </w:p>
        </w:tc>
        <w:tc>
          <w:tcPr>
            <w:tcW w:w="0" w:type="auto"/>
          </w:tcPr>
          <w:p w14:paraId="74C265A1" w14:textId="77777777" w:rsidR="00140AC7" w:rsidRDefault="00140AC7" w:rsidP="00D756B0">
            <w:pPr>
              <w:pStyle w:val="Compact"/>
              <w:jc w:val="center"/>
            </w:pPr>
            <w:r>
              <w:t>-0.007</w:t>
            </w:r>
          </w:p>
        </w:tc>
        <w:tc>
          <w:tcPr>
            <w:tcW w:w="0" w:type="auto"/>
          </w:tcPr>
          <w:p w14:paraId="60C1D4B0" w14:textId="77777777" w:rsidR="00140AC7" w:rsidRDefault="00140AC7" w:rsidP="00D756B0">
            <w:pPr>
              <w:pStyle w:val="Compact"/>
              <w:jc w:val="center"/>
            </w:pPr>
            <w:r>
              <w:t>0.052</w:t>
            </w:r>
          </w:p>
        </w:tc>
      </w:tr>
    </w:tbl>
    <w:p w14:paraId="31CF8C9A" w14:textId="77777777" w:rsidR="00496477" w:rsidRDefault="00496477" w:rsidP="00496477">
      <w:pPr>
        <w:pStyle w:val="BodyText"/>
      </w:pPr>
    </w:p>
    <w:p w14:paraId="3CF86EEF" w14:textId="21C4A5B0" w:rsidR="00CC1936" w:rsidRPr="00CC1936" w:rsidRDefault="00496477" w:rsidP="00CC1936">
      <w:pPr>
        <w:pStyle w:val="Heading1"/>
      </w:pPr>
      <w:commentRangeStart w:id="9"/>
      <w:r>
        <w:t>Discussion</w:t>
      </w:r>
      <w:commentRangeEnd w:id="9"/>
      <w:r w:rsidR="002421F5">
        <w:rPr>
          <w:rStyle w:val="CommentReference"/>
          <w:rFonts w:eastAsiaTheme="minorHAnsi" w:cstheme="minorBidi"/>
          <w:b w:val="0"/>
          <w:color w:val="auto"/>
        </w:rPr>
        <w:commentReference w:id="9"/>
      </w:r>
    </w:p>
    <w:p w14:paraId="3DD9965E" w14:textId="4B7EE1B2" w:rsidR="00496477" w:rsidRDefault="00D57AC9" w:rsidP="00D756B0">
      <w:pPr>
        <w:ind w:firstLine="720"/>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 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 xml:space="preserve">The environmental component of the phenotype (residual variance) explained most of the variability in body </w:t>
      </w:r>
      <w:r w:rsidR="007650FB">
        <w:t>mass.</w:t>
      </w:r>
      <w:r w:rsidR="007650FB">
        <w:t xml:space="preserve"> </w:t>
      </w:r>
      <w:r w:rsidR="007650FB">
        <w:t>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 xml:space="preserve">one year of </w:t>
      </w:r>
      <w:r>
        <w:t>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9B3261">
      <w:pPr>
        <w:pStyle w:val="Thesissubheading"/>
      </w:pPr>
      <w:r w:rsidRPr="007364DE">
        <w:t>Thermal developmental plasticity in growth</w:t>
      </w:r>
    </w:p>
    <w:p w14:paraId="4301204F" w14:textId="77777777" w:rsidR="007C0D86" w:rsidRDefault="007C0D86" w:rsidP="00496477"/>
    <w:p w14:paraId="7172B2FB" w14:textId="5BBC1871" w:rsidR="005561AB" w:rsidRDefault="00554852" w:rsidP="00496477">
      <w:r>
        <w:t>In ectotherms, temperature plays a pervasive role in phenotypic development</w:t>
      </w:r>
      <w:r w:rsidR="00DF6498">
        <w:t xml:space="preserve"> </w:t>
      </w:r>
      <w:r w:rsidR="00DF6498">
        <w:fldChar w:fldCharType="begin"/>
      </w:r>
      <w:r w:rsidR="000F70BF">
        <w:instrText xml:space="preserve"> ADDIN ZOTERO_ITEM CSL_CITATION {"citationID":"NmICcIrO","properties":{"formattedCitation":"(Eyck et al., 2019; Noble et al., 2017; O\\uc0\\u8217{}Dea et al., 2019; While et al., 2018)","plainCitation":"(Eyck et al., 2019; Noble et al., 2017;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0F70BF" w:rsidRPr="000F70BF">
        <w:rPr>
          <w:rFonts w:cs="Times New Roman"/>
        </w:rPr>
        <w:t>(Eyck et al., 2019; Noble et al., 2017;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DF64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DF6498" w:rsidRPr="00DF6498">
        <w:rPr>
          <w:rFonts w:cs="Times New Roman"/>
        </w:rPr>
        <w:t>(Elphick &amp; Shine, 1999; Hare et al., 2004; Verdú‐Ricoy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DF64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DF6498">
        <w:rPr>
          <w:noProof/>
        </w:rPr>
        <w:t>(Andrews et al., 2000; R. M. Goodman, 2008)</w:t>
      </w:r>
      <w:r w:rsidR="00DF6498">
        <w:fldChar w:fldCharType="end"/>
      </w:r>
      <w:r w:rsidR="0030316B">
        <w:t xml:space="preserve">. The </w:t>
      </w:r>
      <w:r w:rsidR="0030316B">
        <w:lastRenderedPageBreak/>
        <w:t>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30316B">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30316B">
        <w:rPr>
          <w:noProof/>
        </w:rPr>
        <w:t xml:space="preserve">(e.g. </w:t>
      </w:r>
      <w:r w:rsidR="0030316B" w:rsidRPr="00DF6498">
        <w:rPr>
          <w:i/>
          <w:iCs/>
          <w:noProof/>
        </w:rPr>
        <w:t>Bassiana dupreyi</w:t>
      </w:r>
      <w:r w:rsidR="0030316B">
        <w:rPr>
          <w:noProof/>
        </w:rPr>
        <w:t>,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496477"/>
    <w:p w14:paraId="4367F3E4" w14:textId="46A69377" w:rsidR="004E5B0C" w:rsidRDefault="00BB2863" w:rsidP="004E5B0C">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DF64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DF6498">
        <w:rPr>
          <w:noProof/>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4E5B0C">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4E5B0C">
        <w:rPr>
          <w:noProof/>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7279B3">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7279B3">
        <w:rPr>
          <w:noProof/>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4E5B0C">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4E5B0C">
        <w:rPr>
          <w:noProof/>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4E5B0C">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4E5B0C">
        <w:rPr>
          <w:noProof/>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4E5B0C">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4E5B0C">
        <w:rPr>
          <w:noProof/>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4E5B0C"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4E5B0C" w:rsidRPr="00080459">
        <w:rPr>
          <w:noProof/>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63201F"/>
    <w:p w14:paraId="40482B89" w14:textId="785449A5" w:rsidR="00B30768" w:rsidRPr="007364DE" w:rsidRDefault="00B30768" w:rsidP="009B3261">
      <w:pPr>
        <w:pStyle w:val="Thesissubheading"/>
      </w:pPr>
      <w:r>
        <w:t xml:space="preserve">Thermal developmental environments and the release of </w:t>
      </w:r>
      <w:commentRangeStart w:id="10"/>
      <w:r>
        <w:t>‘cryptic’ genetic variation</w:t>
      </w:r>
      <w:commentRangeEnd w:id="10"/>
      <w:r w:rsidR="00584332">
        <w:rPr>
          <w:rStyle w:val="CommentReference"/>
          <w:rFonts w:eastAsiaTheme="minorHAnsi" w:cstheme="minorBidi"/>
          <w:bCs w:val="0"/>
          <w:i w:val="0"/>
          <w:lang w:val="en-GB"/>
        </w:rPr>
        <w:commentReference w:id="10"/>
      </w:r>
    </w:p>
    <w:p w14:paraId="0046BCF8" w14:textId="77777777" w:rsidR="007C0D86" w:rsidRDefault="007C0D86" w:rsidP="0092030A">
      <w:pPr>
        <w:rPr>
          <w:ins w:id="11" w:author="Daniel Noble" w:date="2020-09-15T11:05:00Z"/>
        </w:rPr>
      </w:pPr>
    </w:p>
    <w:p w14:paraId="74AAD7E4" w14:textId="389948CE" w:rsidR="00337E73" w:rsidRDefault="00D52545" w:rsidP="0092030A">
      <w:r>
        <w:t xml:space="preserve">Adaptative evolutionary responses depend not only on the amount of selection operating on a trait but on also its </w:t>
      </w:r>
      <w:r w:rsidR="00F9189E">
        <w:t>underlying</w:t>
      </w:r>
      <w:r w:rsidR="000C032E">
        <w:t xml:space="preserve"> additive </w:t>
      </w:r>
      <w:r w:rsidR="000C032E">
        <w:t>genetic variance</w:t>
      </w:r>
      <w:r w:rsidR="00CF301A">
        <w:t xml:space="preserve"> </w:t>
      </w:r>
      <w:r w:rsidR="00CF301A">
        <w:fldChar w:fldCharType="begin"/>
      </w:r>
      <w:r w:rsidR="00CF301A">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CF301A" w:rsidRPr="00CF301A">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0F70BF">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0F70BF" w:rsidRPr="000F70BF">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 xml:space="preserve">Contrary to these </w:t>
      </w:r>
      <w:r w:rsidR="009A1FDF">
        <w:t>hypotheses</w:t>
      </w:r>
      <w:r w:rsidR="00FF433B">
        <w:t xml:space="preserve">, </w:t>
      </w:r>
      <w:r w:rsidR="008B5BD9">
        <w:t xml:space="preserve">we found no 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CF301A">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CF301A" w:rsidRPr="00CF301A">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CF301A">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CF301A">
        <w:rPr>
          <w:noProof/>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0F70BF">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0F70BF">
        <w:rPr>
          <w:noProof/>
        </w:rPr>
        <w:t xml:space="preserve">(Martins </w:t>
      </w:r>
      <w:r w:rsidR="000F70BF">
        <w:rPr>
          <w:noProof/>
        </w:rPr>
        <w:lastRenderedPageBreak/>
        <w:t>et al., 2019; Noble et al., 2014)</w:t>
      </w:r>
      <w:r w:rsidR="00CF301A">
        <w:fldChar w:fldCharType="end"/>
      </w:r>
      <w:r w:rsidR="00A966A1">
        <w:t>]</w:t>
      </w:r>
      <w:r w:rsidR="005A6F0B">
        <w:t xml:space="preserve">. </w:t>
      </w:r>
      <w:r w:rsidR="000F70BF">
        <w:t>It</w:t>
      </w:r>
      <w:r w:rsidR="000F70BF">
        <w:t xml:space="preserve"> should be noted that decoupling additive genetic variances from other non-genetic variance such as maternal effects requires considerable paternal links in the </w:t>
      </w:r>
      <w:r w:rsidR="009A1FDF">
        <w:t>study design</w:t>
      </w:r>
      <w:r w:rsidR="009A1FDF">
        <w:t xml:space="preserve"> and</w:t>
      </w:r>
      <w:r w:rsidR="009A1FDF">
        <w:t xml:space="preserve"> </w:t>
      </w:r>
      <w:r w:rsidR="000F70BF">
        <w:t xml:space="preserve">pedigree </w:t>
      </w:r>
      <w:r w:rsidR="000F70BF">
        <w:fldChar w:fldCharType="begin"/>
      </w:r>
      <w:r w:rsidR="000F70BF">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0F70BF">
        <w:rPr>
          <w:noProof/>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92030A">
      <w:pPr>
        <w:rPr>
          <w:ins w:id="12" w:author="Daniel Noble" w:date="2020-09-14T21:49:00Z"/>
        </w:rPr>
      </w:pPr>
    </w:p>
    <w:p w14:paraId="77A49F83" w14:textId="7BBC3FEC" w:rsidR="00854079" w:rsidRPr="00C301FC" w:rsidRDefault="00D83326" w:rsidP="005A17FD">
      <w:pPr>
        <w:ind w:firstLine="720"/>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CF1C83">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CF1C83">
        <w:rPr>
          <w:noProof/>
        </w:rPr>
        <w:t>(Fischer et al., 2020)</w:t>
      </w:r>
      <w:r w:rsidR="00CF1C83">
        <w:fldChar w:fldCharType="end"/>
      </w:r>
      <w:r w:rsidR="00564897">
        <w:t xml:space="preserve">. </w:t>
      </w:r>
      <w:r w:rsidR="00C301FC">
        <w:t>Fu</w:t>
      </w:r>
      <w:r w:rsidR="00C301FC">
        <w:t>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9223F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9223FD" w:rsidRPr="005A070D">
        <w:rPr>
          <w:noProof/>
        </w:rPr>
        <w:t>(Roelofs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A17FD">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A17FD">
        <w:rPr>
          <w:noProof/>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ins w:id="13" w:author="fonti.kar@gmail.com" w:date="2020-10-02T17:02:00Z">
        <w:r w:rsidR="001E39BA">
          <w:t xml:space="preserve"> </w:t>
        </w:r>
      </w:ins>
      <w:r w:rsidR="001E39BA">
        <w:t xml:space="preserve">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((Estimate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w:t>
      </w:r>
      <w:r w:rsidR="006F7A30">
        <w:t xml:space="preserve">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F352BF">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0654BC">
        <w:rPr>
          <w:noProof/>
        </w:rPr>
        <w:t>(Bonamour et al., 2019)</w:t>
      </w:r>
      <w:r w:rsidR="000654BC">
        <w:fldChar w:fldCharType="end"/>
      </w:r>
      <w:r w:rsidR="006F7A30">
        <w:t>.</w:t>
      </w:r>
      <w:r w:rsidR="007C35EB">
        <w:t xml:space="preserve"> </w:t>
      </w:r>
      <w:r w:rsidR="00642A82">
        <w:t>Overall, o</w:t>
      </w:r>
      <w:r w:rsidR="00854079">
        <w:t xml:space="preserve">ur results suggest that our </w:t>
      </w:r>
      <w:r w:rsidR="00C301FC">
        <w:t>thermal extremes experienced by natural nest sites</w:t>
      </w:r>
      <w:r w:rsidR="00854079">
        <w:t xml:space="preserve"> d</w:t>
      </w:r>
      <w:r w:rsidR="00C301FC">
        <w:t>o</w:t>
      </w:r>
      <w:r w:rsidR="00854079">
        <w:t xml:space="preserve"> not </w:t>
      </w:r>
      <w:r w:rsidR="00854079">
        <w:t>modify the evolutionary potential of mass</w:t>
      </w:r>
      <w:r w:rsidR="000D1EA1">
        <w:t>, however this should be interpreted with caution as estimates of quantitative parameters from laboratory studies can differ from wild populations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(Sgrò &amp; Hoffmann, 2004; Weigensberg &amp; Roff, 1996)</w:t>
      </w:r>
      <w:r w:rsidR="0045457D">
        <w:fldChar w:fldCharType="end"/>
      </w:r>
      <w:r w:rsidR="000D1EA1">
        <w:t xml:space="preserve">. </w:t>
      </w:r>
    </w:p>
    <w:p w14:paraId="2E27A935" w14:textId="549A4344" w:rsidR="004733B6" w:rsidRDefault="004733B6" w:rsidP="00AD26E1"/>
    <w:p w14:paraId="3D135927" w14:textId="5C2B00B4" w:rsidR="00B30768" w:rsidRPr="001A713F" w:rsidRDefault="00B30768" w:rsidP="009B3261">
      <w:pPr>
        <w:pStyle w:val="Thesissubhead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AD26E1"/>
    <w:p w14:paraId="0F964665" w14:textId="29DD436C" w:rsidR="003E4C4D" w:rsidRDefault="0040514C" w:rsidP="007A78A6">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A35763">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A35763">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7A78A6">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7A78A6" w:rsidRPr="007A78A6">
        <w:rPr>
          <w:rFonts w:cs="Times New Roman"/>
        </w:rPr>
        <w:t>(Réale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7A78A6">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7A78A6">
        <w:rPr>
          <w:noProof/>
        </w:rPr>
        <w:t>(Wilson et al., 2007)</w:t>
      </w:r>
      <w:r w:rsidR="007A78A6">
        <w:fldChar w:fldCharType="end"/>
      </w:r>
      <w:r w:rsidR="007A78A6">
        <w:t xml:space="preserve"> and ladybird beetles </w:t>
      </w:r>
      <w:r w:rsidR="007A78A6">
        <w:fldChar w:fldCharType="begin"/>
      </w:r>
      <w:r w:rsidR="007A78A6">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7A78A6">
        <w:rPr>
          <w:noProof/>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7A78A6">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7A78A6" w:rsidRPr="007A78A6">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3E4C4D">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3E4C4D">
        <w:rPr>
          <w:noProof/>
        </w:rPr>
        <w:t>(Chapple et al., 2014)</w:t>
      </w:r>
      <w:r w:rsidR="00281544">
        <w:fldChar w:fldCharType="end"/>
      </w:r>
      <w:r w:rsidR="00281544">
        <w:t xml:space="preserve">. </w:t>
      </w:r>
      <w:r w:rsidR="007A78A6">
        <w:t xml:space="preserve">Nonetheless, ontogenetic variation in genetic variance implies that potential rates of </w:t>
      </w:r>
      <w:r w:rsidR="007A78A6">
        <w:lastRenderedPageBreak/>
        <w:t xml:space="preserve">evolution </w:t>
      </w:r>
      <w:r w:rsidR="00BB6C53">
        <w:t>varies</w:t>
      </w:r>
      <w:r w:rsidR="007A78A6">
        <w:t xml:space="preserve"> with age</w:t>
      </w:r>
      <w:r w:rsidR="007A398E">
        <w:t xml:space="preserve"> </w:t>
      </w:r>
      <w:r w:rsidR="007A398E">
        <w:fldChar w:fldCharType="begin"/>
      </w:r>
      <w:r w:rsidR="007A398E">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7A398E">
        <w:rPr>
          <w:noProof/>
        </w:rPr>
        <w:t>(Houle, 1998)</w:t>
      </w:r>
      <w:r w:rsidR="007A398E">
        <w:fldChar w:fldCharType="end"/>
      </w:r>
      <w:r w:rsidR="007A78A6">
        <w:t xml:space="preserve">, however this depends on non-genetic sources of variance as well. </w:t>
      </w:r>
    </w:p>
    <w:p w14:paraId="7F70CDD9" w14:textId="77777777" w:rsidR="003E4C4D" w:rsidRDefault="003E4C4D" w:rsidP="00AD26E1"/>
    <w:p w14:paraId="2F346651" w14:textId="70394D72" w:rsidR="007312E0" w:rsidRDefault="00D17613" w:rsidP="00AD26E1">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BC6055">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AD5BC0">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AD5BC0">
        <w:rPr>
          <w:noProof/>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AD5BC0">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AD5BC0">
        <w:rPr>
          <w:noProof/>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w:t>
      </w:r>
      <w:r w:rsidR="00415967">
        <w:t xml:space="preserve">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w:t>
      </w:r>
      <w:r w:rsidR="00557B45">
        <w:t>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A35763">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A35763">
        <w:rPr>
          <w:noProof/>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w:t>
      </w:r>
      <w:r w:rsidR="00733C4B">
        <w:t xml:space="preserve">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AD26E1"/>
    <w:p w14:paraId="5139B45F" w14:textId="2C106916" w:rsidR="00E35968" w:rsidRDefault="00204FF8" w:rsidP="00AD26E1">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D53A19">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D53A19">
        <w:rPr>
          <w:noProof/>
        </w:rPr>
        <w:t>(Noordwijk et al., 1988; Wilson et al., 2007)</w:t>
      </w:r>
      <w:r w:rsidR="00D53A19">
        <w:fldChar w:fldCharType="end"/>
      </w:r>
      <w:r w:rsidR="00EC19A6">
        <w:t xml:space="preserve">. </w:t>
      </w:r>
      <w:r w:rsidR="00EC19A6">
        <w:t xml:space="preserve">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FE2A5F">
        <w:instrText xml:space="preserve"> ADDIN ZOTERO_ITEM CSL_CITATION {"citationID":"DhQedjtY","properties":{"formattedCitation":"(Marshall et al., 2020; Noble et al., 2017)","plainCitation":"(Marshall et al., 2020; Noble et al., 2017)","noteIndex":0},"citationItems":[{"id":3998,"uris":["http://zotero.org/users/1379426/items/E8HRAR53"],"uri":["http://zotero.org/users/1379426/items/E8HRAR53"],"itemData":{"id":3998,"type":"article-journal","container-title":"Nature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FE2A5F">
        <w:fldChar w:fldCharType="separate"/>
      </w:r>
      <w:r w:rsidR="00FE2A5F">
        <w:rPr>
          <w:noProof/>
        </w:rPr>
        <w:t>(Marshall et al., 2020; Noble et al., 2017)</w:t>
      </w:r>
      <w:r w:rsidR="00FE2A5F">
        <w:fldChar w:fldCharType="end"/>
      </w:r>
      <w:r w:rsidR="00B5114B">
        <w:t>.</w:t>
      </w:r>
      <w:r w:rsidR="00FE2A5F">
        <w:t>This means that</w:t>
      </w:r>
      <w:r w:rsidR="00B5114B" w:rsidRPr="00B5114B">
        <w:t xml:space="preserve"> </w:t>
      </w:r>
      <w:r w:rsidR="00B5114B">
        <w:t xml:space="preserve">developmental time </w:t>
      </w:r>
      <w:r w:rsidR="00B5114B">
        <w:t xml:space="preserve">decelerates </w:t>
      </w:r>
      <w:r w:rsidR="00B5114B">
        <w:t>with temperature following an negative exponential function</w:t>
      </w:r>
      <w:r w:rsidR="00B5114B">
        <w:t xml:space="preserve">. As a result, hot incubated lizards are more constrained in their development time compared to lizards that were reared a cooler temperature. In actual fact,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D835F9">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D835F9">
        <w:rPr>
          <w:noProof/>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FE606F">
      <w:pPr>
        <w:pStyle w:val="Heading1"/>
      </w:pPr>
      <w:r>
        <w:t>Conclusion</w:t>
      </w:r>
    </w:p>
    <w:p w14:paraId="33982BD8" w14:textId="3EE6D407" w:rsidR="00CC5E5C" w:rsidRDefault="00CC5E5C" w:rsidP="0060765A">
      <w:r>
        <w:t xml:space="preserve">Our work illustrates the pervasive role of developmental temperature on phenotypic variation. The impact of </w:t>
      </w:r>
      <w:r>
        <w:t xml:space="preserve">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F8595C">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F8595C">
        <w:rPr>
          <w:noProof/>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vulnerability to environmental change</w:t>
      </w:r>
      <w:r w:rsidR="00224865">
        <w:t xml:space="preserve"> </w:t>
      </w:r>
      <w:r w:rsidR="001C27F0">
        <w:fldChar w:fldCharType="begin"/>
      </w:r>
      <w:r w:rsidR="001C27F0">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1C27F0">
        <w:rPr>
          <w:noProof/>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w:t>
      </w:r>
      <w:r w:rsidR="005A0937">
        <w:t xml:space="preserve">the potential to genetically adapt to warming </w:t>
      </w:r>
      <w:r w:rsidR="005A0937">
        <w:lastRenderedPageBreak/>
        <w:t xml:space="preserve">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60765A"/>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FE606F">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FE606F"/>
    <w:p w14:paraId="293AD37A" w14:textId="0C25288A" w:rsidR="009B3261" w:rsidRPr="00FE606F" w:rsidRDefault="009B3261" w:rsidP="009B3261">
      <w:pPr>
        <w:pStyle w:val="Heading1"/>
      </w:pPr>
      <w:r>
        <w:t>References</w:t>
      </w:r>
    </w:p>
    <w:sectPr w:rsidR="009B3261"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 Noble" w:date="2020-09-15T09:10:00Z" w:initials="DN">
    <w:p w14:paraId="276CADEC" w14:textId="24D2F2A3" w:rsidR="00D756B0" w:rsidRDefault="00D756B0">
      <w:pPr>
        <w:pStyle w:val="CommentText"/>
      </w:pPr>
      <w:r>
        <w:rPr>
          <w:rStyle w:val="CommentReference"/>
        </w:rPr>
        <w:annotationRef/>
      </w:r>
      <w:r>
        <w:t>I think we aim for Heredity for this paper/</w:t>
      </w:r>
    </w:p>
  </w:comment>
  <w:comment w:id="1" w:author="Daniel Noble" w:date="2020-09-15T08:44:00Z" w:initials="DN">
    <w:p w14:paraId="188A2D5D" w14:textId="77777777" w:rsidR="00F86910" w:rsidRDefault="00F86910" w:rsidP="00F86910">
      <w:pPr>
        <w:pStyle w:val="CommentText"/>
      </w:pPr>
      <w:r>
        <w:rPr>
          <w:rStyle w:val="CommentReference"/>
        </w:rPr>
        <w:annotationRef/>
      </w:r>
      <w:r>
        <w:t>Fonti. I think you should add in mortality analysis to see if the temperature treatments varied in egg mortality. This would test whether they are stressful or not.</w:t>
      </w:r>
    </w:p>
  </w:comment>
  <w:comment w:id="2" w:author="fonti.kar@gmail.com" w:date="2020-09-29T11:40:00Z" w:initials="f">
    <w:p w14:paraId="07FB15F7" w14:textId="77777777" w:rsidR="00F86910" w:rsidRDefault="00F86910" w:rsidP="00F86910">
      <w:pPr>
        <w:pStyle w:val="CommentText"/>
      </w:pPr>
      <w:r>
        <w:rPr>
          <w:rStyle w:val="CommentReference"/>
        </w:rPr>
        <w:annotationRef/>
      </w:r>
      <w:r>
        <w:t xml:space="preserve">Sounds good, maybe for the paper??? Would I use only eggs from that respective reproductive season for this study or across all years we got eggs? </w:t>
      </w:r>
    </w:p>
  </w:comment>
  <w:comment w:id="3" w:author="fonti.kar@gmail.com" w:date="2020-10-08T09:14:00Z" w:initials="f">
    <w:p w14:paraId="46865BA7" w14:textId="77777777" w:rsidR="00F86910" w:rsidRDefault="00F86910" w:rsidP="00F86910">
      <w:pPr>
        <w:pStyle w:val="CommentText"/>
      </w:pPr>
      <w:r>
        <w:rPr>
          <w:rStyle w:val="CommentReference"/>
        </w:rPr>
        <w:annotationRef/>
      </w:r>
      <w:r>
        <w:t>Done see discussion</w:t>
      </w:r>
    </w:p>
  </w:comment>
  <w:comment w:id="4" w:author="Daniel Noble" w:date="2020-09-14T08:35:00Z" w:initials="DN">
    <w:p w14:paraId="30E120D2" w14:textId="35AC0E90" w:rsidR="00D756B0" w:rsidRDefault="00D756B0">
      <w:pPr>
        <w:pStyle w:val="CommentText"/>
      </w:pPr>
      <w:r>
        <w:rPr>
          <w:rStyle w:val="CommentReference"/>
        </w:rPr>
        <w:annotationRef/>
      </w:r>
      <w:r>
        <w:t>Is this correct? IN the model selection table you have &gt;3900 data points…..</w:t>
      </w:r>
    </w:p>
  </w:comment>
  <w:comment w:id="5" w:author="fonti.kar@gmail.com" w:date="2020-09-29T11:39:00Z" w:initials="f">
    <w:p w14:paraId="0A6BE547" w14:textId="4893D390" w:rsidR="00D756B0" w:rsidRDefault="00D756B0">
      <w:pPr>
        <w:pStyle w:val="CommentText"/>
      </w:pPr>
      <w:r>
        <w:rPr>
          <w:rStyle w:val="CommentReference"/>
        </w:rPr>
        <w:annotationRef/>
      </w:r>
      <w:r>
        <w:t xml:space="preserve">This number is correct 3982 refers to the data augmentation dataset but that was in </w:t>
      </w:r>
      <w:proofErr w:type="spellStart"/>
      <w:r>
        <w:t>MCMCglmm</w:t>
      </w:r>
      <w:proofErr w:type="spellEnd"/>
      <w:r>
        <w:t>, I don’t think brms has data augmentation, lemme check</w:t>
      </w:r>
    </w:p>
  </w:comment>
  <w:comment w:id="6" w:author="fonti.kar@gmail.com" w:date="2020-09-29T12:44:00Z" w:initials="f">
    <w:p w14:paraId="68B42D28" w14:textId="3362EFB8" w:rsidR="00D756B0" w:rsidRDefault="00D756B0">
      <w:pPr>
        <w:pStyle w:val="CommentText"/>
      </w:pPr>
      <w:r>
        <w:rPr>
          <w:rStyle w:val="CommentReference"/>
        </w:rPr>
        <w:annotationRef/>
      </w:r>
      <w:r>
        <w:t xml:space="preserve">BRMS does not do data augmentation, our </w:t>
      </w:r>
      <w:proofErr w:type="spellStart"/>
      <w:r>
        <w:t>obs</w:t>
      </w:r>
      <w:proofErr w:type="spellEnd"/>
      <w:r>
        <w:t xml:space="preserve"> for our combined model is 2926 as </w:t>
      </w:r>
      <w:proofErr w:type="spellStart"/>
      <w:r>
        <w:t>te</w:t>
      </w:r>
      <w:proofErr w:type="spellEnd"/>
      <w:r>
        <w:t xml:space="preserve"> model dropped out rows with missing predictor values</w:t>
      </w:r>
    </w:p>
  </w:comment>
  <w:comment w:id="7" w:author="Daniel Noble" w:date="2020-09-11T10:33:00Z" w:initials="DN">
    <w:p w14:paraId="53812D90" w14:textId="77777777" w:rsidR="00D756B0" w:rsidRDefault="00D756B0" w:rsidP="00140AC7">
      <w:pPr>
        <w:pStyle w:val="CommentText"/>
      </w:pPr>
      <w:r>
        <w:rPr>
          <w:rStyle w:val="CommentReference"/>
        </w:rPr>
        <w:annotationRef/>
      </w:r>
      <w:r>
        <w:t xml:space="preserve">According to my reading anything below 4 for ELPD means very small differences between the models: See point 5 and the last bullet here: </w:t>
      </w:r>
      <w:r w:rsidRPr="009421A2">
        <w:t>https://avehtari.github.io/modelselection/CV-FAQ.html</w:t>
      </w:r>
    </w:p>
  </w:comment>
  <w:comment w:id="8" w:author="fonti.kar@gmail.com" w:date="2020-09-29T13:48:00Z" w:initials="f">
    <w:p w14:paraId="1DBDCCA0" w14:textId="77777777" w:rsidR="00D756B0" w:rsidRDefault="00D756B0" w:rsidP="00140AC7">
      <w:pPr>
        <w:pStyle w:val="CommentText"/>
      </w:pPr>
      <w:r>
        <w:rPr>
          <w:rStyle w:val="CommentReference"/>
        </w:rPr>
        <w:annotationRef/>
      </w:r>
      <w:r>
        <w:t xml:space="preserve">How to best pitch these Dan if that is the case that model uncertainty is high. If anything below 4 in ELPD then it seems to suggest any model with treatment interacting with Age is supported by the data </w:t>
      </w:r>
    </w:p>
  </w:comment>
  <w:comment w:id="9" w:author="fonti.kar@gmail.com" w:date="2020-10-06T10:04:00Z" w:initials="f">
    <w:p w14:paraId="4F3360EC" w14:textId="2E020560" w:rsidR="00D756B0" w:rsidRDefault="00D756B0">
      <w:pPr>
        <w:pStyle w:val="CommentText"/>
      </w:pPr>
      <w:r>
        <w:rPr>
          <w:rStyle w:val="CommentReference"/>
        </w:rPr>
        <w:annotationRef/>
      </w:r>
      <w:r>
        <w:t xml:space="preserve">DN: I’m thinking breaking the discussion into </w:t>
      </w:r>
      <w:r>
        <w:rPr>
          <w:noProof/>
        </w:rPr>
        <w:t>three major section will worst best here. I think each section can be expanded upon to 2 paragraphs at least and some more critical discussion...hence. It's probably better to section in. I would say maybe aim for 3-3.5 pages. right now it's just a little over 2, which is a little scant.</w:t>
      </w:r>
    </w:p>
  </w:comment>
  <w:comment w:id="10" w:author="fonti.kar@gmail.com" w:date="2020-10-08T13:09:00Z" w:initials="f">
    <w:p w14:paraId="433EABF0" w14:textId="77777777" w:rsidR="00584332" w:rsidRDefault="00584332">
      <w:pPr>
        <w:pStyle w:val="CommentText"/>
      </w:pPr>
      <w:r>
        <w:rPr>
          <w:rStyle w:val="CommentReference"/>
        </w:rPr>
        <w:annotationRef/>
      </w:r>
      <w:r>
        <w:t xml:space="preserve">Not sure if this is a good heading, as we didn’t focus on test this specifically and many other </w:t>
      </w:r>
      <w:proofErr w:type="spellStart"/>
      <w:r>
        <w:t>non mutually</w:t>
      </w:r>
      <w:proofErr w:type="spellEnd"/>
      <w:r>
        <w:t xml:space="preserve"> exclusive hypothesis also predict increases in genetic variation.</w:t>
      </w:r>
    </w:p>
    <w:p w14:paraId="5DA26C7A" w14:textId="77777777" w:rsidR="00031CB2" w:rsidRDefault="00031CB2">
      <w:pPr>
        <w:pStyle w:val="CommentText"/>
      </w:pPr>
    </w:p>
    <w:p w14:paraId="2F515542" w14:textId="77777777" w:rsidR="00031CB2" w:rsidRDefault="00031CB2">
      <w:pPr>
        <w:pStyle w:val="CommentText"/>
      </w:pPr>
      <w:r>
        <w:t xml:space="preserve">Maybe How does thermal developmental environments impact evolutionary potential of body mass? </w:t>
      </w:r>
    </w:p>
    <w:p w14:paraId="6B8D5DF9" w14:textId="77777777" w:rsidR="005A0B70" w:rsidRDefault="005A0B70">
      <w:pPr>
        <w:pStyle w:val="CommentText"/>
      </w:pPr>
    </w:p>
    <w:p w14:paraId="1548AA04" w14:textId="59F0F72D" w:rsidR="005A0B70" w:rsidRDefault="005A0B70">
      <w:pPr>
        <w:pStyle w:val="CommentText"/>
      </w:pPr>
      <w:r>
        <w:t>Or Thermal developmental environment and the evolutionary potential of body mass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6CADEC" w15:done="0"/>
  <w15:commentEx w15:paraId="188A2D5D" w15:done="1"/>
  <w15:commentEx w15:paraId="07FB15F7" w15:paraIdParent="188A2D5D" w15:done="1"/>
  <w15:commentEx w15:paraId="46865BA7" w15:paraIdParent="188A2D5D" w15:done="1"/>
  <w15:commentEx w15:paraId="30E120D2" w15:done="0"/>
  <w15:commentEx w15:paraId="0A6BE547" w15:paraIdParent="30E120D2" w15:done="1"/>
  <w15:commentEx w15:paraId="68B42D28" w15:paraIdParent="30E120D2" w15:done="0"/>
  <w15:commentEx w15:paraId="53812D90" w15:done="1"/>
  <w15:commentEx w15:paraId="1DBDCCA0" w15:paraIdParent="53812D90" w15:done="1"/>
  <w15:commentEx w15:paraId="4F3360EC" w15:done="0"/>
  <w15:commentEx w15:paraId="1548AA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0382" w16cex:dateUtc="2020-09-14T23:10:00Z"/>
  <w16cex:commentExtensible w16cex:durableId="230AFD69" w16cex:dateUtc="2020-09-14T22:44:00Z"/>
  <w16cex:commentExtensible w16cex:durableId="231D9BB2" w16cex:dateUtc="2020-09-29T01:40:00Z"/>
  <w16cex:commentExtensible w16cex:durableId="23295705" w16cex:dateUtc="2020-10-07T22:14:00Z"/>
  <w16cex:commentExtensible w16cex:durableId="2309A9B5" w16cex:dateUtc="2020-09-13T22:35:00Z"/>
  <w16cex:commentExtensible w16cex:durableId="231D9B73" w16cex:dateUtc="2020-09-29T01:39:00Z"/>
  <w16cex:commentExtensible w16cex:durableId="231DAAA7" w16cex:dateUtc="2020-09-29T02:44:00Z"/>
  <w16cex:commentExtensible w16cex:durableId="2305D115" w16cex:dateUtc="2020-09-11T00:33:00Z"/>
  <w16cex:commentExtensible w16cex:durableId="231DB9A2" w16cex:dateUtc="2020-09-29T03:48:00Z"/>
  <w16cex:commentExtensible w16cex:durableId="2326BF9B" w16cex:dateUtc="2020-10-05T23:04:00Z"/>
  <w16cex:commentExtensible w16cex:durableId="23298DEF" w16cex:dateUtc="2020-10-08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6CADEC" w16cid:durableId="230B0382"/>
  <w16cid:commentId w16cid:paraId="188A2D5D" w16cid:durableId="230AFD69"/>
  <w16cid:commentId w16cid:paraId="07FB15F7" w16cid:durableId="231D9BB2"/>
  <w16cid:commentId w16cid:paraId="46865BA7" w16cid:durableId="23295705"/>
  <w16cid:commentId w16cid:paraId="30E120D2" w16cid:durableId="2309A9B5"/>
  <w16cid:commentId w16cid:paraId="0A6BE547" w16cid:durableId="231D9B73"/>
  <w16cid:commentId w16cid:paraId="68B42D28" w16cid:durableId="231DAAA7"/>
  <w16cid:commentId w16cid:paraId="53812D90" w16cid:durableId="2305D115"/>
  <w16cid:commentId w16cid:paraId="1DBDCCA0" w16cid:durableId="231DB9A2"/>
  <w16cid:commentId w16cid:paraId="4F3360EC" w16cid:durableId="2326BF9B"/>
  <w16cid:commentId w16cid:paraId="1548AA04" w16cid:durableId="23298D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1034"/>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202E4B"/>
    <w:rsid w:val="00203A14"/>
    <w:rsid w:val="00203D94"/>
    <w:rsid w:val="00204FF8"/>
    <w:rsid w:val="002053E2"/>
    <w:rsid w:val="0020634B"/>
    <w:rsid w:val="00206D51"/>
    <w:rsid w:val="00207D3C"/>
    <w:rsid w:val="0021007B"/>
    <w:rsid w:val="00211263"/>
    <w:rsid w:val="002128F6"/>
    <w:rsid w:val="002179BE"/>
    <w:rsid w:val="002210C1"/>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7AB9"/>
    <w:rsid w:val="00280288"/>
    <w:rsid w:val="002808F8"/>
    <w:rsid w:val="0028140D"/>
    <w:rsid w:val="00281544"/>
    <w:rsid w:val="00284B8C"/>
    <w:rsid w:val="00285969"/>
    <w:rsid w:val="00291B13"/>
    <w:rsid w:val="00291B1F"/>
    <w:rsid w:val="00292331"/>
    <w:rsid w:val="002945FB"/>
    <w:rsid w:val="00296402"/>
    <w:rsid w:val="002A1B11"/>
    <w:rsid w:val="002A1C92"/>
    <w:rsid w:val="002A7E5F"/>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2E8"/>
    <w:rsid w:val="003630C7"/>
    <w:rsid w:val="003639A3"/>
    <w:rsid w:val="00364AF0"/>
    <w:rsid w:val="0036612E"/>
    <w:rsid w:val="00370E46"/>
    <w:rsid w:val="0037432B"/>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932"/>
    <w:rsid w:val="0056192A"/>
    <w:rsid w:val="00564897"/>
    <w:rsid w:val="00566250"/>
    <w:rsid w:val="0056736E"/>
    <w:rsid w:val="0056747D"/>
    <w:rsid w:val="0057340F"/>
    <w:rsid w:val="0057632B"/>
    <w:rsid w:val="0058190A"/>
    <w:rsid w:val="0058423A"/>
    <w:rsid w:val="00584332"/>
    <w:rsid w:val="00590295"/>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4D2"/>
    <w:rsid w:val="00617A81"/>
    <w:rsid w:val="006202B1"/>
    <w:rsid w:val="00624B66"/>
    <w:rsid w:val="00624E65"/>
    <w:rsid w:val="00624EF1"/>
    <w:rsid w:val="006306FD"/>
    <w:rsid w:val="00631933"/>
    <w:rsid w:val="0063201F"/>
    <w:rsid w:val="00632C0E"/>
    <w:rsid w:val="00632F8F"/>
    <w:rsid w:val="00635EE7"/>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39DA"/>
    <w:rsid w:val="006B7939"/>
    <w:rsid w:val="006C08B9"/>
    <w:rsid w:val="006C12D6"/>
    <w:rsid w:val="006C2246"/>
    <w:rsid w:val="006C4C70"/>
    <w:rsid w:val="006C5C6F"/>
    <w:rsid w:val="006D0B22"/>
    <w:rsid w:val="006D2D1C"/>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6CB"/>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CE3"/>
    <w:rsid w:val="00AD5509"/>
    <w:rsid w:val="00AD5BC0"/>
    <w:rsid w:val="00AD622B"/>
    <w:rsid w:val="00AE049B"/>
    <w:rsid w:val="00AE0DED"/>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5C5E"/>
    <w:rsid w:val="00B416D5"/>
    <w:rsid w:val="00B4214F"/>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5A86"/>
    <w:rsid w:val="00ED5C00"/>
    <w:rsid w:val="00ED7CA8"/>
    <w:rsid w:val="00EE2410"/>
    <w:rsid w:val="00EF041D"/>
    <w:rsid w:val="00EF1492"/>
    <w:rsid w:val="00EF2056"/>
    <w:rsid w:val="00EF50CB"/>
    <w:rsid w:val="00F00D28"/>
    <w:rsid w:val="00F00F3C"/>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15</Pages>
  <Words>50977</Words>
  <Characters>290572</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739</cp:revision>
  <cp:lastPrinted>2020-10-01T23:31:00Z</cp:lastPrinted>
  <dcterms:created xsi:type="dcterms:W3CDTF">2020-04-07T04:17:00Z</dcterms:created>
  <dcterms:modified xsi:type="dcterms:W3CDTF">2020-10-08T05:07:00Z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id="9nT0ITq1"/&gt;&lt;style id="http://www.zotero.org/styles/apa" locale="en-GB" hasBibliography="1" bibliographyStyleHasBeenSet="1"/&gt;&lt;prefs&gt;&lt;pref name="fieldType" value="Field"/&gt;&lt;/prefs&gt;&lt;/data&gt;</vt:lpwstr>
  </property>
</Properties>
</file>