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Paragraph 1 of the sample. The sample speaks of beginnings and of carefully numbered pages, written out at length so that the engine has something to paginate and something uncommonly long to measure.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2 of the sample. The sample speaks of beginnings and of carefully numbered pages, written out at length so that the engine has something to paginate and something uncommonly long to measure.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3 of the sample. The sample speaks of beginnings and of carefully numbered pages, written out at length so that the engine has something to paginate and something uncommonly long to measure.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4 of the sample. The sample speaks of beginnings and of carefully numbered pages, written out at length so that the engine has something to paginate and something uncommonly long to measure.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5 of the sample. The sample speaks of beginnings and of carefully numbered pages, written out at length so that the engine has something to paginate and something uncommonly long to measure.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6 of the sample. The sample speaks of beginnings and of carefully numbered pages, written out at length so that the engine has something to paginate and something uncommonly long to measure.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7 of the sample. The sample speaks of beginnings and of carefully numbered pages, written out at length so that the engine has something to paginate and something uncommonly long to measure.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Paragraph 8 of the sample. The sample speaks of beginnings and of carefully numbered pages, written out at length so that the engine has something to paginate and something uncommonly long to measure.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