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gif" ContentType="image/gif"/>
  <Override PartName="/word/media/rId38.png" ContentType="image/png"/>
  <Override PartName="/word/media/rId40.png" ContentType="image/png"/>
  <Override PartName="/word/media/rId30.png" ContentType="image/png"/>
  <Override PartName="/word/media/rId32.png" ContentType="image/png"/>
  <Override PartName="/word/media/rId48.png" ContentType="image/png"/>
  <Override PartName="/word/media/rId42.png" ContentType="image/png"/>
  <Override PartName="/word/media/rId52.png" ContentType="image/png"/>
  <Override PartName="/word/media/rId53.png" ContentType="image/png"/>
  <Override PartName="/word/media/rId45.png" ContentType="image/png"/>
  <Override PartName="/word/media/rId28.png" ContentType="image/png"/>
  <Override PartName="/word/media/rId62.png" ContentType="image/png"/>
  <Override PartName="/word/media/rId50.png" ContentType="image/png"/>
  <Override PartName="/word/media/rId57.png" ContentType="image/png"/>
  <Override PartName="/word/media/rId3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conflict</w:t>
      </w:r>
      <w:r>
        <w:t xml:space="preserve"> </w:t>
      </w:r>
      <w:r>
        <w:t xml:space="preserve">data</w:t>
      </w:r>
      <w:r>
        <w:t xml:space="preserve"> </w:t>
      </w:r>
      <w:r>
        <w:t xml:space="preserve">and</w:t>
      </w:r>
      <w:r>
        <w:t xml:space="preserve"> </w:t>
      </w:r>
      <w:r>
        <w:t xml:space="preserve">food</w:t>
      </w:r>
      <w:r>
        <w:t xml:space="preserve"> </w:t>
      </w:r>
      <w:r>
        <w:t xml:space="preserve">security</w:t>
      </w:r>
      <w:r>
        <w:t xml:space="preserve"> </w:t>
      </w:r>
      <w:r>
        <w:t xml:space="preserve">cluster</w:t>
      </w:r>
      <w:r>
        <w:t xml:space="preserve"> </w:t>
      </w:r>
      <w:r>
        <w:t xml:space="preserve">presence</w:t>
      </w:r>
      <w:r>
        <w:t xml:space="preserve"> </w:t>
      </w:r>
      <w:r>
        <w:t xml:space="preserve">and</w:t>
      </w:r>
      <w:r>
        <w:t xml:space="preserve"> </w:t>
      </w:r>
      <w:r>
        <w:t xml:space="preserve">achievements</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11/02/2022</w:t>
      </w:r>
    </w:p>
    <w:bookmarkStart w:id="25" w:name="introduction"/>
    <w:p>
      <w:pPr>
        <w:pStyle w:val="Heading2"/>
      </w:pPr>
      <w:r>
        <w:t xml:space="preserve">Introduction</w:t>
      </w:r>
    </w:p>
    <w:p>
      <w:pPr>
        <w:pStyle w:val="FirstParagraph"/>
      </w:pPr>
      <w:r>
        <w:t xml:space="preserve">This report provides an overview of the Armed Conflict Location and Event Data Project (ACLED) dataset for Myanmar. This dataset contains information on conflict actors, conflict events, event types, event locations and fatalities dating back to 2010; the data is updated on a monthly basis. With some notable exceptions, this report is largely focused on 2021 data.</w:t>
      </w:r>
    </w:p>
    <w:p>
      <w:pPr>
        <w:pStyle w:val="BodyText"/>
      </w:pPr>
      <w:r>
        <w:t xml:space="preserve">The aim of ACLED is</w:t>
      </w:r>
      <w:r>
        <w:t xml:space="preserve"> </w:t>
      </w:r>
      <w:r>
        <w:t xml:space="preserve">“</w:t>
      </w:r>
      <w:r>
        <w:t xml:space="preserve">to capture the forms, agents, dates and locations of political violence and protests</w:t>
      </w:r>
      <w:r>
        <w:t xml:space="preserve">”</w:t>
      </w:r>
      <w:r>
        <w:t xml:space="preserve">; its methodology for Myanmar consists of the review of English and Myanmar sources to code political violence and demonstration events: the vast majority (85%) of their information originates from subnational, national and international media sources, with the remainder originating from ACLED’s partnership with the Myanmar Peace Monitor and reports by the UN, international monitoring groups and local human rights organisations. Points of alignment and divergence from the conflict events collected by the Nexus Response Mechanism’s Conflict Analysis and Research Facility remains to be explored.</w:t>
      </w:r>
    </w:p>
    <w:p>
      <w:pPr>
        <w:pStyle w:val="BodyText"/>
      </w:pPr>
      <w:r>
        <w:t xml:space="preserve">The terminology employed with this report follows what has been laid out in the ACLED codebook; the review of the codebook, as well as ACLED’s methodology notes on Myanmar, is highly encouraged. This report would like to highlight the excellent scholarship of the Armed Conflict Location and Event Data Project, as well as their dedication in making this wealth of data public. This report also echoes ACLED’s calls for increased protections for journalists and independent reporting.</w:t>
      </w:r>
    </w:p>
    <w:p>
      <w:pPr>
        <w:pStyle w:val="BodyText"/>
      </w:pPr>
    </w:p>
    <w:bookmarkStart w:id="24" w:name="references-for-this-report"/>
    <w:p>
      <w:pPr>
        <w:pStyle w:val="Heading3"/>
      </w:pPr>
      <w:r>
        <w:t xml:space="preserve">References for this report</w:t>
      </w:r>
    </w:p>
    <w:p>
      <w:pPr>
        <w:numPr>
          <w:ilvl w:val="0"/>
          <w:numId w:val="1001"/>
        </w:numPr>
        <w:pStyle w:val="Compact"/>
      </w:pPr>
      <w:r>
        <w:t xml:space="preserve">ACLED, (2019). Armed Conflict Location &amp; Event Data Project (ACLED) Codebook.</w:t>
      </w:r>
      <w:r>
        <w:t xml:space="preserve"> </w:t>
      </w:r>
      <w:hyperlink r:id="rId20">
        <w:r>
          <w:rPr>
            <w:rStyle w:val="Hyperlink"/>
          </w:rPr>
          <w:t xml:space="preserve">https://www.acleddata.com/wp-content/uploads/dlm_uploads/2017/10/ACLED_Codebook_2019FINAL_pbl.pdf</w:t>
        </w:r>
      </w:hyperlink>
    </w:p>
    <w:p>
      <w:pPr>
        <w:numPr>
          <w:ilvl w:val="0"/>
          <w:numId w:val="1001"/>
        </w:numPr>
        <w:pStyle w:val="Compact"/>
      </w:pPr>
      <w:r>
        <w:t xml:space="preserve">ACLED, (2022). ACLED data for Myanmar (2010-2022).</w:t>
      </w:r>
      <w:r>
        <w:t xml:space="preserve"> </w:t>
      </w:r>
      <w:hyperlink r:id="rId21">
        <w:r>
          <w:rPr>
            <w:rStyle w:val="Hyperlink"/>
          </w:rPr>
          <w:t xml:space="preserve">https://acleddata.com</w:t>
        </w:r>
      </w:hyperlink>
    </w:p>
    <w:p>
      <w:pPr>
        <w:numPr>
          <w:ilvl w:val="0"/>
          <w:numId w:val="1001"/>
        </w:numPr>
        <w:pStyle w:val="Compact"/>
      </w:pPr>
      <w:r>
        <w:t xml:space="preserve">ACLED, (2020). ACLED Methodology and Coding Decisions around Political Violence in Myanmar.</w:t>
      </w:r>
      <w:r>
        <w:t xml:space="preserve"> </w:t>
      </w:r>
      <w:hyperlink r:id="rId22">
        <w:r>
          <w:rPr>
            <w:rStyle w:val="Hyperlink"/>
          </w:rPr>
          <w:t xml:space="preserve">https://acleddata.com/acleddatanew/wp-content/uploads/2021/11/ACLED_Political-Violence-in-Myanmar_February-2020.pdf</w:t>
        </w:r>
      </w:hyperlink>
    </w:p>
    <w:p>
      <w:pPr>
        <w:numPr>
          <w:ilvl w:val="0"/>
          <w:numId w:val="1001"/>
        </w:numPr>
        <w:pStyle w:val="Compact"/>
      </w:pPr>
      <w:r>
        <w:t xml:space="preserve">Atillio Benini, Aldo Benini (2021). mdepriv: Synthetic scores of multiple deprivation. R package version 0.0.3.</w:t>
      </w:r>
      <w:r>
        <w:t xml:space="preserve"> </w:t>
      </w:r>
      <w:hyperlink r:id="rId23">
        <w:r>
          <w:rPr>
            <w:rStyle w:val="Hyperlink"/>
          </w:rPr>
          <w:t xml:space="preserve">https://github.com/a-benini/mdepriv/</w:t>
        </w:r>
      </w:hyperlink>
    </w:p>
    <w:p>
      <w:pPr>
        <w:numPr>
          <w:ilvl w:val="0"/>
          <w:numId w:val="1001"/>
        </w:numPr>
        <w:pStyle w:val="Compact"/>
      </w:pPr>
      <w:r>
        <w:t xml:space="preserve">Food Security Cluster, Myanmar (2021). 5Ws reporting tool.</w:t>
      </w:r>
    </w:p>
    <w:p>
      <w:pPr>
        <w:pStyle w:val="FirstParagraph"/>
      </w:pPr>
    </w:p>
    <w:bookmarkEnd w:id="24"/>
    <w:bookmarkEnd w:id="25"/>
    <w:bookmarkStart w:id="27" w:name="Xee777b0dad435d0e992d8b429147b3175f364e1"/>
    <w:p>
      <w:pPr>
        <w:pStyle w:val="Heading2"/>
      </w:pPr>
      <w:r>
        <w:t xml:space="preserve">1. Progression of conflict events by interaction type in 2021</w:t>
      </w:r>
    </w:p>
    <w:p>
      <w:pPr>
        <w:pStyle w:val="FirstParagraph"/>
      </w:pPr>
      <w:r>
        <w:t xml:space="preserve">The GIF below shows 2021 conflict events by</w:t>
      </w:r>
      <w:r>
        <w:t xml:space="preserve"> </w:t>
      </w:r>
      <w:r>
        <w:rPr>
          <w:bCs/>
          <w:b/>
        </w:rPr>
        <w:t xml:space="preserve">month</w:t>
      </w:r>
      <w:r>
        <w:t xml:space="preserve">. The colour of each point indicates the interaction type – the 6 most common interaction types have been included and less frequent types have been recoded as</w:t>
      </w:r>
      <w:r>
        <w:t xml:space="preserve"> </w:t>
      </w:r>
      <w:r>
        <w:t xml:space="preserve">“</w:t>
      </w:r>
      <w:r>
        <w:t xml:space="preserve">Other</w:t>
      </w:r>
      <w:r>
        <w:t xml:space="preserve">”</w:t>
      </w:r>
      <w:r>
        <w:t xml:space="preserve"> </w:t>
      </w:r>
      <w:r>
        <w:t xml:space="preserve">– and the number of fatalities associated with each event is indicated by the size of each point.</w:t>
      </w:r>
    </w:p>
    <w:p>
      <w:pPr>
        <w:pStyle w:val="BodyText"/>
      </w:pPr>
    </w:p>
    <w:p>
      <w:pPr>
        <w:pStyle w:val="BodyText"/>
      </w:pPr>
      <w:r>
        <w:drawing>
          <wp:inline>
            <wp:extent cx="5334000" cy="7567688"/>
            <wp:effectExtent b="0" l="0" r="0" t="0"/>
            <wp:docPr descr="" title="" id="1" name="Picture"/>
            <a:graphic>
              <a:graphicData uri="http://schemas.openxmlformats.org/drawingml/2006/picture">
                <pic:pic>
                  <pic:nvPicPr>
                    <pic:cNvPr descr="acled4.gif" id="0" name="Picture"/>
                    <pic:cNvPicPr>
                      <a:picLocks noChangeArrowheads="1" noChangeAspect="1"/>
                    </pic:cNvPicPr>
                  </pic:nvPicPr>
                  <pic:blipFill>
                    <a:blip r:embed="rId26"/>
                    <a:stretch>
                      <a:fillRect/>
                    </a:stretch>
                  </pic:blipFill>
                  <pic:spPr bwMode="auto">
                    <a:xfrm>
                      <a:off x="0" y="0"/>
                      <a:ext cx="5334000" cy="7567688"/>
                    </a:xfrm>
                    <a:prstGeom prst="rect">
                      <a:avLst/>
                    </a:prstGeom>
                    <a:noFill/>
                    <a:ln w="9525">
                      <a:noFill/>
                      <a:headEnd/>
                      <a:tailEnd/>
                    </a:ln>
                  </pic:spPr>
                </pic:pic>
              </a:graphicData>
            </a:graphic>
          </wp:inline>
        </w:drawing>
      </w:r>
    </w:p>
    <w:p>
      <w:pPr>
        <w:pStyle w:val="BodyText"/>
      </w:pPr>
    </w:p>
    <w:bookmarkEnd w:id="27"/>
    <w:bookmarkStart w:id="29" w:name="Xbe88e54d8716c5624ee44fe553275a92564c219"/>
    <w:p>
      <w:pPr>
        <w:pStyle w:val="Heading2"/>
      </w:pPr>
      <w:r>
        <w:t xml:space="preserve">2. Distribution of food security partners and conflict events in 2021</w:t>
      </w:r>
    </w:p>
    <w:p>
      <w:pPr>
        <w:pStyle w:val="FirstParagraph"/>
      </w:pPr>
      <w:r>
        <w:t xml:space="preserve">There is, in general, a dearth of partners in the parts of the country most affected by conflict. Battles and explosions and remote violence were most prevalent in Sagaing, and, to lesser extents Kachin and Shan North.</w:t>
      </w:r>
    </w:p>
    <w:p>
      <w:pPr>
        <w:pStyle w:val="BodyText"/>
      </w:pPr>
    </w:p>
    <w:p>
      <w:pPr>
        <w:pStyle w:val="BodyText"/>
      </w:pPr>
      <w:r>
        <w:drawing>
          <wp:inline>
            <wp:extent cx="5334000" cy="5926666"/>
            <wp:effectExtent b="0" l="0" r="0" t="0"/>
            <wp:docPr descr="" title="" id="1" name="Picture"/>
            <a:graphic>
              <a:graphicData uri="http://schemas.openxmlformats.org/drawingml/2006/picture">
                <pic:pic>
                  <pic:nvPicPr>
                    <pic:cNvPr descr="acled_word_files/figure-docx/map-events-fsc-parnters-1.png" id="0" name="Picture"/>
                    <pic:cNvPicPr>
                      <a:picLocks noChangeArrowheads="1" noChangeAspect="1"/>
                    </pic:cNvPicPr>
                  </pic:nvPicPr>
                  <pic:blipFill>
                    <a:blip r:embed="rId28"/>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p>
    <w:bookmarkEnd w:id="29"/>
    <w:bookmarkStart w:id="37" w:name="summaries-by-event-type"/>
    <w:p>
      <w:pPr>
        <w:pStyle w:val="Heading2"/>
      </w:pPr>
      <w:r>
        <w:t xml:space="preserve">3. Summaries by event type</w:t>
      </w:r>
    </w:p>
    <w:bookmarkStart w:id="31" w:name="annual-distribution-of-conflict-events"/>
    <w:p>
      <w:pPr>
        <w:pStyle w:val="Heading3"/>
      </w:pPr>
      <w:r>
        <w:t xml:space="preserve">3.1 Annual distribution of conflict events</w:t>
      </w:r>
    </w:p>
    <w:p>
      <w:pPr>
        <w:pStyle w:val="FirstParagraph"/>
      </w:pPr>
      <w:r>
        <w:t xml:space="preserve">The plot below shows a massive spike in conflict events in 2021, bearing in mind that Myanmar has long been embroiled in a 70-year civil war.</w:t>
      </w: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barplot-year-events-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2021 breakdown of conflict events in 2021 was:</w:t>
      </w:r>
    </w:p>
    <w:p>
      <w:pPr>
        <w:pStyle w:val="TableCaption"/>
      </w:pPr>
      <w:r>
        <w:t xml:space="preserve">2021 event types by percentage of total</w:t>
      </w:r>
    </w:p>
    <w:tbl>
      <w:tblPr>
        <w:tblStyle w:val="Table"/>
        <w:tblW w:type="auto" w:w="0"/>
        <w:tblLook w:firstRow="1" w:lastRow="0" w:firstColumn="0" w:lastColumn="0" w:noHBand="0" w:noVBand="0" w:val="0020"/>
        <w:tblCaption w:val="2021 event types by percentage of total"/>
      </w:tblPr>
      <w:tblGrid>
        <w:gridCol w:w="2640"/>
        <w:gridCol w:w="2640"/>
        <w:gridCol w:w="2640"/>
      </w:tblGrid>
      <w:tr>
        <w:trPr>
          <w:tblHeader w:val="true"/>
        </w:trPr>
        <w:tc>
          <w:tcPr/>
          <w:p>
            <w:pPr>
              <w:pStyle w:val="Compact"/>
              <w:jc w:val="left"/>
            </w:pPr>
            <w:r>
              <w:t xml:space="preserve">event_type</w:t>
            </w:r>
          </w:p>
        </w:tc>
        <w:tc>
          <w:tcPr/>
          <w:p>
            <w:pPr>
              <w:pStyle w:val="Compact"/>
              <w:jc w:val="right"/>
            </w:pPr>
            <w:r>
              <w:t xml:space="preserve">count</w:t>
            </w:r>
          </w:p>
        </w:tc>
        <w:tc>
          <w:tcPr/>
          <w:p>
            <w:pPr>
              <w:pStyle w:val="Compact"/>
              <w:jc w:val="right"/>
            </w:pPr>
            <w:r>
              <w:t xml:space="preserve">percentage</w:t>
            </w:r>
          </w:p>
        </w:tc>
      </w:tr>
      <w:tr>
        <w:tc>
          <w:tcPr/>
          <w:p>
            <w:pPr>
              <w:pStyle w:val="Compact"/>
              <w:jc w:val="left"/>
            </w:pPr>
            <w:r>
              <w:t xml:space="preserve">Protests</w:t>
            </w:r>
          </w:p>
        </w:tc>
        <w:tc>
          <w:tcPr/>
          <w:p>
            <w:pPr>
              <w:pStyle w:val="Compact"/>
              <w:jc w:val="right"/>
            </w:pPr>
            <w:r>
              <w:t xml:space="preserve">5,973</w:t>
            </w:r>
          </w:p>
        </w:tc>
        <w:tc>
          <w:tcPr/>
          <w:p>
            <w:pPr>
              <w:pStyle w:val="Compact"/>
              <w:jc w:val="right"/>
            </w:pPr>
            <w:r>
              <w:t xml:space="preserve">36.73</w:t>
            </w:r>
          </w:p>
        </w:tc>
      </w:tr>
      <w:tr>
        <w:tc>
          <w:tcPr/>
          <w:p>
            <w:pPr>
              <w:pStyle w:val="Compact"/>
              <w:jc w:val="left"/>
            </w:pPr>
            <w:r>
              <w:t xml:space="preserve">Strategic developments</w:t>
            </w:r>
          </w:p>
        </w:tc>
        <w:tc>
          <w:tcPr/>
          <w:p>
            <w:pPr>
              <w:pStyle w:val="Compact"/>
              <w:jc w:val="right"/>
            </w:pPr>
            <w:r>
              <w:t xml:space="preserve">3,262</w:t>
            </w:r>
          </w:p>
        </w:tc>
        <w:tc>
          <w:tcPr/>
          <w:p>
            <w:pPr>
              <w:pStyle w:val="Compact"/>
              <w:jc w:val="right"/>
            </w:pPr>
            <w:r>
              <w:t xml:space="preserve">20.06</w:t>
            </w:r>
          </w:p>
        </w:tc>
      </w:tr>
      <w:tr>
        <w:tc>
          <w:tcPr/>
          <w:p>
            <w:pPr>
              <w:pStyle w:val="Compact"/>
              <w:jc w:val="left"/>
            </w:pPr>
            <w:r>
              <w:t xml:space="preserve">Explosions/Remote violence</w:t>
            </w:r>
          </w:p>
        </w:tc>
        <w:tc>
          <w:tcPr/>
          <w:p>
            <w:pPr>
              <w:pStyle w:val="Compact"/>
              <w:jc w:val="right"/>
            </w:pPr>
            <w:r>
              <w:t xml:space="preserve">2,734</w:t>
            </w:r>
          </w:p>
        </w:tc>
        <w:tc>
          <w:tcPr/>
          <w:p>
            <w:pPr>
              <w:pStyle w:val="Compact"/>
              <w:jc w:val="right"/>
            </w:pPr>
            <w:r>
              <w:t xml:space="preserve">16.81</w:t>
            </w:r>
          </w:p>
        </w:tc>
      </w:tr>
      <w:tr>
        <w:tc>
          <w:tcPr/>
          <w:p>
            <w:pPr>
              <w:pStyle w:val="Compact"/>
              <w:jc w:val="left"/>
            </w:pPr>
            <w:r>
              <w:t xml:space="preserve">Battles</w:t>
            </w:r>
          </w:p>
        </w:tc>
        <w:tc>
          <w:tcPr/>
          <w:p>
            <w:pPr>
              <w:pStyle w:val="Compact"/>
              <w:jc w:val="right"/>
            </w:pPr>
            <w:r>
              <w:t xml:space="preserve">2,296</w:t>
            </w:r>
          </w:p>
        </w:tc>
        <w:tc>
          <w:tcPr/>
          <w:p>
            <w:pPr>
              <w:pStyle w:val="Compact"/>
              <w:jc w:val="right"/>
            </w:pPr>
            <w:r>
              <w:t xml:space="preserve">14.12</w:t>
            </w:r>
          </w:p>
        </w:tc>
      </w:tr>
      <w:tr>
        <w:tc>
          <w:tcPr/>
          <w:p>
            <w:pPr>
              <w:pStyle w:val="Compact"/>
              <w:jc w:val="left"/>
            </w:pPr>
            <w:r>
              <w:t xml:space="preserve">Violence against civilians</w:t>
            </w:r>
          </w:p>
        </w:tc>
        <w:tc>
          <w:tcPr/>
          <w:p>
            <w:pPr>
              <w:pStyle w:val="Compact"/>
              <w:jc w:val="right"/>
            </w:pPr>
            <w:r>
              <w:t xml:space="preserve">1,891</w:t>
            </w:r>
          </w:p>
        </w:tc>
        <w:tc>
          <w:tcPr/>
          <w:p>
            <w:pPr>
              <w:pStyle w:val="Compact"/>
              <w:jc w:val="right"/>
            </w:pPr>
            <w:r>
              <w:t xml:space="preserve">11.63</w:t>
            </w:r>
          </w:p>
        </w:tc>
      </w:tr>
      <w:tr>
        <w:tc>
          <w:tcPr/>
          <w:p>
            <w:pPr>
              <w:pStyle w:val="Compact"/>
              <w:jc w:val="left"/>
            </w:pPr>
            <w:r>
              <w:t xml:space="preserve">Riots</w:t>
            </w:r>
          </w:p>
        </w:tc>
        <w:tc>
          <w:tcPr/>
          <w:p>
            <w:pPr>
              <w:pStyle w:val="Compact"/>
              <w:jc w:val="right"/>
            </w:pPr>
            <w:r>
              <w:t xml:space="preserve">107</w:t>
            </w:r>
          </w:p>
        </w:tc>
        <w:tc>
          <w:tcPr/>
          <w:p>
            <w:pPr>
              <w:pStyle w:val="Compact"/>
              <w:jc w:val="right"/>
            </w:pPr>
            <w:r>
              <w:t xml:space="preserve">0.66</w:t>
            </w:r>
          </w:p>
        </w:tc>
      </w:tr>
    </w:tbl>
    <w:p>
      <w:pPr>
        <w:pStyle w:val="BodyText"/>
      </w:pPr>
    </w:p>
    <w:bookmarkEnd w:id="31"/>
    <w:bookmarkStart w:id="33" w:name="X5570da99e3e229688488ec27d590b78d02209ba"/>
    <w:p>
      <w:pPr>
        <w:pStyle w:val="Heading3"/>
      </w:pPr>
      <w:r>
        <w:t xml:space="preserve">3.2 Annual distribution of fatalities by event type</w:t>
      </w:r>
    </w:p>
    <w:p>
      <w:pPr>
        <w:pStyle w:val="FirstParagraph"/>
      </w:pPr>
      <w:r>
        <w:t xml:space="preserve">There were more conflict fatalities in 2021 than from 2010 to 2020 combined. There were more fatalities related to violence against civilians alone than all conflict-related fatalities in 2019, which previously had the highest number of fatalities this decade.</w:t>
      </w: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barplot-year-fatalties-1.png" id="0"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For reference, the 2021 breakdown of fatalities by event type was:</w:t>
      </w:r>
    </w:p>
    <w:p>
      <w:pPr>
        <w:pStyle w:val="TableCaption"/>
      </w:pPr>
      <w:r>
        <w:t xml:space="preserve">2021 conflict fatalities by event type</w:t>
      </w:r>
    </w:p>
    <w:tbl>
      <w:tblPr>
        <w:tblStyle w:val="Table"/>
        <w:tblW w:type="auto" w:w="0"/>
        <w:tblLook w:firstRow="1" w:lastRow="0" w:firstColumn="0" w:lastColumn="0" w:noHBand="0" w:noVBand="0" w:val="0020"/>
        <w:tblCaption w:val="2021 conflict fatalities by event type"/>
      </w:tblPr>
      <w:tblGrid>
        <w:gridCol w:w="2640"/>
        <w:gridCol w:w="2640"/>
        <w:gridCol w:w="2640"/>
      </w:tblGrid>
      <w:tr>
        <w:trPr>
          <w:tblHeader w:val="true"/>
        </w:trPr>
        <w:tc>
          <w:tcPr/>
          <w:p>
            <w:pPr>
              <w:pStyle w:val="Compact"/>
              <w:jc w:val="left"/>
            </w:pPr>
            <w:r>
              <w:t xml:space="preserve">event_type</w:t>
            </w:r>
          </w:p>
        </w:tc>
        <w:tc>
          <w:tcPr/>
          <w:p>
            <w:pPr>
              <w:pStyle w:val="Compact"/>
              <w:jc w:val="right"/>
            </w:pPr>
            <w:r>
              <w:t xml:space="preserve">fatalities</w:t>
            </w:r>
          </w:p>
        </w:tc>
        <w:tc>
          <w:tcPr/>
          <w:p>
            <w:pPr>
              <w:pStyle w:val="Compact"/>
              <w:jc w:val="right"/>
            </w:pPr>
            <w:r>
              <w:t xml:space="preserve">percentage</w:t>
            </w:r>
          </w:p>
        </w:tc>
      </w:tr>
      <w:tr>
        <w:tc>
          <w:tcPr/>
          <w:p>
            <w:pPr>
              <w:pStyle w:val="Compact"/>
              <w:jc w:val="left"/>
            </w:pPr>
            <w:r>
              <w:t xml:space="preserve">Battles</w:t>
            </w:r>
          </w:p>
        </w:tc>
        <w:tc>
          <w:tcPr/>
          <w:p>
            <w:pPr>
              <w:pStyle w:val="Compact"/>
              <w:jc w:val="right"/>
            </w:pPr>
            <w:r>
              <w:t xml:space="preserve">6,540</w:t>
            </w:r>
          </w:p>
        </w:tc>
        <w:tc>
          <w:tcPr/>
          <w:p>
            <w:pPr>
              <w:pStyle w:val="Compact"/>
              <w:jc w:val="right"/>
            </w:pPr>
            <w:r>
              <w:t xml:space="preserve">56.84</w:t>
            </w:r>
          </w:p>
        </w:tc>
      </w:tr>
      <w:tr>
        <w:tc>
          <w:tcPr/>
          <w:p>
            <w:pPr>
              <w:pStyle w:val="Compact"/>
              <w:jc w:val="left"/>
            </w:pPr>
            <w:r>
              <w:t xml:space="preserve">Explosions/Remote violence</w:t>
            </w:r>
          </w:p>
        </w:tc>
        <w:tc>
          <w:tcPr/>
          <w:p>
            <w:pPr>
              <w:pStyle w:val="Compact"/>
              <w:jc w:val="right"/>
            </w:pPr>
            <w:r>
              <w:t xml:space="preserve">2,590</w:t>
            </w:r>
          </w:p>
        </w:tc>
        <w:tc>
          <w:tcPr/>
          <w:p>
            <w:pPr>
              <w:pStyle w:val="Compact"/>
              <w:jc w:val="right"/>
            </w:pPr>
            <w:r>
              <w:t xml:space="preserve">22.51</w:t>
            </w:r>
          </w:p>
        </w:tc>
      </w:tr>
      <w:tr>
        <w:tc>
          <w:tcPr/>
          <w:p>
            <w:pPr>
              <w:pStyle w:val="Compact"/>
              <w:jc w:val="left"/>
            </w:pPr>
            <w:r>
              <w:t xml:space="preserve">Violence against civilians</w:t>
            </w:r>
          </w:p>
        </w:tc>
        <w:tc>
          <w:tcPr/>
          <w:p>
            <w:pPr>
              <w:pStyle w:val="Compact"/>
              <w:jc w:val="right"/>
            </w:pPr>
            <w:r>
              <w:t xml:space="preserve">1,729</w:t>
            </w:r>
          </w:p>
        </w:tc>
        <w:tc>
          <w:tcPr/>
          <w:p>
            <w:pPr>
              <w:pStyle w:val="Compact"/>
              <w:jc w:val="right"/>
            </w:pPr>
            <w:r>
              <w:t xml:space="preserve">15.03</w:t>
            </w:r>
          </w:p>
        </w:tc>
      </w:tr>
      <w:tr>
        <w:tc>
          <w:tcPr/>
          <w:p>
            <w:pPr>
              <w:pStyle w:val="Compact"/>
              <w:jc w:val="left"/>
            </w:pPr>
            <w:r>
              <w:t xml:space="preserve">Protests</w:t>
            </w:r>
          </w:p>
        </w:tc>
        <w:tc>
          <w:tcPr/>
          <w:p>
            <w:pPr>
              <w:pStyle w:val="Compact"/>
              <w:jc w:val="right"/>
            </w:pPr>
            <w:r>
              <w:t xml:space="preserve">375</w:t>
            </w:r>
          </w:p>
        </w:tc>
        <w:tc>
          <w:tcPr/>
          <w:p>
            <w:pPr>
              <w:pStyle w:val="Compact"/>
              <w:jc w:val="right"/>
            </w:pPr>
            <w:r>
              <w:t xml:space="preserve">3.26</w:t>
            </w:r>
          </w:p>
        </w:tc>
      </w:tr>
      <w:tr>
        <w:tc>
          <w:tcPr/>
          <w:p>
            <w:pPr>
              <w:pStyle w:val="Compact"/>
              <w:jc w:val="left"/>
            </w:pPr>
            <w:r>
              <w:t xml:space="preserve">Riots</w:t>
            </w:r>
          </w:p>
        </w:tc>
        <w:tc>
          <w:tcPr/>
          <w:p>
            <w:pPr>
              <w:pStyle w:val="Compact"/>
              <w:jc w:val="right"/>
            </w:pPr>
            <w:r>
              <w:t xml:space="preserve">252</w:t>
            </w:r>
          </w:p>
        </w:tc>
        <w:tc>
          <w:tcPr/>
          <w:p>
            <w:pPr>
              <w:pStyle w:val="Compact"/>
              <w:jc w:val="right"/>
            </w:pPr>
            <w:r>
              <w:t xml:space="preserve">2.19</w:t>
            </w:r>
          </w:p>
        </w:tc>
      </w:tr>
      <w:tr>
        <w:tc>
          <w:tcPr/>
          <w:p>
            <w:pPr>
              <w:pStyle w:val="Compact"/>
              <w:jc w:val="left"/>
            </w:pPr>
            <w:r>
              <w:t xml:space="preserve">Strategic developments</w:t>
            </w:r>
          </w:p>
        </w:tc>
        <w:tc>
          <w:tcPr/>
          <w:p>
            <w:pPr>
              <w:pStyle w:val="Compact"/>
              <w:jc w:val="right"/>
            </w:pPr>
            <w:r>
              <w:t xml:space="preserve">20</w:t>
            </w:r>
          </w:p>
        </w:tc>
        <w:tc>
          <w:tcPr/>
          <w:p>
            <w:pPr>
              <w:pStyle w:val="Compact"/>
              <w:jc w:val="right"/>
            </w:pPr>
            <w:r>
              <w:t xml:space="preserve">0.17</w:t>
            </w:r>
          </w:p>
        </w:tc>
      </w:tr>
    </w:tbl>
    <w:p>
      <w:pPr>
        <w:pStyle w:val="BodyText"/>
      </w:pPr>
    </w:p>
    <w:bookmarkEnd w:id="33"/>
    <w:bookmarkStart w:id="36" w:name="Xa1c881d0f5bf79c9e83f1fec3b8df1a82ef6f4f"/>
    <w:p>
      <w:pPr>
        <w:pStyle w:val="Heading3"/>
      </w:pPr>
      <w:r>
        <w:t xml:space="preserve">3.3 Geographic distribution of conflict events</w:t>
      </w:r>
    </w:p>
    <w:p>
      <w:pPr>
        <w:pStyle w:val="FirstParagraph"/>
      </w:pPr>
      <w:r>
        <w:drawing>
          <wp:inline>
            <wp:extent cx="5334000" cy="2370666"/>
            <wp:effectExtent b="0" l="0" r="0" t="0"/>
            <wp:docPr descr="" title="" id="1" name="Picture"/>
            <a:graphic>
              <a:graphicData uri="http://schemas.openxmlformats.org/drawingml/2006/picture">
                <pic:pic>
                  <pic:nvPicPr>
                    <pic:cNvPr descr="acled_word_files/figure-docx/state-events-plot-1.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Sagaing saw the highest number of conflict events as well as fatalities in 2021, in particular, it experienced more than three times as many conflict-related fatalities than the next highest region, Magway. This is a significant shift in the pattern of conflict in Myanmar, which has traditionally revolved around Kachin, Rakhine and Shan.</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state-fatalities-plot-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plot year-on-year increase by state and region</w:t>
      </w:r>
    </w:p>
    <w:p>
      <w:pPr>
        <w:pStyle w:val="BodyText"/>
      </w:pPr>
    </w:p>
    <w:bookmarkEnd w:id="36"/>
    <w:bookmarkEnd w:id="37"/>
    <w:bookmarkStart w:id="47" w:name="conflict-actors"/>
    <w:p>
      <w:pPr>
        <w:pStyle w:val="Heading2"/>
      </w:pPr>
      <w:r>
        <w:t xml:space="preserve">4. Conflict actors</w:t>
      </w:r>
    </w:p>
    <w:bookmarkStart w:id="39" w:name="conflict-events-by-type-of-actor"/>
    <w:p>
      <w:pPr>
        <w:pStyle w:val="Heading3"/>
      </w:pPr>
      <w:r>
        <w:t xml:space="preserve">4.1 Conflict events by type of actor</w:t>
      </w:r>
    </w:p>
    <w:p>
      <w:pPr>
        <w:pStyle w:val="FirstParagraph"/>
      </w:pPr>
      <w:r>
        <w:t xml:space="preserve">The next two sections summarise conflict events and fatalities by event type and actor type. For the plots below, one should bear in mind that most event types (with the exception of peaceful protests) involved more than one actor, so totalling up each facet will result in a number higher than the total number of events. For instance, the same battle involving state forces and rebel groups would show up in the event counts of each.</w:t>
      </w:r>
    </w:p>
    <w:p>
      <w:pPr>
        <w:pStyle w:val="BodyText"/>
      </w:pPr>
    </w:p>
    <w:p>
      <w:pPr>
        <w:pStyle w:val="BodyText"/>
      </w:pPr>
      <w:r>
        <w:drawing>
          <wp:inline>
            <wp:extent cx="5334000" cy="4148666"/>
            <wp:effectExtent b="0" l="0" r="0" t="0"/>
            <wp:docPr descr="" title="" id="1" name="Picture"/>
            <a:graphic>
              <a:graphicData uri="http://schemas.openxmlformats.org/drawingml/2006/picture">
                <pic:pic>
                  <pic:nvPicPr>
                    <pic:cNvPr descr="acled_word_files/figure-docx/actor-facet-event-count-1.png" id="0" name="Picture"/>
                    <pic:cNvPicPr>
                      <a:picLocks noChangeArrowheads="1" noChangeAspect="1"/>
                    </pic:cNvPicPr>
                  </pic:nvPicPr>
                  <pic:blipFill>
                    <a:blip r:embed="rId38"/>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p>
    <w:p>
      <w:pPr>
        <w:pStyle w:val="TableCaption"/>
      </w:pPr>
      <w:r>
        <w:t xml:space="preserve">2021 number of conflict events by actor type</w:t>
      </w:r>
    </w:p>
    <w:tbl>
      <w:tblPr>
        <w:tblStyle w:val="Table"/>
        <w:tblW w:type="pct" w:w="5000"/>
        <w:tblLook w:firstRow="1" w:lastRow="0" w:firstColumn="0" w:lastColumn="0" w:noHBand="0" w:noVBand="0" w:val="0020"/>
        <w:tblCaption w:val="2021 number of conflict events by actor type"/>
      </w:tblPr>
      <w:tblGrid>
        <w:gridCol w:w="702"/>
        <w:gridCol w:w="830"/>
        <w:gridCol w:w="702"/>
        <w:gridCol w:w="638"/>
        <w:gridCol w:w="1213"/>
        <w:gridCol w:w="830"/>
        <w:gridCol w:w="510"/>
        <w:gridCol w:w="1149"/>
        <w:gridCol w:w="1341"/>
      </w:tblGrid>
      <w:tr>
        <w:trPr>
          <w:tblHeader w:val="true"/>
        </w:trPr>
        <w:tc>
          <w:tcPr/>
          <w:p>
            <w:pPr>
              <w:pStyle w:val="Compact"/>
              <w:jc w:val="left"/>
            </w:pPr>
            <w:r>
              <w:t xml:space="preserve">actor_type</w:t>
            </w:r>
          </w:p>
        </w:tc>
        <w:tc>
          <w:tcPr/>
          <w:p>
            <w:pPr>
              <w:pStyle w:val="Compact"/>
              <w:jc w:val="right"/>
            </w:pPr>
            <w:r>
              <w:t xml:space="preserve">state_forces</w:t>
            </w:r>
          </w:p>
        </w:tc>
        <w:tc>
          <w:tcPr/>
          <w:p>
            <w:pPr>
              <w:pStyle w:val="Compact"/>
              <w:jc w:val="right"/>
            </w:pPr>
            <w:r>
              <w:t xml:space="preserve">protesters</w:t>
            </w:r>
          </w:p>
        </w:tc>
        <w:tc>
          <w:tcPr/>
          <w:p>
            <w:pPr>
              <w:pStyle w:val="Compact"/>
              <w:jc w:val="right"/>
            </w:pPr>
            <w:r>
              <w:t xml:space="preserve">civilians</w:t>
            </w:r>
          </w:p>
        </w:tc>
        <w:tc>
          <w:tcPr/>
          <w:p>
            <w:pPr>
              <w:pStyle w:val="Compact"/>
              <w:jc w:val="right"/>
            </w:pPr>
            <w:r>
              <w:t xml:space="preserve">political_militias</w:t>
            </w:r>
          </w:p>
        </w:tc>
        <w:tc>
          <w:tcPr/>
          <w:p>
            <w:pPr>
              <w:pStyle w:val="Compact"/>
              <w:jc w:val="right"/>
            </w:pPr>
            <w:r>
              <w:t xml:space="preserve">rebel_groups</w:t>
            </w:r>
          </w:p>
        </w:tc>
        <w:tc>
          <w:tcPr/>
          <w:p>
            <w:pPr>
              <w:pStyle w:val="Compact"/>
              <w:jc w:val="right"/>
            </w:pPr>
            <w:r>
              <w:t xml:space="preserve">rioters</w:t>
            </w:r>
          </w:p>
        </w:tc>
        <w:tc>
          <w:tcPr/>
          <w:p>
            <w:pPr>
              <w:pStyle w:val="Compact"/>
              <w:jc w:val="right"/>
            </w:pPr>
            <w:r>
              <w:t xml:space="preserve">identity_militias</w:t>
            </w:r>
          </w:p>
        </w:tc>
        <w:tc>
          <w:tcPr/>
          <w:p>
            <w:pPr>
              <w:pStyle w:val="Compact"/>
              <w:jc w:val="right"/>
            </w:pPr>
            <w:r>
              <w:t xml:space="preserve">external_other_force</w:t>
            </w:r>
          </w:p>
        </w:tc>
      </w:tr>
      <w:tr>
        <w:tc>
          <w:tcPr/>
          <w:p>
            <w:pPr>
              <w:pStyle w:val="Compact"/>
              <w:jc w:val="left"/>
            </w:pPr>
            <w:r>
              <w:t xml:space="preserve">events</w:t>
            </w:r>
          </w:p>
        </w:tc>
        <w:tc>
          <w:tcPr/>
          <w:p>
            <w:pPr>
              <w:pStyle w:val="Compact"/>
              <w:jc w:val="right"/>
            </w:pPr>
            <w:r>
              <w:t xml:space="preserve">7,938</w:t>
            </w:r>
          </w:p>
        </w:tc>
        <w:tc>
          <w:tcPr/>
          <w:p>
            <w:pPr>
              <w:pStyle w:val="Compact"/>
              <w:jc w:val="right"/>
            </w:pPr>
            <w:r>
              <w:t xml:space="preserve">6,021</w:t>
            </w:r>
          </w:p>
        </w:tc>
        <w:tc>
          <w:tcPr/>
          <w:p>
            <w:pPr>
              <w:pStyle w:val="Compact"/>
              <w:jc w:val="right"/>
            </w:pPr>
            <w:r>
              <w:t xml:space="preserve">4,850</w:t>
            </w:r>
          </w:p>
        </w:tc>
        <w:tc>
          <w:tcPr/>
          <w:p>
            <w:pPr>
              <w:pStyle w:val="Compact"/>
              <w:jc w:val="right"/>
            </w:pPr>
            <w:r>
              <w:t xml:space="preserve">4,585</w:t>
            </w:r>
          </w:p>
        </w:tc>
        <w:tc>
          <w:tcPr/>
          <w:p>
            <w:pPr>
              <w:pStyle w:val="Compact"/>
              <w:jc w:val="right"/>
            </w:pPr>
            <w:r>
              <w:t xml:space="preserve">1,585</w:t>
            </w:r>
          </w:p>
        </w:tc>
        <w:tc>
          <w:tcPr/>
          <w:p>
            <w:pPr>
              <w:pStyle w:val="Compact"/>
              <w:jc w:val="right"/>
            </w:pPr>
            <w:r>
              <w:t xml:space="preserve">116</w:t>
            </w:r>
          </w:p>
        </w:tc>
        <w:tc>
          <w:tcPr/>
          <w:p>
            <w:pPr>
              <w:pStyle w:val="Compact"/>
              <w:jc w:val="right"/>
            </w:pPr>
            <w:r>
              <w:t xml:space="preserve">3</w:t>
            </w:r>
          </w:p>
        </w:tc>
        <w:tc>
          <w:tcPr/>
          <w:p>
            <w:pPr>
              <w:pStyle w:val="Compact"/>
              <w:jc w:val="right"/>
            </w:pPr>
            <w:r>
              <w:t xml:space="preserve">5</w:t>
            </w:r>
          </w:p>
        </w:tc>
      </w:tr>
    </w:tbl>
    <w:p>
      <w:pPr>
        <w:pStyle w:val="BodyText"/>
      </w:pPr>
    </w:p>
    <w:bookmarkEnd w:id="39"/>
    <w:bookmarkStart w:id="41" w:name="fatalities-by-actor-type"/>
    <w:p>
      <w:pPr>
        <w:pStyle w:val="Heading3"/>
      </w:pPr>
      <w:r>
        <w:t xml:space="preserve">4.2 Fatalities by actor type</w:t>
      </w:r>
    </w:p>
    <w:p>
      <w:pPr>
        <w:pStyle w:val="FirstParagraph"/>
      </w:pPr>
      <w:r>
        <w:t xml:space="preserve">The plot below on fatalities shows the number of fatalities associated with each type of actor. It should be noted that the ACLED dataset does not have a column to assign blame, neither are the specific details of the fatalities always known – there is additional information in the column</w:t>
      </w:r>
      <w:r>
        <w:t xml:space="preserve"> </w:t>
      </w:r>
      <w:r>
        <w:rPr>
          <w:rStyle w:val="VerbatimChar"/>
        </w:rPr>
        <w:t xml:space="preserve">notes</w:t>
      </w:r>
      <w:r>
        <w:t xml:space="preserve"> </w:t>
      </w:r>
      <w:r>
        <w:t xml:space="preserve">and text mining would be a fruitful next step for future analysis, but has not been performed for this cursory overview of the data. And similar to the plot on event types above, duplications have been included, though not within the totals for each actor type.</w:t>
      </w:r>
    </w:p>
    <w:p>
      <w:pPr>
        <w:pStyle w:val="BodyText"/>
      </w:pPr>
      <w:r>
        <w:t xml:space="preserve">For instance, under fatalities related to protests, 381 fatalities were associated with protesters, with the main other party involved almost entirely being state forces, with very small numbers being associated with rioters.</w:t>
      </w:r>
    </w:p>
    <w:p>
      <w:pPr>
        <w:pStyle w:val="BodyText"/>
      </w:pPr>
    </w:p>
    <w:p>
      <w:pPr>
        <w:pStyle w:val="BodyText"/>
      </w:pPr>
      <w:r>
        <w:drawing>
          <wp:inline>
            <wp:extent cx="5334000" cy="4148666"/>
            <wp:effectExtent b="0" l="0" r="0" t="0"/>
            <wp:docPr descr="" title="" id="1" name="Picture"/>
            <a:graphic>
              <a:graphicData uri="http://schemas.openxmlformats.org/drawingml/2006/picture">
                <pic:pic>
                  <pic:nvPicPr>
                    <pic:cNvPr descr="acled_word_files/figure-docx/actor-facet-event-fatalities-1.png" id="0" name="Picture"/>
                    <pic:cNvPicPr>
                      <a:picLocks noChangeArrowheads="1" noChangeAspect="1"/>
                    </pic:cNvPicPr>
                  </pic:nvPicPr>
                  <pic:blipFill>
                    <a:blip r:embed="rId40"/>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pPr>
        <w:pStyle w:val="TableCaption"/>
      </w:pPr>
      <w:r>
        <w:t xml:space="preserve">2021 number of fatalities associated with each actor type</w:t>
      </w:r>
    </w:p>
    <w:tbl>
      <w:tblPr>
        <w:tblStyle w:val="Table"/>
        <w:tblW w:type="pct" w:w="5000"/>
        <w:tblLook w:firstRow="1" w:lastRow="0" w:firstColumn="0" w:lastColumn="0" w:noHBand="0" w:noVBand="0" w:val="0020"/>
        <w:tblCaption w:val="2021 number of fatalities associated with each actor type"/>
      </w:tblPr>
      <w:tblGrid>
        <w:gridCol w:w="702"/>
        <w:gridCol w:w="830"/>
        <w:gridCol w:w="702"/>
        <w:gridCol w:w="638"/>
        <w:gridCol w:w="1213"/>
        <w:gridCol w:w="830"/>
        <w:gridCol w:w="510"/>
        <w:gridCol w:w="1149"/>
        <w:gridCol w:w="1341"/>
      </w:tblGrid>
      <w:tr>
        <w:trPr>
          <w:tblHeader w:val="true"/>
        </w:trPr>
        <w:tc>
          <w:tcPr/>
          <w:p>
            <w:pPr>
              <w:pStyle w:val="Compact"/>
              <w:jc w:val="left"/>
            </w:pPr>
            <w:r>
              <w:t xml:space="preserve">actor_type</w:t>
            </w:r>
          </w:p>
        </w:tc>
        <w:tc>
          <w:tcPr/>
          <w:p>
            <w:pPr>
              <w:pStyle w:val="Compact"/>
              <w:jc w:val="right"/>
            </w:pPr>
            <w:r>
              <w:t xml:space="preserve">state_forces</w:t>
            </w:r>
          </w:p>
        </w:tc>
        <w:tc>
          <w:tcPr/>
          <w:p>
            <w:pPr>
              <w:pStyle w:val="Compact"/>
              <w:jc w:val="right"/>
            </w:pPr>
            <w:r>
              <w:t xml:space="preserve">protesters</w:t>
            </w:r>
          </w:p>
        </w:tc>
        <w:tc>
          <w:tcPr/>
          <w:p>
            <w:pPr>
              <w:pStyle w:val="Compact"/>
              <w:jc w:val="right"/>
            </w:pPr>
            <w:r>
              <w:t xml:space="preserve">civilians</w:t>
            </w:r>
          </w:p>
        </w:tc>
        <w:tc>
          <w:tcPr/>
          <w:p>
            <w:pPr>
              <w:pStyle w:val="Compact"/>
              <w:jc w:val="right"/>
            </w:pPr>
            <w:r>
              <w:t xml:space="preserve">political_militias</w:t>
            </w:r>
          </w:p>
        </w:tc>
        <w:tc>
          <w:tcPr/>
          <w:p>
            <w:pPr>
              <w:pStyle w:val="Compact"/>
              <w:jc w:val="right"/>
            </w:pPr>
            <w:r>
              <w:t xml:space="preserve">rebel_groups</w:t>
            </w:r>
          </w:p>
        </w:tc>
        <w:tc>
          <w:tcPr/>
          <w:p>
            <w:pPr>
              <w:pStyle w:val="Compact"/>
              <w:jc w:val="right"/>
            </w:pPr>
            <w:r>
              <w:t xml:space="preserve">rioters</w:t>
            </w:r>
          </w:p>
        </w:tc>
        <w:tc>
          <w:tcPr/>
          <w:p>
            <w:pPr>
              <w:pStyle w:val="Compact"/>
              <w:jc w:val="right"/>
            </w:pPr>
            <w:r>
              <w:t xml:space="preserve">identity_militias</w:t>
            </w:r>
          </w:p>
        </w:tc>
        <w:tc>
          <w:tcPr/>
          <w:p>
            <w:pPr>
              <w:pStyle w:val="Compact"/>
              <w:jc w:val="right"/>
            </w:pPr>
            <w:r>
              <w:t xml:space="preserve">external_other_force</w:t>
            </w:r>
          </w:p>
        </w:tc>
      </w:tr>
      <w:tr>
        <w:tc>
          <w:tcPr/>
          <w:p>
            <w:pPr>
              <w:pStyle w:val="Compact"/>
              <w:jc w:val="left"/>
            </w:pPr>
            <w:r>
              <w:t xml:space="preserve">fatalities</w:t>
            </w:r>
          </w:p>
        </w:tc>
        <w:tc>
          <w:tcPr/>
          <w:p>
            <w:pPr>
              <w:pStyle w:val="Compact"/>
              <w:jc w:val="right"/>
            </w:pPr>
            <w:r>
              <w:t xml:space="preserve">9,983</w:t>
            </w:r>
          </w:p>
        </w:tc>
        <w:tc>
          <w:tcPr/>
          <w:p>
            <w:pPr>
              <w:pStyle w:val="Compact"/>
              <w:jc w:val="right"/>
            </w:pPr>
            <w:r>
              <w:t xml:space="preserve">373</w:t>
            </w:r>
          </w:p>
        </w:tc>
        <w:tc>
          <w:tcPr/>
          <w:p>
            <w:pPr>
              <w:pStyle w:val="Compact"/>
              <w:jc w:val="right"/>
            </w:pPr>
            <w:r>
              <w:t xml:space="preserve">1,871</w:t>
            </w:r>
          </w:p>
        </w:tc>
        <w:tc>
          <w:tcPr/>
          <w:p>
            <w:pPr>
              <w:pStyle w:val="Compact"/>
              <w:jc w:val="right"/>
            </w:pPr>
            <w:r>
              <w:t xml:space="preserve">7,363</w:t>
            </w:r>
          </w:p>
        </w:tc>
        <w:tc>
          <w:tcPr/>
          <w:p>
            <w:pPr>
              <w:pStyle w:val="Compact"/>
              <w:jc w:val="right"/>
            </w:pPr>
            <w:r>
              <w:t xml:space="preserve">2,184</w:t>
            </w:r>
          </w:p>
        </w:tc>
        <w:tc>
          <w:tcPr/>
          <w:p>
            <w:pPr>
              <w:pStyle w:val="Compact"/>
              <w:jc w:val="right"/>
            </w:pPr>
            <w:r>
              <w:t xml:space="preserve">260</w:t>
            </w:r>
          </w:p>
        </w:tc>
        <w:tc>
          <w:tcPr/>
          <w:p>
            <w:pPr>
              <w:pStyle w:val="Compact"/>
              <w:jc w:val="right"/>
            </w:pPr>
            <w:r>
              <w:t xml:space="preserve">3</w:t>
            </w:r>
          </w:p>
        </w:tc>
        <w:tc>
          <w:tcPr/>
          <w:p>
            <w:pPr>
              <w:pStyle w:val="Compact"/>
              <w:jc w:val="right"/>
            </w:pPr>
            <w:r>
              <w:t xml:space="preserve">0</w:t>
            </w:r>
          </w:p>
        </w:tc>
      </w:tr>
    </w:tbl>
    <w:p>
      <w:pPr>
        <w:pStyle w:val="BodyText"/>
      </w:pPr>
    </w:p>
    <w:bookmarkEnd w:id="41"/>
    <w:bookmarkStart w:id="43" w:name="X4ab01b193375c03e69da625d92c1d30f48732c7"/>
    <w:p>
      <w:pPr>
        <w:pStyle w:val="Heading3"/>
      </w:pPr>
      <w:r>
        <w:t xml:space="preserve">4.3 Which actors are associated with the most fatalities?</w:t>
      </w:r>
    </w:p>
    <w:p>
      <w:pPr>
        <w:pStyle w:val="FirstParagraph"/>
      </w:pPr>
      <w:r>
        <w:t xml:space="preserve">As mentioned, it is difficult at this juncture to state how many of the associated fatalities were persons killed by these groups and how many were members of these groups had been the ones who were killed. Still, it is worthwhile to plot which actors are the</w:t>
      </w:r>
      <w:r>
        <w:t xml:space="preserve"> </w:t>
      </w:r>
      <w:r>
        <w:t xml:space="preserve">“</w:t>
      </w:r>
      <w:r>
        <w:t xml:space="preserve">bloodiest</w:t>
      </w:r>
      <w:r>
        <w:t xml:space="preserve">”</w:t>
      </w:r>
      <w:r>
        <w:t xml:space="preserve">, at least in regards to the outcomes of their actions, or have been involved in incidents with the most fatalities.</w:t>
      </w:r>
    </w:p>
    <w:p>
      <w:pPr>
        <w:pStyle w:val="BodyText"/>
      </w:pPr>
      <w:r>
        <w:t xml:space="preserve">The plot below seeks to examine which actors have been associated with the most fatalities per event, and only actors which have participated in more than 50 conflict events have been included. The point shows the average number of fatalities associated with each actor per conflict event it was involved in. The whiskers show the upper and lower ranges of fatalities per event, that is, 95% of all conflict events that an actor participated in fell within that range. The highest numbers of fatalities per event are associated with political militias and rebel groups.</w:t>
      </w:r>
    </w:p>
    <w:p>
      <w:pPr>
        <w:pStyle w:val="BodyText"/>
      </w:pPr>
    </w:p>
    <w:p>
      <w:pPr>
        <w:pStyle w:val="BodyText"/>
      </w:pPr>
      <w:r>
        <w:drawing>
          <wp:inline>
            <wp:extent cx="5334000" cy="3556000"/>
            <wp:effectExtent b="0" l="0" r="0" t="0"/>
            <wp:docPr descr="" title="" id="1" name="Picture"/>
            <a:graphic>
              <a:graphicData uri="http://schemas.openxmlformats.org/drawingml/2006/picture">
                <pic:pic>
                  <pic:nvPicPr>
                    <pic:cNvPr descr="acled_word_files/figure-docx/fatalities-actors-errorbarh-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table below summarises the number of fatalities and conflict events associated with the largest actors. The table has been sorted in descending order of number of fatalities; only actors associated with more than 100 fatalities are shown and all other actors have been lumped together as</w:t>
      </w:r>
      <w:r>
        <w:t xml:space="preserve"> </w:t>
      </w:r>
      <w:r>
        <w:t xml:space="preserve">“</w:t>
      </w:r>
      <w:r>
        <w:t xml:space="preserve">Other</w:t>
      </w:r>
      <w:r>
        <w:t xml:space="preserve">”</w:t>
      </w:r>
      <w:r>
        <w:t xml:space="preserve">.</w:t>
      </w:r>
    </w:p>
    <w:p>
      <w:pPr>
        <w:pStyle w:val="TableCaption"/>
      </w:pPr>
      <w:r>
        <w:t xml:space="preserve">Top 2021 actors in terms of fatalities; actors associated with less than 100 fatalities have been lumped together as</w:t>
      </w:r>
      <w:r>
        <w:t xml:space="preserve"> </w:t>
      </w:r>
      <w:r>
        <w:t xml:space="preserve">‘</w:t>
      </w:r>
      <w:r>
        <w:t xml:space="preserve">Other</w:t>
      </w:r>
      <w:r>
        <w:t xml:space="preserve">’</w:t>
      </w:r>
    </w:p>
    <w:tbl>
      <w:tblPr>
        <w:tblStyle w:val="Table"/>
        <w:tblW w:type="auto" w:w="0"/>
        <w:tblLook w:firstRow="1" w:lastRow="0" w:firstColumn="0" w:lastColumn="0" w:noHBand="0" w:noVBand="0" w:val="0020"/>
        <w:tblCaption w:val="Top 2021 actors in terms of fatalities; actors associated with less than 100 fatalities have been lumped together as ‘Other’"/>
      </w:tblPr>
      <w:tblGrid>
        <w:gridCol w:w="1584"/>
        <w:gridCol w:w="1584"/>
        <w:gridCol w:w="1584"/>
        <w:gridCol w:w="1584"/>
        <w:gridCol w:w="1584"/>
      </w:tblGrid>
      <w:tr>
        <w:trPr>
          <w:tblHeader w:val="true"/>
        </w:trPr>
        <w:tc>
          <w:tcPr/>
          <w:p>
            <w:pPr>
              <w:pStyle w:val="Compact"/>
              <w:jc w:val="left"/>
            </w:pPr>
            <w:r>
              <w:t xml:space="preserve">actor</w:t>
            </w:r>
          </w:p>
        </w:tc>
        <w:tc>
          <w:tcPr/>
          <w:p>
            <w:pPr>
              <w:pStyle w:val="Compact"/>
              <w:jc w:val="left"/>
            </w:pPr>
            <w:r>
              <w:t xml:space="preserve">actor_type</w:t>
            </w:r>
          </w:p>
        </w:tc>
        <w:tc>
          <w:tcPr/>
          <w:p>
            <w:pPr>
              <w:pStyle w:val="Compact"/>
              <w:jc w:val="right"/>
            </w:pPr>
            <w:r>
              <w:t xml:space="preserve">fatalities</w:t>
            </w:r>
          </w:p>
        </w:tc>
        <w:tc>
          <w:tcPr/>
          <w:p>
            <w:pPr>
              <w:pStyle w:val="Compact"/>
              <w:jc w:val="right"/>
            </w:pPr>
            <w:r>
              <w:t xml:space="preserve">events</w:t>
            </w:r>
          </w:p>
        </w:tc>
        <w:tc>
          <w:tcPr/>
          <w:p>
            <w:pPr>
              <w:pStyle w:val="Compact"/>
              <w:jc w:val="right"/>
            </w:pPr>
            <w:r>
              <w:t xml:space="preserve">fatalities_per_event</w:t>
            </w:r>
          </w:p>
        </w:tc>
      </w:tr>
      <w:tr>
        <w:tc>
          <w:tcPr/>
          <w:p>
            <w:pPr>
              <w:pStyle w:val="Compact"/>
              <w:jc w:val="left"/>
            </w:pPr>
            <w:r>
              <w:t xml:space="preserve">Military Forces of Myanmar</w:t>
            </w:r>
          </w:p>
        </w:tc>
        <w:tc>
          <w:tcPr/>
          <w:p>
            <w:pPr>
              <w:pStyle w:val="Compact"/>
              <w:jc w:val="left"/>
            </w:pPr>
            <w:r>
              <w:t xml:space="preserve">state_forces</w:t>
            </w:r>
          </w:p>
        </w:tc>
        <w:tc>
          <w:tcPr/>
          <w:p>
            <w:pPr>
              <w:pStyle w:val="Compact"/>
              <w:jc w:val="right"/>
            </w:pPr>
            <w:r>
              <w:t xml:space="preserve">9,540</w:t>
            </w:r>
          </w:p>
        </w:tc>
        <w:tc>
          <w:tcPr/>
          <w:p>
            <w:pPr>
              <w:pStyle w:val="Compact"/>
              <w:jc w:val="right"/>
            </w:pPr>
            <w:r>
              <w:t xml:space="preserve">6,993</w:t>
            </w:r>
          </w:p>
        </w:tc>
        <w:tc>
          <w:tcPr/>
          <w:p>
            <w:pPr>
              <w:pStyle w:val="Compact"/>
              <w:jc w:val="right"/>
            </w:pPr>
            <w:r>
              <w:t xml:space="preserve">1.36</w:t>
            </w:r>
          </w:p>
        </w:tc>
      </w:tr>
      <w:tr>
        <w:tc>
          <w:tcPr/>
          <w:p>
            <w:pPr>
              <w:pStyle w:val="Compact"/>
              <w:jc w:val="left"/>
            </w:pPr>
            <w:r>
              <w:t xml:space="preserve">People’s Defense Force</w:t>
            </w:r>
          </w:p>
        </w:tc>
        <w:tc>
          <w:tcPr/>
          <w:p>
            <w:pPr>
              <w:pStyle w:val="Compact"/>
              <w:jc w:val="left"/>
            </w:pPr>
            <w:r>
              <w:t xml:space="preserve">political_militias</w:t>
            </w:r>
          </w:p>
        </w:tc>
        <w:tc>
          <w:tcPr/>
          <w:p>
            <w:pPr>
              <w:pStyle w:val="Compact"/>
              <w:jc w:val="right"/>
            </w:pPr>
            <w:r>
              <w:t xml:space="preserve">3,335</w:t>
            </w:r>
          </w:p>
        </w:tc>
        <w:tc>
          <w:tcPr/>
          <w:p>
            <w:pPr>
              <w:pStyle w:val="Compact"/>
              <w:jc w:val="right"/>
            </w:pPr>
            <w:r>
              <w:t xml:space="preserve">1,110</w:t>
            </w:r>
          </w:p>
        </w:tc>
        <w:tc>
          <w:tcPr/>
          <w:p>
            <w:pPr>
              <w:pStyle w:val="Compact"/>
              <w:jc w:val="right"/>
            </w:pPr>
            <w:r>
              <w:t xml:space="preserve">3.00</w:t>
            </w:r>
          </w:p>
        </w:tc>
      </w:tr>
      <w:tr>
        <w:tc>
          <w:tcPr/>
          <w:p>
            <w:pPr>
              <w:pStyle w:val="Compact"/>
              <w:jc w:val="left"/>
            </w:pPr>
            <w:r>
              <w:t xml:space="preserve">Civilians (Myanmar)</w:t>
            </w:r>
          </w:p>
        </w:tc>
        <w:tc>
          <w:tcPr/>
          <w:p>
            <w:pPr>
              <w:pStyle w:val="Compact"/>
              <w:jc w:val="left"/>
            </w:pPr>
            <w:r>
              <w:t xml:space="preserve">civilians</w:t>
            </w:r>
          </w:p>
        </w:tc>
        <w:tc>
          <w:tcPr/>
          <w:p>
            <w:pPr>
              <w:pStyle w:val="Compact"/>
              <w:jc w:val="right"/>
            </w:pPr>
            <w:r>
              <w:t xml:space="preserve">1,871</w:t>
            </w:r>
          </w:p>
        </w:tc>
        <w:tc>
          <w:tcPr/>
          <w:p>
            <w:pPr>
              <w:pStyle w:val="Compact"/>
              <w:jc w:val="right"/>
            </w:pPr>
            <w:r>
              <w:t xml:space="preserve">4,844</w:t>
            </w:r>
          </w:p>
        </w:tc>
        <w:tc>
          <w:tcPr/>
          <w:p>
            <w:pPr>
              <w:pStyle w:val="Compact"/>
              <w:jc w:val="right"/>
            </w:pPr>
            <w:r>
              <w:t xml:space="preserve">0.39</w:t>
            </w:r>
          </w:p>
        </w:tc>
      </w:tr>
      <w:tr>
        <w:tc>
          <w:tcPr/>
          <w:p>
            <w:pPr>
              <w:pStyle w:val="Compact"/>
              <w:jc w:val="left"/>
            </w:pPr>
            <w:r>
              <w:t xml:space="preserve">Other</w:t>
            </w:r>
          </w:p>
        </w:tc>
        <w:tc>
          <w:tcPr/>
          <w:p>
            <w:pPr>
              <w:pStyle w:val="Compact"/>
            </w:pPr>
          </w:p>
        </w:tc>
        <w:tc>
          <w:tcPr/>
          <w:p>
            <w:pPr>
              <w:pStyle w:val="Compact"/>
              <w:jc w:val="right"/>
            </w:pPr>
            <w:r>
              <w:t xml:space="preserve">1,420</w:t>
            </w:r>
          </w:p>
        </w:tc>
        <w:tc>
          <w:tcPr/>
          <w:p>
            <w:pPr>
              <w:pStyle w:val="Compact"/>
              <w:jc w:val="right"/>
            </w:pPr>
            <w:r>
              <w:t xml:space="preserve">1,239</w:t>
            </w:r>
          </w:p>
        </w:tc>
        <w:tc>
          <w:tcPr/>
          <w:p>
            <w:pPr>
              <w:pStyle w:val="Compact"/>
              <w:jc w:val="right"/>
            </w:pPr>
            <w:r>
              <w:t xml:space="preserve">1.15</w:t>
            </w:r>
          </w:p>
        </w:tc>
      </w:tr>
      <w:tr>
        <w:tc>
          <w:tcPr/>
          <w:p>
            <w:pPr>
              <w:pStyle w:val="Compact"/>
              <w:jc w:val="left"/>
            </w:pPr>
            <w:r>
              <w:t xml:space="preserve">Unidentified Armed Group (Myanmar)</w:t>
            </w:r>
          </w:p>
        </w:tc>
        <w:tc>
          <w:tcPr/>
          <w:p>
            <w:pPr>
              <w:pStyle w:val="Compact"/>
              <w:jc w:val="left"/>
            </w:pPr>
            <w:r>
              <w:t xml:space="preserve">political_militias</w:t>
            </w:r>
          </w:p>
        </w:tc>
        <w:tc>
          <w:tcPr/>
          <w:p>
            <w:pPr>
              <w:pStyle w:val="Compact"/>
              <w:jc w:val="right"/>
            </w:pPr>
            <w:r>
              <w:t xml:space="preserve">934</w:t>
            </w:r>
          </w:p>
        </w:tc>
        <w:tc>
          <w:tcPr/>
          <w:p>
            <w:pPr>
              <w:pStyle w:val="Compact"/>
              <w:jc w:val="right"/>
            </w:pPr>
            <w:r>
              <w:t xml:space="preserve">2,299</w:t>
            </w:r>
          </w:p>
        </w:tc>
        <w:tc>
          <w:tcPr/>
          <w:p>
            <w:pPr>
              <w:pStyle w:val="Compact"/>
              <w:jc w:val="right"/>
            </w:pPr>
            <w:r>
              <w:t xml:space="preserve">0.41</w:t>
            </w:r>
          </w:p>
        </w:tc>
      </w:tr>
      <w:tr>
        <w:tc>
          <w:tcPr/>
          <w:p>
            <w:pPr>
              <w:pStyle w:val="Compact"/>
              <w:jc w:val="left"/>
            </w:pPr>
            <w:r>
              <w:t xml:space="preserve">KIO/KIA</w:t>
            </w:r>
          </w:p>
        </w:tc>
        <w:tc>
          <w:tcPr/>
          <w:p>
            <w:pPr>
              <w:pStyle w:val="Compact"/>
              <w:jc w:val="left"/>
            </w:pPr>
            <w:r>
              <w:t xml:space="preserve">rebel_groups</w:t>
            </w:r>
          </w:p>
        </w:tc>
        <w:tc>
          <w:tcPr/>
          <w:p>
            <w:pPr>
              <w:pStyle w:val="Compact"/>
              <w:jc w:val="right"/>
            </w:pPr>
            <w:r>
              <w:t xml:space="preserve">758</w:t>
            </w:r>
          </w:p>
        </w:tc>
        <w:tc>
          <w:tcPr/>
          <w:p>
            <w:pPr>
              <w:pStyle w:val="Compact"/>
              <w:jc w:val="right"/>
            </w:pPr>
            <w:r>
              <w:t xml:space="preserve">668</w:t>
            </w:r>
          </w:p>
        </w:tc>
        <w:tc>
          <w:tcPr/>
          <w:p>
            <w:pPr>
              <w:pStyle w:val="Compact"/>
              <w:jc w:val="right"/>
            </w:pPr>
            <w:r>
              <w:t xml:space="preserve">1.13</w:t>
            </w:r>
          </w:p>
        </w:tc>
      </w:tr>
      <w:tr>
        <w:tc>
          <w:tcPr/>
          <w:p>
            <w:pPr>
              <w:pStyle w:val="Compact"/>
              <w:jc w:val="left"/>
            </w:pPr>
            <w:r>
              <w:t xml:space="preserve">KNU/KNLA</w:t>
            </w:r>
          </w:p>
        </w:tc>
        <w:tc>
          <w:tcPr/>
          <w:p>
            <w:pPr>
              <w:pStyle w:val="Compact"/>
              <w:jc w:val="left"/>
            </w:pPr>
            <w:r>
              <w:t xml:space="preserve">rebel_groups</w:t>
            </w:r>
          </w:p>
        </w:tc>
        <w:tc>
          <w:tcPr/>
          <w:p>
            <w:pPr>
              <w:pStyle w:val="Compact"/>
              <w:jc w:val="right"/>
            </w:pPr>
            <w:r>
              <w:t xml:space="preserve">713</w:t>
            </w:r>
          </w:p>
        </w:tc>
        <w:tc>
          <w:tcPr/>
          <w:p>
            <w:pPr>
              <w:pStyle w:val="Compact"/>
              <w:jc w:val="right"/>
            </w:pPr>
            <w:r>
              <w:t xml:space="preserve">251</w:t>
            </w:r>
          </w:p>
        </w:tc>
        <w:tc>
          <w:tcPr/>
          <w:p>
            <w:pPr>
              <w:pStyle w:val="Compact"/>
              <w:jc w:val="right"/>
            </w:pPr>
            <w:r>
              <w:t xml:space="preserve">2.84</w:t>
            </w:r>
          </w:p>
        </w:tc>
      </w:tr>
      <w:tr>
        <w:tc>
          <w:tcPr/>
          <w:p>
            <w:pPr>
              <w:pStyle w:val="Compact"/>
              <w:jc w:val="left"/>
            </w:pPr>
            <w:r>
              <w:t xml:space="preserve">CDF</w:t>
            </w:r>
          </w:p>
        </w:tc>
        <w:tc>
          <w:tcPr/>
          <w:p>
            <w:pPr>
              <w:pStyle w:val="Compact"/>
              <w:jc w:val="left"/>
            </w:pPr>
            <w:r>
              <w:t xml:space="preserve">political_militias</w:t>
            </w:r>
          </w:p>
        </w:tc>
        <w:tc>
          <w:tcPr/>
          <w:p>
            <w:pPr>
              <w:pStyle w:val="Compact"/>
              <w:jc w:val="right"/>
            </w:pPr>
            <w:r>
              <w:t xml:space="preserve">657</w:t>
            </w:r>
          </w:p>
        </w:tc>
        <w:tc>
          <w:tcPr/>
          <w:p>
            <w:pPr>
              <w:pStyle w:val="Compact"/>
              <w:jc w:val="right"/>
            </w:pPr>
            <w:r>
              <w:t xml:space="preserve">161</w:t>
            </w:r>
          </w:p>
        </w:tc>
        <w:tc>
          <w:tcPr/>
          <w:p>
            <w:pPr>
              <w:pStyle w:val="Compact"/>
              <w:jc w:val="right"/>
            </w:pPr>
            <w:r>
              <w:t xml:space="preserve">4.08</w:t>
            </w:r>
          </w:p>
        </w:tc>
      </w:tr>
      <w:tr>
        <w:tc>
          <w:tcPr/>
          <w:p>
            <w:pPr>
              <w:pStyle w:val="Compact"/>
              <w:jc w:val="left"/>
            </w:pPr>
            <w:r>
              <w:t xml:space="preserve">Protesters (Myanmar)</w:t>
            </w:r>
          </w:p>
        </w:tc>
        <w:tc>
          <w:tcPr/>
          <w:p>
            <w:pPr>
              <w:pStyle w:val="Compact"/>
              <w:jc w:val="left"/>
            </w:pPr>
            <w:r>
              <w:t xml:space="preserve">protesters</w:t>
            </w:r>
          </w:p>
        </w:tc>
        <w:tc>
          <w:tcPr/>
          <w:p>
            <w:pPr>
              <w:pStyle w:val="Compact"/>
              <w:jc w:val="right"/>
            </w:pPr>
            <w:r>
              <w:t xml:space="preserve">373</w:t>
            </w:r>
          </w:p>
        </w:tc>
        <w:tc>
          <w:tcPr/>
          <w:p>
            <w:pPr>
              <w:pStyle w:val="Compact"/>
              <w:jc w:val="right"/>
            </w:pPr>
            <w:r>
              <w:t xml:space="preserve">6,021</w:t>
            </w:r>
          </w:p>
        </w:tc>
        <w:tc>
          <w:tcPr/>
          <w:p>
            <w:pPr>
              <w:pStyle w:val="Compact"/>
              <w:jc w:val="right"/>
            </w:pPr>
            <w:r>
              <w:t xml:space="preserve">0.06</w:t>
            </w:r>
          </w:p>
        </w:tc>
      </w:tr>
      <w:tr>
        <w:tc>
          <w:tcPr/>
          <w:p>
            <w:pPr>
              <w:pStyle w:val="Compact"/>
              <w:jc w:val="left"/>
            </w:pPr>
            <w:r>
              <w:t xml:space="preserve">Police Forces of Myanmar</w:t>
            </w:r>
          </w:p>
        </w:tc>
        <w:tc>
          <w:tcPr/>
          <w:p>
            <w:pPr>
              <w:pStyle w:val="Compact"/>
              <w:jc w:val="left"/>
            </w:pPr>
            <w:r>
              <w:t xml:space="preserve">state_forces</w:t>
            </w:r>
          </w:p>
        </w:tc>
        <w:tc>
          <w:tcPr/>
          <w:p>
            <w:pPr>
              <w:pStyle w:val="Compact"/>
              <w:jc w:val="right"/>
            </w:pPr>
            <w:r>
              <w:t xml:space="preserve">359</w:t>
            </w:r>
          </w:p>
        </w:tc>
        <w:tc>
          <w:tcPr/>
          <w:p>
            <w:pPr>
              <w:pStyle w:val="Compact"/>
              <w:jc w:val="right"/>
            </w:pPr>
            <w:r>
              <w:t xml:space="preserve">779</w:t>
            </w:r>
          </w:p>
        </w:tc>
        <w:tc>
          <w:tcPr/>
          <w:p>
            <w:pPr>
              <w:pStyle w:val="Compact"/>
              <w:jc w:val="right"/>
            </w:pPr>
            <w:r>
              <w:t xml:space="preserve">0.46</w:t>
            </w:r>
          </w:p>
        </w:tc>
      </w:tr>
      <w:tr>
        <w:tc>
          <w:tcPr/>
          <w:p>
            <w:pPr>
              <w:pStyle w:val="Compact"/>
              <w:jc w:val="left"/>
            </w:pPr>
            <w:r>
              <w:t xml:space="preserve">MNTJP/MNDAA</w:t>
            </w:r>
          </w:p>
        </w:tc>
        <w:tc>
          <w:tcPr/>
          <w:p>
            <w:pPr>
              <w:pStyle w:val="Compact"/>
              <w:jc w:val="left"/>
            </w:pPr>
            <w:r>
              <w:t xml:space="preserve">rebel_groups</w:t>
            </w:r>
          </w:p>
        </w:tc>
        <w:tc>
          <w:tcPr/>
          <w:p>
            <w:pPr>
              <w:pStyle w:val="Compact"/>
              <w:jc w:val="right"/>
            </w:pPr>
            <w:r>
              <w:t xml:space="preserve">328</w:t>
            </w:r>
          </w:p>
        </w:tc>
        <w:tc>
          <w:tcPr/>
          <w:p>
            <w:pPr>
              <w:pStyle w:val="Compact"/>
              <w:jc w:val="right"/>
            </w:pPr>
            <w:r>
              <w:t xml:space="preserve">157</w:t>
            </w:r>
          </w:p>
        </w:tc>
        <w:tc>
          <w:tcPr/>
          <w:p>
            <w:pPr>
              <w:pStyle w:val="Compact"/>
              <w:jc w:val="right"/>
            </w:pPr>
            <w:r>
              <w:t xml:space="preserve">2.09</w:t>
            </w:r>
          </w:p>
        </w:tc>
      </w:tr>
      <w:tr>
        <w:tc>
          <w:tcPr/>
          <w:p>
            <w:pPr>
              <w:pStyle w:val="Compact"/>
              <w:jc w:val="left"/>
            </w:pPr>
            <w:r>
              <w:t xml:space="preserve">YDF</w:t>
            </w:r>
          </w:p>
        </w:tc>
        <w:tc>
          <w:tcPr/>
          <w:p>
            <w:pPr>
              <w:pStyle w:val="Compact"/>
              <w:jc w:val="left"/>
            </w:pPr>
            <w:r>
              <w:t xml:space="preserve">political_militias</w:t>
            </w:r>
          </w:p>
        </w:tc>
        <w:tc>
          <w:tcPr/>
          <w:p>
            <w:pPr>
              <w:pStyle w:val="Compact"/>
              <w:jc w:val="right"/>
            </w:pPr>
            <w:r>
              <w:t xml:space="preserve">297</w:t>
            </w:r>
          </w:p>
        </w:tc>
        <w:tc>
          <w:tcPr/>
          <w:p>
            <w:pPr>
              <w:pStyle w:val="Compact"/>
              <w:jc w:val="right"/>
            </w:pPr>
            <w:r>
              <w:t xml:space="preserve">31</w:t>
            </w:r>
          </w:p>
        </w:tc>
        <w:tc>
          <w:tcPr/>
          <w:p>
            <w:pPr>
              <w:pStyle w:val="Compact"/>
              <w:jc w:val="right"/>
            </w:pPr>
            <w:r>
              <w:t xml:space="preserve">9.58</w:t>
            </w:r>
          </w:p>
        </w:tc>
      </w:tr>
      <w:tr>
        <w:tc>
          <w:tcPr/>
          <w:p>
            <w:pPr>
              <w:pStyle w:val="Compact"/>
              <w:jc w:val="left"/>
            </w:pPr>
            <w:r>
              <w:t xml:space="preserve">Unidentified Local Defense Forces (Myanmar)</w:t>
            </w:r>
          </w:p>
        </w:tc>
        <w:tc>
          <w:tcPr/>
          <w:p>
            <w:pPr>
              <w:pStyle w:val="Compact"/>
              <w:jc w:val="left"/>
            </w:pPr>
            <w:r>
              <w:t xml:space="preserve">political_militias</w:t>
            </w:r>
          </w:p>
        </w:tc>
        <w:tc>
          <w:tcPr/>
          <w:p>
            <w:pPr>
              <w:pStyle w:val="Compact"/>
              <w:jc w:val="right"/>
            </w:pPr>
            <w:r>
              <w:t xml:space="preserve">276</w:t>
            </w:r>
          </w:p>
        </w:tc>
        <w:tc>
          <w:tcPr/>
          <w:p>
            <w:pPr>
              <w:pStyle w:val="Compact"/>
              <w:jc w:val="right"/>
            </w:pPr>
            <w:r>
              <w:t xml:space="preserve">101</w:t>
            </w:r>
          </w:p>
        </w:tc>
        <w:tc>
          <w:tcPr/>
          <w:p>
            <w:pPr>
              <w:pStyle w:val="Compact"/>
              <w:jc w:val="right"/>
            </w:pPr>
            <w:r>
              <w:t xml:space="preserve">2.73</w:t>
            </w:r>
          </w:p>
        </w:tc>
      </w:tr>
      <w:tr>
        <w:tc>
          <w:tcPr/>
          <w:p>
            <w:pPr>
              <w:pStyle w:val="Compact"/>
              <w:jc w:val="left"/>
            </w:pPr>
            <w:r>
              <w:t xml:space="preserve">Rioters (Myanmar)</w:t>
            </w:r>
          </w:p>
        </w:tc>
        <w:tc>
          <w:tcPr/>
          <w:p>
            <w:pPr>
              <w:pStyle w:val="Compact"/>
              <w:jc w:val="left"/>
            </w:pPr>
            <w:r>
              <w:t xml:space="preserve">rioters</w:t>
            </w:r>
          </w:p>
        </w:tc>
        <w:tc>
          <w:tcPr/>
          <w:p>
            <w:pPr>
              <w:pStyle w:val="Compact"/>
              <w:jc w:val="right"/>
            </w:pPr>
            <w:r>
              <w:t xml:space="preserve">260</w:t>
            </w:r>
          </w:p>
        </w:tc>
        <w:tc>
          <w:tcPr/>
          <w:p>
            <w:pPr>
              <w:pStyle w:val="Compact"/>
              <w:jc w:val="right"/>
            </w:pPr>
            <w:r>
              <w:t xml:space="preserve">116</w:t>
            </w:r>
          </w:p>
        </w:tc>
        <w:tc>
          <w:tcPr/>
          <w:p>
            <w:pPr>
              <w:pStyle w:val="Compact"/>
              <w:jc w:val="right"/>
            </w:pPr>
            <w:r>
              <w:t xml:space="preserve">2.24</w:t>
            </w:r>
          </w:p>
        </w:tc>
      </w:tr>
      <w:tr>
        <w:tc>
          <w:tcPr/>
          <w:p>
            <w:pPr>
              <w:pStyle w:val="Compact"/>
              <w:jc w:val="left"/>
            </w:pPr>
            <w:r>
              <w:t xml:space="preserve">KNDF</w:t>
            </w:r>
          </w:p>
        </w:tc>
        <w:tc>
          <w:tcPr/>
          <w:p>
            <w:pPr>
              <w:pStyle w:val="Compact"/>
              <w:jc w:val="left"/>
            </w:pPr>
            <w:r>
              <w:t xml:space="preserve">political_militias</w:t>
            </w:r>
          </w:p>
        </w:tc>
        <w:tc>
          <w:tcPr/>
          <w:p>
            <w:pPr>
              <w:pStyle w:val="Compact"/>
              <w:jc w:val="right"/>
            </w:pPr>
            <w:r>
              <w:t xml:space="preserve">214</w:t>
            </w:r>
          </w:p>
        </w:tc>
        <w:tc>
          <w:tcPr/>
          <w:p>
            <w:pPr>
              <w:pStyle w:val="Compact"/>
              <w:jc w:val="right"/>
            </w:pPr>
            <w:r>
              <w:t xml:space="preserve">57</w:t>
            </w:r>
          </w:p>
        </w:tc>
        <w:tc>
          <w:tcPr/>
          <w:p>
            <w:pPr>
              <w:pStyle w:val="Compact"/>
              <w:jc w:val="right"/>
            </w:pPr>
            <w:r>
              <w:t xml:space="preserve">3.75</w:t>
            </w:r>
          </w:p>
        </w:tc>
      </w:tr>
      <w:tr>
        <w:tc>
          <w:tcPr/>
          <w:p>
            <w:pPr>
              <w:pStyle w:val="Compact"/>
              <w:jc w:val="left"/>
            </w:pPr>
            <w:r>
              <w:t xml:space="preserve">PPDF</w:t>
            </w:r>
          </w:p>
        </w:tc>
        <w:tc>
          <w:tcPr/>
          <w:p>
            <w:pPr>
              <w:pStyle w:val="Compact"/>
              <w:jc w:val="left"/>
            </w:pPr>
            <w:r>
              <w:t xml:space="preserve">political_militias</w:t>
            </w:r>
          </w:p>
        </w:tc>
        <w:tc>
          <w:tcPr/>
          <w:p>
            <w:pPr>
              <w:pStyle w:val="Compact"/>
              <w:jc w:val="right"/>
            </w:pPr>
            <w:r>
              <w:t xml:space="preserve">203</w:t>
            </w:r>
          </w:p>
        </w:tc>
        <w:tc>
          <w:tcPr/>
          <w:p>
            <w:pPr>
              <w:pStyle w:val="Compact"/>
              <w:jc w:val="right"/>
            </w:pPr>
            <w:r>
              <w:t xml:space="preserve">34</w:t>
            </w:r>
          </w:p>
        </w:tc>
        <w:tc>
          <w:tcPr/>
          <w:p>
            <w:pPr>
              <w:pStyle w:val="Compact"/>
              <w:jc w:val="right"/>
            </w:pPr>
            <w:r>
              <w:t xml:space="preserve">5.97</w:t>
            </w:r>
          </w:p>
        </w:tc>
      </w:tr>
      <w:tr>
        <w:tc>
          <w:tcPr/>
          <w:p>
            <w:pPr>
              <w:pStyle w:val="Compact"/>
              <w:jc w:val="left"/>
            </w:pPr>
            <w:r>
              <w:t xml:space="preserve">KNPP/KA</w:t>
            </w:r>
          </w:p>
        </w:tc>
        <w:tc>
          <w:tcPr/>
          <w:p>
            <w:pPr>
              <w:pStyle w:val="Compact"/>
              <w:jc w:val="left"/>
            </w:pPr>
            <w:r>
              <w:t xml:space="preserve">rebel_groups</w:t>
            </w:r>
          </w:p>
        </w:tc>
        <w:tc>
          <w:tcPr/>
          <w:p>
            <w:pPr>
              <w:pStyle w:val="Compact"/>
              <w:jc w:val="right"/>
            </w:pPr>
            <w:r>
              <w:t xml:space="preserve">197</w:t>
            </w:r>
          </w:p>
        </w:tc>
        <w:tc>
          <w:tcPr/>
          <w:p>
            <w:pPr>
              <w:pStyle w:val="Compact"/>
              <w:jc w:val="right"/>
            </w:pPr>
            <w:r>
              <w:t xml:space="preserve">72</w:t>
            </w:r>
          </w:p>
        </w:tc>
        <w:tc>
          <w:tcPr/>
          <w:p>
            <w:pPr>
              <w:pStyle w:val="Compact"/>
              <w:jc w:val="right"/>
            </w:pPr>
            <w:r>
              <w:t xml:space="preserve">2.74</w:t>
            </w:r>
          </w:p>
        </w:tc>
      </w:tr>
      <w:tr>
        <w:tc>
          <w:tcPr/>
          <w:p>
            <w:pPr>
              <w:pStyle w:val="Compact"/>
              <w:jc w:val="left"/>
            </w:pPr>
            <w:r>
              <w:t xml:space="preserve">PRA</w:t>
            </w:r>
          </w:p>
        </w:tc>
        <w:tc>
          <w:tcPr/>
          <w:p>
            <w:pPr>
              <w:pStyle w:val="Compact"/>
              <w:jc w:val="left"/>
            </w:pPr>
            <w:r>
              <w:t xml:space="preserve">political_militias</w:t>
            </w:r>
          </w:p>
        </w:tc>
        <w:tc>
          <w:tcPr/>
          <w:p>
            <w:pPr>
              <w:pStyle w:val="Compact"/>
              <w:jc w:val="right"/>
            </w:pPr>
            <w:r>
              <w:t xml:space="preserve">168</w:t>
            </w:r>
          </w:p>
        </w:tc>
        <w:tc>
          <w:tcPr/>
          <w:p>
            <w:pPr>
              <w:pStyle w:val="Compact"/>
              <w:jc w:val="right"/>
            </w:pPr>
            <w:r>
              <w:t xml:space="preserve">28</w:t>
            </w:r>
          </w:p>
        </w:tc>
        <w:tc>
          <w:tcPr/>
          <w:p>
            <w:pPr>
              <w:pStyle w:val="Compact"/>
              <w:jc w:val="right"/>
            </w:pPr>
            <w:r>
              <w:t xml:space="preserve">6.00</w:t>
            </w:r>
          </w:p>
        </w:tc>
      </w:tr>
      <w:tr>
        <w:tc>
          <w:tcPr/>
          <w:p>
            <w:pPr>
              <w:pStyle w:val="Compact"/>
              <w:jc w:val="left"/>
            </w:pPr>
            <w:r>
              <w:t xml:space="preserve">Pyu Saw Htee</w:t>
            </w:r>
          </w:p>
        </w:tc>
        <w:tc>
          <w:tcPr/>
          <w:p>
            <w:pPr>
              <w:pStyle w:val="Compact"/>
              <w:jc w:val="left"/>
            </w:pPr>
            <w:r>
              <w:t xml:space="preserve">political_militias</w:t>
            </w:r>
          </w:p>
        </w:tc>
        <w:tc>
          <w:tcPr/>
          <w:p>
            <w:pPr>
              <w:pStyle w:val="Compact"/>
              <w:jc w:val="right"/>
            </w:pPr>
            <w:r>
              <w:t xml:space="preserve">134</w:t>
            </w:r>
          </w:p>
        </w:tc>
        <w:tc>
          <w:tcPr/>
          <w:p>
            <w:pPr>
              <w:pStyle w:val="Compact"/>
              <w:jc w:val="right"/>
            </w:pPr>
            <w:r>
              <w:t xml:space="preserve">142</w:t>
            </w:r>
          </w:p>
        </w:tc>
        <w:tc>
          <w:tcPr/>
          <w:p>
            <w:pPr>
              <w:pStyle w:val="Compact"/>
              <w:jc w:val="right"/>
            </w:pPr>
            <w:r>
              <w:t xml:space="preserve">0.94</w:t>
            </w:r>
          </w:p>
        </w:tc>
      </w:tr>
    </w:tbl>
    <w:p>
      <w:pPr>
        <w:pStyle w:val="BodyText"/>
      </w:pPr>
    </w:p>
    <w:bookmarkEnd w:id="43"/>
    <w:bookmarkStart w:id="44" w:name="summary-table-of-main-conflict-actors"/>
    <w:p>
      <w:pPr>
        <w:pStyle w:val="Heading3"/>
      </w:pPr>
      <w:r>
        <w:t xml:space="preserve">4.4 Summary table of main conflict actors</w:t>
      </w:r>
    </w:p>
    <w:p>
      <w:pPr>
        <w:pStyle w:val="TableCaption"/>
      </w:pPr>
      <w:r>
        <w:t xml:space="preserve">Top 5 conflict actors in 2021 by actor type</w:t>
      </w:r>
    </w:p>
    <w:tbl>
      <w:tblPr>
        <w:tblStyle w:val="Table"/>
        <w:tblW w:type="pct" w:w="5000"/>
        <w:tblLook w:firstRow="1" w:lastRow="0" w:firstColumn="0" w:lastColumn="0" w:noHBand="0" w:noVBand="0" w:val="0020"/>
        <w:tblCaption w:val="Top 5 conflict actors in 2021 by actor type"/>
      </w:tblPr>
      <w:tblGrid>
        <w:gridCol w:w="1232"/>
        <w:gridCol w:w="5632"/>
        <w:gridCol w:w="410"/>
        <w:gridCol w:w="645"/>
      </w:tblGrid>
      <w:tr>
        <w:trPr>
          <w:tblHeader w:val="true"/>
        </w:trPr>
        <w:tc>
          <w:tcPr/>
          <w:p>
            <w:pPr>
              <w:pStyle w:val="Compact"/>
              <w:jc w:val="left"/>
            </w:pPr>
            <w:r>
              <w:t xml:space="preserve">actor_type</w:t>
            </w:r>
          </w:p>
        </w:tc>
        <w:tc>
          <w:tcPr/>
          <w:p>
            <w:pPr>
              <w:pStyle w:val="Compact"/>
              <w:jc w:val="left"/>
            </w:pPr>
            <w:r>
              <w:t xml:space="preserve">actor_name</w:t>
            </w:r>
          </w:p>
        </w:tc>
        <w:tc>
          <w:tcPr/>
          <w:p>
            <w:pPr>
              <w:pStyle w:val="Compact"/>
              <w:jc w:val="right"/>
            </w:pPr>
            <w:r>
              <w:t xml:space="preserve">events</w:t>
            </w:r>
          </w:p>
        </w:tc>
        <w:tc>
          <w:tcPr/>
          <w:p>
            <w:pPr>
              <w:pStyle w:val="Compact"/>
              <w:jc w:val="right"/>
            </w:pPr>
            <w:r>
              <w:t xml:space="preserve">%_of_group</w:t>
            </w:r>
          </w:p>
        </w:tc>
      </w:tr>
      <w:tr>
        <w:tc>
          <w:tcPr/>
          <w:p>
            <w:pPr>
              <w:pStyle w:val="Compact"/>
              <w:jc w:val="left"/>
            </w:pPr>
            <w:r>
              <w:t xml:space="preserve">state_forces</w:t>
            </w:r>
          </w:p>
        </w:tc>
        <w:tc>
          <w:tcPr/>
          <w:p>
            <w:pPr>
              <w:pStyle w:val="Compact"/>
              <w:jc w:val="left"/>
            </w:pPr>
            <w:r>
              <w:t xml:space="preserve">Military Forces of Myanmar</w:t>
            </w:r>
          </w:p>
        </w:tc>
        <w:tc>
          <w:tcPr/>
          <w:p>
            <w:pPr>
              <w:pStyle w:val="Compact"/>
              <w:jc w:val="right"/>
            </w:pPr>
            <w:r>
              <w:t xml:space="preserve">6,993</w:t>
            </w:r>
          </w:p>
        </w:tc>
        <w:tc>
          <w:tcPr/>
          <w:p>
            <w:pPr>
              <w:pStyle w:val="Compact"/>
              <w:jc w:val="right"/>
            </w:pPr>
            <w:r>
              <w:t xml:space="preserve">88.10</w:t>
            </w:r>
          </w:p>
        </w:tc>
      </w:tr>
      <w:tr>
        <w:tc>
          <w:tcPr/>
          <w:p>
            <w:pPr>
              <w:pStyle w:val="Compact"/>
              <w:jc w:val="left"/>
            </w:pPr>
            <w:r>
              <w:t xml:space="preserve">state_forces</w:t>
            </w:r>
          </w:p>
        </w:tc>
        <w:tc>
          <w:tcPr/>
          <w:p>
            <w:pPr>
              <w:pStyle w:val="Compact"/>
              <w:jc w:val="left"/>
            </w:pPr>
            <w:r>
              <w:t xml:space="preserve">Police Forces of Myanmar</w:t>
            </w:r>
          </w:p>
        </w:tc>
        <w:tc>
          <w:tcPr/>
          <w:p>
            <w:pPr>
              <w:pStyle w:val="Compact"/>
              <w:jc w:val="right"/>
            </w:pPr>
            <w:r>
              <w:t xml:space="preserve">779</w:t>
            </w:r>
          </w:p>
        </w:tc>
        <w:tc>
          <w:tcPr/>
          <w:p>
            <w:pPr>
              <w:pStyle w:val="Compact"/>
              <w:jc w:val="right"/>
            </w:pPr>
            <w:r>
              <w:t xml:space="preserve">9.81</w:t>
            </w:r>
          </w:p>
        </w:tc>
      </w:tr>
      <w:tr>
        <w:tc>
          <w:tcPr/>
          <w:p>
            <w:pPr>
              <w:pStyle w:val="Compact"/>
              <w:jc w:val="left"/>
            </w:pPr>
            <w:r>
              <w:t xml:space="preserve">state_forces</w:t>
            </w:r>
          </w:p>
        </w:tc>
        <w:tc>
          <w:tcPr/>
          <w:p>
            <w:pPr>
              <w:pStyle w:val="Compact"/>
              <w:jc w:val="left"/>
            </w:pPr>
            <w:r>
              <w:t xml:space="preserve">Government of Myanmar (2021-)</w:t>
            </w:r>
          </w:p>
        </w:tc>
        <w:tc>
          <w:tcPr/>
          <w:p>
            <w:pPr>
              <w:pStyle w:val="Compact"/>
              <w:jc w:val="right"/>
            </w:pPr>
            <w:r>
              <w:t xml:space="preserve">67</w:t>
            </w:r>
          </w:p>
        </w:tc>
        <w:tc>
          <w:tcPr/>
          <w:p>
            <w:pPr>
              <w:pStyle w:val="Compact"/>
              <w:jc w:val="right"/>
            </w:pPr>
            <w:r>
              <w:t xml:space="preserve">0.84</w:t>
            </w:r>
          </w:p>
        </w:tc>
      </w:tr>
      <w:tr>
        <w:tc>
          <w:tcPr/>
          <w:p>
            <w:pPr>
              <w:pStyle w:val="Compact"/>
              <w:jc w:val="left"/>
            </w:pPr>
            <w:r>
              <w:t xml:space="preserve">state_forces</w:t>
            </w:r>
          </w:p>
        </w:tc>
        <w:tc>
          <w:tcPr/>
          <w:p>
            <w:pPr>
              <w:pStyle w:val="Compact"/>
              <w:jc w:val="left"/>
            </w:pPr>
            <w:r>
              <w:t xml:space="preserve">Military Forces of Myanmar - Border Guard Force</w:t>
            </w:r>
          </w:p>
        </w:tc>
        <w:tc>
          <w:tcPr/>
          <w:p>
            <w:pPr>
              <w:pStyle w:val="Compact"/>
              <w:jc w:val="right"/>
            </w:pPr>
            <w:r>
              <w:t xml:space="preserve">43</w:t>
            </w:r>
          </w:p>
        </w:tc>
        <w:tc>
          <w:tcPr/>
          <w:p>
            <w:pPr>
              <w:pStyle w:val="Compact"/>
              <w:jc w:val="right"/>
            </w:pPr>
            <w:r>
              <w:t xml:space="preserve">0.54</w:t>
            </w:r>
          </w:p>
        </w:tc>
      </w:tr>
      <w:tr>
        <w:tc>
          <w:tcPr/>
          <w:p>
            <w:pPr>
              <w:pStyle w:val="Compact"/>
              <w:jc w:val="left"/>
            </w:pPr>
            <w:r>
              <w:t xml:space="preserve">state_forces</w:t>
            </w:r>
          </w:p>
        </w:tc>
        <w:tc>
          <w:tcPr/>
          <w:p>
            <w:pPr>
              <w:pStyle w:val="Compact"/>
              <w:jc w:val="left"/>
            </w:pPr>
            <w:r>
              <w:t xml:space="preserve">People’s Militia Force</w:t>
            </w:r>
          </w:p>
        </w:tc>
        <w:tc>
          <w:tcPr/>
          <w:p>
            <w:pPr>
              <w:pStyle w:val="Compact"/>
              <w:jc w:val="right"/>
            </w:pPr>
            <w:r>
              <w:t xml:space="preserve">43</w:t>
            </w:r>
          </w:p>
        </w:tc>
        <w:tc>
          <w:tcPr/>
          <w:p>
            <w:pPr>
              <w:pStyle w:val="Compact"/>
              <w:jc w:val="right"/>
            </w:pPr>
            <w:r>
              <w:t xml:space="preserve">0.54</w:t>
            </w:r>
          </w:p>
        </w:tc>
      </w:tr>
      <w:tr>
        <w:tc>
          <w:tcPr/>
          <w:p>
            <w:pPr>
              <w:pStyle w:val="Compact"/>
              <w:jc w:val="left"/>
            </w:pPr>
            <w:r>
              <w:t xml:space="preserve">protesters</w:t>
            </w:r>
          </w:p>
        </w:tc>
        <w:tc>
          <w:tcPr/>
          <w:p>
            <w:pPr>
              <w:pStyle w:val="Compact"/>
              <w:jc w:val="left"/>
            </w:pPr>
            <w:r>
              <w:t xml:space="preserve">Protesters (Myanmar)</w:t>
            </w:r>
          </w:p>
        </w:tc>
        <w:tc>
          <w:tcPr/>
          <w:p>
            <w:pPr>
              <w:pStyle w:val="Compact"/>
              <w:jc w:val="right"/>
            </w:pPr>
            <w:r>
              <w:t xml:space="preserve">6,021</w:t>
            </w:r>
          </w:p>
        </w:tc>
        <w:tc>
          <w:tcPr/>
          <w:p>
            <w:pPr>
              <w:pStyle w:val="Compact"/>
              <w:jc w:val="right"/>
            </w:pPr>
            <w:r>
              <w:t xml:space="preserve">100.00</w:t>
            </w:r>
          </w:p>
        </w:tc>
      </w:tr>
      <w:tr>
        <w:tc>
          <w:tcPr/>
          <w:p>
            <w:pPr>
              <w:pStyle w:val="Compact"/>
              <w:jc w:val="left"/>
            </w:pPr>
            <w:r>
              <w:t xml:space="preserve">civilians</w:t>
            </w:r>
          </w:p>
        </w:tc>
        <w:tc>
          <w:tcPr/>
          <w:p>
            <w:pPr>
              <w:pStyle w:val="Compact"/>
              <w:jc w:val="left"/>
            </w:pPr>
            <w:r>
              <w:t xml:space="preserve">Civilians (Myanmar)</w:t>
            </w:r>
          </w:p>
        </w:tc>
        <w:tc>
          <w:tcPr/>
          <w:p>
            <w:pPr>
              <w:pStyle w:val="Compact"/>
              <w:jc w:val="right"/>
            </w:pPr>
            <w:r>
              <w:t xml:space="preserve">4,844</w:t>
            </w:r>
          </w:p>
        </w:tc>
        <w:tc>
          <w:tcPr/>
          <w:p>
            <w:pPr>
              <w:pStyle w:val="Compact"/>
              <w:jc w:val="right"/>
            </w:pPr>
            <w:r>
              <w:t xml:space="preserve">99.88</w:t>
            </w:r>
          </w:p>
        </w:tc>
      </w:tr>
      <w:tr>
        <w:tc>
          <w:tcPr/>
          <w:p>
            <w:pPr>
              <w:pStyle w:val="Compact"/>
              <w:jc w:val="left"/>
            </w:pPr>
            <w:r>
              <w:t xml:space="preserve">civilians</w:t>
            </w:r>
          </w:p>
        </w:tc>
        <w:tc>
          <w:tcPr/>
          <w:p>
            <w:pPr>
              <w:pStyle w:val="Compact"/>
              <w:jc w:val="left"/>
            </w:pPr>
            <w:r>
              <w:t xml:space="preserve">Civilians (Australia)</w:t>
            </w:r>
          </w:p>
        </w:tc>
        <w:tc>
          <w:tcPr/>
          <w:p>
            <w:pPr>
              <w:pStyle w:val="Compact"/>
              <w:jc w:val="right"/>
            </w:pPr>
            <w:r>
              <w:t xml:space="preserve">2</w:t>
            </w:r>
          </w:p>
        </w:tc>
        <w:tc>
          <w:tcPr/>
          <w:p>
            <w:pPr>
              <w:pStyle w:val="Compact"/>
              <w:jc w:val="right"/>
            </w:pPr>
            <w:r>
              <w:t xml:space="preserve">0.04</w:t>
            </w:r>
          </w:p>
        </w:tc>
      </w:tr>
      <w:tr>
        <w:tc>
          <w:tcPr/>
          <w:p>
            <w:pPr>
              <w:pStyle w:val="Compact"/>
              <w:jc w:val="left"/>
            </w:pPr>
            <w:r>
              <w:t xml:space="preserve">civilians</w:t>
            </w:r>
          </w:p>
        </w:tc>
        <w:tc>
          <w:tcPr/>
          <w:p>
            <w:pPr>
              <w:pStyle w:val="Compact"/>
              <w:jc w:val="left"/>
            </w:pPr>
            <w:r>
              <w:t xml:space="preserve">Civilians (China)</w:t>
            </w:r>
          </w:p>
        </w:tc>
        <w:tc>
          <w:tcPr/>
          <w:p>
            <w:pPr>
              <w:pStyle w:val="Compact"/>
              <w:jc w:val="right"/>
            </w:pPr>
            <w:r>
              <w:t xml:space="preserve">1</w:t>
            </w:r>
          </w:p>
        </w:tc>
        <w:tc>
          <w:tcPr/>
          <w:p>
            <w:pPr>
              <w:pStyle w:val="Compact"/>
              <w:jc w:val="right"/>
            </w:pPr>
            <w:r>
              <w:t xml:space="preserve">0.02</w:t>
            </w:r>
          </w:p>
        </w:tc>
      </w:tr>
      <w:tr>
        <w:tc>
          <w:tcPr/>
          <w:p>
            <w:pPr>
              <w:pStyle w:val="Compact"/>
              <w:jc w:val="left"/>
            </w:pPr>
            <w:r>
              <w:t xml:space="preserve">civilians</w:t>
            </w:r>
          </w:p>
        </w:tc>
        <w:tc>
          <w:tcPr/>
          <w:p>
            <w:pPr>
              <w:pStyle w:val="Compact"/>
              <w:jc w:val="left"/>
            </w:pPr>
            <w:r>
              <w:t xml:space="preserve">Civilians (International)</w:t>
            </w:r>
          </w:p>
        </w:tc>
        <w:tc>
          <w:tcPr/>
          <w:p>
            <w:pPr>
              <w:pStyle w:val="Compact"/>
              <w:jc w:val="right"/>
            </w:pPr>
            <w:r>
              <w:t xml:space="preserve">1</w:t>
            </w:r>
          </w:p>
        </w:tc>
        <w:tc>
          <w:tcPr/>
          <w:p>
            <w:pPr>
              <w:pStyle w:val="Compact"/>
              <w:jc w:val="right"/>
            </w:pPr>
            <w:r>
              <w:t xml:space="preserve">0.02</w:t>
            </w:r>
          </w:p>
        </w:tc>
      </w:tr>
      <w:tr>
        <w:tc>
          <w:tcPr/>
          <w:p>
            <w:pPr>
              <w:pStyle w:val="Compact"/>
              <w:jc w:val="left"/>
            </w:pPr>
            <w:r>
              <w:t xml:space="preserve">civilians</w:t>
            </w:r>
          </w:p>
        </w:tc>
        <w:tc>
          <w:tcPr/>
          <w:p>
            <w:pPr>
              <w:pStyle w:val="Compact"/>
              <w:jc w:val="left"/>
            </w:pPr>
            <w:r>
              <w:t xml:space="preserve">Civilians (Japan)</w:t>
            </w:r>
          </w:p>
        </w:tc>
        <w:tc>
          <w:tcPr/>
          <w:p>
            <w:pPr>
              <w:pStyle w:val="Compact"/>
              <w:jc w:val="right"/>
            </w:pPr>
            <w:r>
              <w:t xml:space="preserve">1</w:t>
            </w:r>
          </w:p>
        </w:tc>
        <w:tc>
          <w:tcPr/>
          <w:p>
            <w:pPr>
              <w:pStyle w:val="Compact"/>
              <w:jc w:val="right"/>
            </w:pPr>
            <w:r>
              <w:t xml:space="preserve">0.02</w:t>
            </w:r>
          </w:p>
        </w:tc>
      </w:tr>
      <w:tr>
        <w:tc>
          <w:tcPr/>
          <w:p>
            <w:pPr>
              <w:pStyle w:val="Compact"/>
              <w:jc w:val="left"/>
            </w:pPr>
            <w:r>
              <w:t xml:space="preserve">civilians</w:t>
            </w:r>
          </w:p>
        </w:tc>
        <w:tc>
          <w:tcPr/>
          <w:p>
            <w:pPr>
              <w:pStyle w:val="Compact"/>
              <w:jc w:val="left"/>
            </w:pPr>
            <w:r>
              <w:t xml:space="preserve">Civilians (United States)</w:t>
            </w:r>
          </w:p>
        </w:tc>
        <w:tc>
          <w:tcPr/>
          <w:p>
            <w:pPr>
              <w:pStyle w:val="Compact"/>
              <w:jc w:val="right"/>
            </w:pPr>
            <w:r>
              <w:t xml:space="preserve">1</w:t>
            </w:r>
          </w:p>
        </w:tc>
        <w:tc>
          <w:tcPr/>
          <w:p>
            <w:pPr>
              <w:pStyle w:val="Compact"/>
              <w:jc w:val="right"/>
            </w:pPr>
            <w:r>
              <w:t xml:space="preserve">0.02</w:t>
            </w:r>
          </w:p>
        </w:tc>
      </w:tr>
      <w:tr>
        <w:tc>
          <w:tcPr/>
          <w:p>
            <w:pPr>
              <w:pStyle w:val="Compact"/>
              <w:jc w:val="left"/>
            </w:pPr>
            <w:r>
              <w:t xml:space="preserve">political_militias</w:t>
            </w:r>
          </w:p>
        </w:tc>
        <w:tc>
          <w:tcPr/>
          <w:p>
            <w:pPr>
              <w:pStyle w:val="Compact"/>
              <w:jc w:val="left"/>
            </w:pPr>
            <w:r>
              <w:t xml:space="preserve">Unidentified Armed Group (Myanmar)</w:t>
            </w:r>
          </w:p>
        </w:tc>
        <w:tc>
          <w:tcPr/>
          <w:p>
            <w:pPr>
              <w:pStyle w:val="Compact"/>
              <w:jc w:val="right"/>
            </w:pPr>
            <w:r>
              <w:t xml:space="preserve">2,299</w:t>
            </w:r>
          </w:p>
        </w:tc>
        <w:tc>
          <w:tcPr/>
          <w:p>
            <w:pPr>
              <w:pStyle w:val="Compact"/>
              <w:jc w:val="right"/>
            </w:pPr>
            <w:r>
              <w:t xml:space="preserve">50.14</w:t>
            </w:r>
          </w:p>
        </w:tc>
      </w:tr>
      <w:tr>
        <w:tc>
          <w:tcPr/>
          <w:p>
            <w:pPr>
              <w:pStyle w:val="Compact"/>
              <w:jc w:val="left"/>
            </w:pPr>
            <w:r>
              <w:t xml:space="preserve">political_militias</w:t>
            </w:r>
          </w:p>
        </w:tc>
        <w:tc>
          <w:tcPr/>
          <w:p>
            <w:pPr>
              <w:pStyle w:val="Compact"/>
              <w:jc w:val="left"/>
            </w:pPr>
            <w:r>
              <w:t xml:space="preserve">People’s Defense Force</w:t>
            </w:r>
          </w:p>
        </w:tc>
        <w:tc>
          <w:tcPr/>
          <w:p>
            <w:pPr>
              <w:pStyle w:val="Compact"/>
              <w:jc w:val="right"/>
            </w:pPr>
            <w:r>
              <w:t xml:space="preserve">1,110</w:t>
            </w:r>
          </w:p>
        </w:tc>
        <w:tc>
          <w:tcPr/>
          <w:p>
            <w:pPr>
              <w:pStyle w:val="Compact"/>
              <w:jc w:val="right"/>
            </w:pPr>
            <w:r>
              <w:t xml:space="preserve">24.21</w:t>
            </w:r>
          </w:p>
        </w:tc>
      </w:tr>
      <w:tr>
        <w:tc>
          <w:tcPr/>
          <w:p>
            <w:pPr>
              <w:pStyle w:val="Compact"/>
              <w:jc w:val="left"/>
            </w:pPr>
            <w:r>
              <w:t xml:space="preserve">political_militias</w:t>
            </w:r>
          </w:p>
        </w:tc>
        <w:tc>
          <w:tcPr/>
          <w:p>
            <w:pPr>
              <w:pStyle w:val="Compact"/>
              <w:jc w:val="left"/>
            </w:pPr>
            <w:r>
              <w:t xml:space="preserve">CDF: Chinland Defense Force</w:t>
            </w:r>
          </w:p>
        </w:tc>
        <w:tc>
          <w:tcPr/>
          <w:p>
            <w:pPr>
              <w:pStyle w:val="Compact"/>
              <w:jc w:val="right"/>
            </w:pPr>
            <w:r>
              <w:t xml:space="preserve">161</w:t>
            </w:r>
          </w:p>
        </w:tc>
        <w:tc>
          <w:tcPr/>
          <w:p>
            <w:pPr>
              <w:pStyle w:val="Compact"/>
              <w:jc w:val="right"/>
            </w:pPr>
            <w:r>
              <w:t xml:space="preserve">3.51</w:t>
            </w:r>
          </w:p>
        </w:tc>
      </w:tr>
      <w:tr>
        <w:tc>
          <w:tcPr/>
          <w:p>
            <w:pPr>
              <w:pStyle w:val="Compact"/>
              <w:jc w:val="left"/>
            </w:pPr>
            <w:r>
              <w:t xml:space="preserve">political_militias</w:t>
            </w:r>
          </w:p>
        </w:tc>
        <w:tc>
          <w:tcPr/>
          <w:p>
            <w:pPr>
              <w:pStyle w:val="Compact"/>
              <w:jc w:val="left"/>
            </w:pPr>
            <w:r>
              <w:t xml:space="preserve">Pyu Saw Htee</w:t>
            </w:r>
          </w:p>
        </w:tc>
        <w:tc>
          <w:tcPr/>
          <w:p>
            <w:pPr>
              <w:pStyle w:val="Compact"/>
              <w:jc w:val="right"/>
            </w:pPr>
            <w:r>
              <w:t xml:space="preserve">142</w:t>
            </w:r>
          </w:p>
        </w:tc>
        <w:tc>
          <w:tcPr/>
          <w:p>
            <w:pPr>
              <w:pStyle w:val="Compact"/>
              <w:jc w:val="right"/>
            </w:pPr>
            <w:r>
              <w:t xml:space="preserve">3.10</w:t>
            </w:r>
          </w:p>
        </w:tc>
      </w:tr>
      <w:tr>
        <w:tc>
          <w:tcPr/>
          <w:p>
            <w:pPr>
              <w:pStyle w:val="Compact"/>
              <w:jc w:val="left"/>
            </w:pPr>
            <w:r>
              <w:t xml:space="preserve">political_militias</w:t>
            </w:r>
          </w:p>
        </w:tc>
        <w:tc>
          <w:tcPr/>
          <w:p>
            <w:pPr>
              <w:pStyle w:val="Compact"/>
              <w:jc w:val="left"/>
            </w:pPr>
            <w:r>
              <w:t xml:space="preserve">Unidentified Local Defense Forces (Myanmar)</w:t>
            </w:r>
          </w:p>
        </w:tc>
        <w:tc>
          <w:tcPr/>
          <w:p>
            <w:pPr>
              <w:pStyle w:val="Compact"/>
              <w:jc w:val="right"/>
            </w:pPr>
            <w:r>
              <w:t xml:space="preserve">101</w:t>
            </w:r>
          </w:p>
        </w:tc>
        <w:tc>
          <w:tcPr/>
          <w:p>
            <w:pPr>
              <w:pStyle w:val="Compact"/>
              <w:jc w:val="right"/>
            </w:pPr>
            <w:r>
              <w:t xml:space="preserve">2.20</w:t>
            </w:r>
          </w:p>
        </w:tc>
      </w:tr>
      <w:tr>
        <w:tc>
          <w:tcPr/>
          <w:p>
            <w:pPr>
              <w:pStyle w:val="Compact"/>
              <w:jc w:val="left"/>
            </w:pPr>
            <w:r>
              <w:t xml:space="preserve">rebel_groups</w:t>
            </w:r>
          </w:p>
        </w:tc>
        <w:tc>
          <w:tcPr/>
          <w:p>
            <w:pPr>
              <w:pStyle w:val="Compact"/>
              <w:jc w:val="left"/>
            </w:pPr>
            <w:r>
              <w:t xml:space="preserve">KIO/KIA: Kachin Independence Organization/Kachin Independence Army</w:t>
            </w:r>
          </w:p>
        </w:tc>
        <w:tc>
          <w:tcPr/>
          <w:p>
            <w:pPr>
              <w:pStyle w:val="Compact"/>
              <w:jc w:val="right"/>
            </w:pPr>
            <w:r>
              <w:t xml:space="preserve">668</w:t>
            </w:r>
          </w:p>
        </w:tc>
        <w:tc>
          <w:tcPr/>
          <w:p>
            <w:pPr>
              <w:pStyle w:val="Compact"/>
              <w:jc w:val="right"/>
            </w:pPr>
            <w:r>
              <w:t xml:space="preserve">42.15</w:t>
            </w:r>
          </w:p>
        </w:tc>
      </w:tr>
      <w:tr>
        <w:tc>
          <w:tcPr/>
          <w:p>
            <w:pPr>
              <w:pStyle w:val="Compact"/>
              <w:jc w:val="left"/>
            </w:pPr>
            <w:r>
              <w:t xml:space="preserve">rebel_groups</w:t>
            </w:r>
          </w:p>
        </w:tc>
        <w:tc>
          <w:tcPr/>
          <w:p>
            <w:pPr>
              <w:pStyle w:val="Compact"/>
              <w:jc w:val="left"/>
            </w:pPr>
            <w:r>
              <w:t xml:space="preserve">KNU/KNLA: Karen National Union/Karen National Liberation Army</w:t>
            </w:r>
          </w:p>
        </w:tc>
        <w:tc>
          <w:tcPr/>
          <w:p>
            <w:pPr>
              <w:pStyle w:val="Compact"/>
              <w:jc w:val="right"/>
            </w:pPr>
            <w:r>
              <w:t xml:space="preserve">251</w:t>
            </w:r>
          </w:p>
        </w:tc>
        <w:tc>
          <w:tcPr/>
          <w:p>
            <w:pPr>
              <w:pStyle w:val="Compact"/>
              <w:jc w:val="right"/>
            </w:pPr>
            <w:r>
              <w:t xml:space="preserve">15.84</w:t>
            </w:r>
          </w:p>
        </w:tc>
      </w:tr>
      <w:tr>
        <w:tc>
          <w:tcPr/>
          <w:p>
            <w:pPr>
              <w:pStyle w:val="Compact"/>
              <w:jc w:val="left"/>
            </w:pPr>
            <w:r>
              <w:t xml:space="preserve">rebel_groups</w:t>
            </w:r>
          </w:p>
        </w:tc>
        <w:tc>
          <w:tcPr/>
          <w:p>
            <w:pPr>
              <w:pStyle w:val="Compact"/>
              <w:jc w:val="left"/>
            </w:pPr>
            <w:r>
              <w:t xml:space="preserve">RCSS/SSA-S: Restoration Council of Shan State/Shan State Army-South</w:t>
            </w:r>
          </w:p>
        </w:tc>
        <w:tc>
          <w:tcPr/>
          <w:p>
            <w:pPr>
              <w:pStyle w:val="Compact"/>
              <w:jc w:val="right"/>
            </w:pPr>
            <w:r>
              <w:t xml:space="preserve">168</w:t>
            </w:r>
          </w:p>
        </w:tc>
        <w:tc>
          <w:tcPr/>
          <w:p>
            <w:pPr>
              <w:pStyle w:val="Compact"/>
              <w:jc w:val="right"/>
            </w:pPr>
            <w:r>
              <w:t xml:space="preserve">10.60</w:t>
            </w:r>
          </w:p>
        </w:tc>
      </w:tr>
      <w:tr>
        <w:tc>
          <w:tcPr/>
          <w:p>
            <w:pPr>
              <w:pStyle w:val="Compact"/>
              <w:jc w:val="left"/>
            </w:pPr>
            <w:r>
              <w:t xml:space="preserve">rebel_groups</w:t>
            </w:r>
          </w:p>
        </w:tc>
        <w:tc>
          <w:tcPr/>
          <w:p>
            <w:pPr>
              <w:pStyle w:val="Compact"/>
              <w:jc w:val="left"/>
            </w:pPr>
            <w:r>
              <w:t xml:space="preserve">MNTJP/MNDAA: Myanmar National Truth and Justice Party/Myanmar National Democratic Alliance Army</w:t>
            </w:r>
          </w:p>
        </w:tc>
        <w:tc>
          <w:tcPr/>
          <w:p>
            <w:pPr>
              <w:pStyle w:val="Compact"/>
              <w:jc w:val="right"/>
            </w:pPr>
            <w:r>
              <w:t xml:space="preserve">157</w:t>
            </w:r>
          </w:p>
        </w:tc>
        <w:tc>
          <w:tcPr/>
          <w:p>
            <w:pPr>
              <w:pStyle w:val="Compact"/>
              <w:jc w:val="right"/>
            </w:pPr>
            <w:r>
              <w:t xml:space="preserve">9.91</w:t>
            </w:r>
          </w:p>
        </w:tc>
      </w:tr>
      <w:tr>
        <w:tc>
          <w:tcPr/>
          <w:p>
            <w:pPr>
              <w:pStyle w:val="Compact"/>
              <w:jc w:val="left"/>
            </w:pPr>
            <w:r>
              <w:t xml:space="preserve">rebel_groups</w:t>
            </w:r>
          </w:p>
        </w:tc>
        <w:tc>
          <w:tcPr/>
          <w:p>
            <w:pPr>
              <w:pStyle w:val="Compact"/>
              <w:jc w:val="left"/>
            </w:pPr>
            <w:r>
              <w:t xml:space="preserve">PSLF/TNLA: Palaung State Liberation Front/Ta’ang National Liberation Army</w:t>
            </w:r>
          </w:p>
        </w:tc>
        <w:tc>
          <w:tcPr/>
          <w:p>
            <w:pPr>
              <w:pStyle w:val="Compact"/>
              <w:jc w:val="right"/>
            </w:pPr>
            <w:r>
              <w:t xml:space="preserve">123</w:t>
            </w:r>
          </w:p>
        </w:tc>
        <w:tc>
          <w:tcPr/>
          <w:p>
            <w:pPr>
              <w:pStyle w:val="Compact"/>
              <w:jc w:val="right"/>
            </w:pPr>
            <w:r>
              <w:t xml:space="preserve">7.76</w:t>
            </w:r>
          </w:p>
        </w:tc>
      </w:tr>
      <w:tr>
        <w:tc>
          <w:tcPr/>
          <w:p>
            <w:pPr>
              <w:pStyle w:val="Compact"/>
              <w:jc w:val="left"/>
            </w:pPr>
            <w:r>
              <w:t xml:space="preserve">rioters</w:t>
            </w:r>
          </w:p>
        </w:tc>
        <w:tc>
          <w:tcPr/>
          <w:p>
            <w:pPr>
              <w:pStyle w:val="Compact"/>
              <w:jc w:val="left"/>
            </w:pPr>
            <w:r>
              <w:t xml:space="preserve">Rioters (Myanmar)</w:t>
            </w:r>
          </w:p>
        </w:tc>
        <w:tc>
          <w:tcPr/>
          <w:p>
            <w:pPr>
              <w:pStyle w:val="Compact"/>
              <w:jc w:val="right"/>
            </w:pPr>
            <w:r>
              <w:t xml:space="preserve">116</w:t>
            </w:r>
          </w:p>
        </w:tc>
        <w:tc>
          <w:tcPr/>
          <w:p>
            <w:pPr>
              <w:pStyle w:val="Compact"/>
              <w:jc w:val="right"/>
            </w:pPr>
            <w:r>
              <w:t xml:space="preserve">100.00</w:t>
            </w:r>
          </w:p>
        </w:tc>
      </w:tr>
      <w:tr>
        <w:tc>
          <w:tcPr/>
          <w:p>
            <w:pPr>
              <w:pStyle w:val="Compact"/>
              <w:jc w:val="left"/>
            </w:pPr>
            <w:r>
              <w:t xml:space="preserve">identity_militias</w:t>
            </w:r>
          </w:p>
        </w:tc>
        <w:tc>
          <w:tcPr/>
          <w:p>
            <w:pPr>
              <w:pStyle w:val="Compact"/>
              <w:jc w:val="left"/>
            </w:pPr>
            <w:r>
              <w:t xml:space="preserve">Unidentified Communal Militia (Myanmar)</w:t>
            </w:r>
          </w:p>
        </w:tc>
        <w:tc>
          <w:tcPr/>
          <w:p>
            <w:pPr>
              <w:pStyle w:val="Compact"/>
              <w:jc w:val="right"/>
            </w:pPr>
            <w:r>
              <w:t xml:space="preserve">3</w:t>
            </w:r>
          </w:p>
        </w:tc>
        <w:tc>
          <w:tcPr/>
          <w:p>
            <w:pPr>
              <w:pStyle w:val="Compact"/>
              <w:jc w:val="right"/>
            </w:pPr>
            <w:r>
              <w:t xml:space="preserve">100.00</w:t>
            </w:r>
          </w:p>
        </w:tc>
      </w:tr>
      <w:tr>
        <w:tc>
          <w:tcPr/>
          <w:p>
            <w:pPr>
              <w:pStyle w:val="Compact"/>
              <w:jc w:val="left"/>
            </w:pPr>
            <w:r>
              <w:t xml:space="preserve">external_other_force</w:t>
            </w:r>
          </w:p>
        </w:tc>
        <w:tc>
          <w:tcPr/>
          <w:p>
            <w:pPr>
              <w:pStyle w:val="Compact"/>
              <w:jc w:val="left"/>
            </w:pPr>
            <w:r>
              <w:t xml:space="preserve">Private Security Forces (Myanmar)</w:t>
            </w:r>
          </w:p>
        </w:tc>
        <w:tc>
          <w:tcPr/>
          <w:p>
            <w:pPr>
              <w:pStyle w:val="Compact"/>
              <w:jc w:val="right"/>
            </w:pPr>
            <w:r>
              <w:t xml:space="preserve">4</w:t>
            </w:r>
          </w:p>
        </w:tc>
        <w:tc>
          <w:tcPr/>
          <w:p>
            <w:pPr>
              <w:pStyle w:val="Compact"/>
              <w:jc w:val="right"/>
            </w:pPr>
            <w:r>
              <w:t xml:space="preserve">80.00</w:t>
            </w:r>
          </w:p>
        </w:tc>
      </w:tr>
      <w:tr>
        <w:tc>
          <w:tcPr/>
          <w:p>
            <w:pPr>
              <w:pStyle w:val="Compact"/>
              <w:jc w:val="left"/>
            </w:pPr>
            <w:r>
              <w:t xml:space="preserve">external_other_force</w:t>
            </w:r>
          </w:p>
        </w:tc>
        <w:tc>
          <w:tcPr/>
          <w:p>
            <w:pPr>
              <w:pStyle w:val="Compact"/>
              <w:jc w:val="left"/>
            </w:pPr>
            <w:r>
              <w:t xml:space="preserve">ASEAN: Association of Southeast Asian Nations</w:t>
            </w:r>
          </w:p>
        </w:tc>
        <w:tc>
          <w:tcPr/>
          <w:p>
            <w:pPr>
              <w:pStyle w:val="Compact"/>
              <w:jc w:val="right"/>
            </w:pPr>
            <w:r>
              <w:t xml:space="preserve">1</w:t>
            </w:r>
          </w:p>
        </w:tc>
        <w:tc>
          <w:tcPr/>
          <w:p>
            <w:pPr>
              <w:pStyle w:val="Compact"/>
              <w:jc w:val="right"/>
            </w:pPr>
            <w:r>
              <w:t xml:space="preserve">20.00</w:t>
            </w:r>
          </w:p>
        </w:tc>
      </w:tr>
    </w:tbl>
    <w:p>
      <w:pPr>
        <w:pStyle w:val="BodyText"/>
      </w:pPr>
    </w:p>
    <w:bookmarkEnd w:id="44"/>
    <w:bookmarkStart w:id="46" w:name="X7a2d2095338cffd398e2bc659b61ec65a3a56ab"/>
    <w:p>
      <w:pPr>
        <w:pStyle w:val="Heading3"/>
      </w:pPr>
      <w:r>
        <w:t xml:space="preserve">4.5 Geographic distribution of conflict actors</w:t>
      </w:r>
    </w:p>
    <w:p>
      <w:pPr>
        <w:pStyle w:val="FirstParagraph"/>
      </w:pPr>
      <w:r>
        <w:drawing>
          <wp:inline>
            <wp:extent cx="5334000" cy="5926666"/>
            <wp:effectExtent b="0" l="0" r="0" t="0"/>
            <wp:docPr descr="" title="" id="1" name="Picture"/>
            <a:graphic>
              <a:graphicData uri="http://schemas.openxmlformats.org/drawingml/2006/picture">
                <pic:pic>
                  <pic:nvPicPr>
                    <pic:cNvPr descr="acled_word_files/figure-docx/map-conflict-actors-township-1.png" id="0" name="Picture"/>
                    <pic:cNvPicPr>
                      <a:picLocks noChangeArrowheads="1" noChangeAspect="1"/>
                    </pic:cNvPicPr>
                  </pic:nvPicPr>
                  <pic:blipFill>
                    <a:blip r:embed="rId45"/>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p>
    <w:bookmarkEnd w:id="46"/>
    <w:bookmarkEnd w:id="47"/>
    <w:bookmarkStart w:id="55" w:name="X0d4c53dff166df43fc15bb5febdf849b36b79bc"/>
    <w:p>
      <w:pPr>
        <w:pStyle w:val="Heading2"/>
      </w:pPr>
      <w:r>
        <w:t xml:space="preserve">5. Correlations between conflict and food security cluster footprint</w:t>
      </w:r>
    </w:p>
    <w:bookmarkStart w:id="49" w:name="correlation-plot"/>
    <w:p>
      <w:pPr>
        <w:pStyle w:val="Heading3"/>
      </w:pPr>
      <w:r>
        <w:t xml:space="preserve">5.1 Correlation plot</w:t>
      </w:r>
    </w:p>
    <w:p>
      <w:pPr>
        <w:pStyle w:val="FirstParagraph"/>
      </w:pPr>
      <w:r>
        <w:t xml:space="preserve">The correlation plot below examines the specific relationships between the individual variables in the dataset – the histograms down the diagonal show the distributions of townships across the various values; the correlations between variables (all between 0 and 1) are shown in the upper triangle, with the asterisks denoting how significant the correlations are; and the lower triangle shows the specific distribution of observations, with each point representing each township. Beneficiaries have been placed on a logarithmic scale so that the variation is more visible.</w:t>
      </w:r>
    </w:p>
    <w:p>
      <w:pPr>
        <w:pStyle w:val="BodyText"/>
      </w:pPr>
      <w:r>
        <w:t xml:space="preserve">For instance, violence against civilians is highly correlated with strategic developments (with a coefficient of 0.79) – this means that in the townships where strategic developments occurred (the most common strategic developments were arrests and looting/property damage), violence against civilians also likely occurred.</w:t>
      </w:r>
    </w:p>
    <w:p>
      <w:pPr>
        <w:pStyle w:val="BodyText"/>
      </w:pPr>
    </w:p>
    <w:p>
      <w:pPr>
        <w:pStyle w:val="BodyText"/>
      </w:pPr>
      <w:r>
        <w:drawing>
          <wp:inline>
            <wp:extent cx="5334000" cy="4445000"/>
            <wp:effectExtent b="0" l="0" r="0" t="0"/>
            <wp:docPr descr="" title="" id="1" name="Picture"/>
            <a:graphic>
              <a:graphicData uri="http://schemas.openxmlformats.org/drawingml/2006/picture">
                <pic:pic>
                  <pic:nvPicPr>
                    <pic:cNvPr descr="acled_word_files/figure-docx/corrplot-1.png" id="0" name="Picture"/>
                    <pic:cNvPicPr>
                      <a:picLocks noChangeArrowheads="1" noChangeAspect="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p>
    <w:p>
      <w:pPr>
        <w:pStyle w:val="BodyText"/>
      </w:pPr>
      <w:r>
        <w:t xml:space="preserve">The numbers of partners and beneficiaries per township were, unsurprisingly, correlated with each other. However, the number of partners per townships was only slightly correlated with the number of battles and the number of explosions and remote violence – this pattern likely only holds for certain states. The number of beneficiaries reached is not correlated with any conflict indicators.</w:t>
      </w:r>
    </w:p>
    <w:p>
      <w:pPr>
        <w:pStyle w:val="BodyText"/>
      </w:pPr>
      <w:r>
        <w:t xml:space="preserve">The various conflict indicators – as expected – are highly correlated with each other, with the strongest relationship being between violence against civilians and strategic developments. For reference, the specific sub-events under strategic developments are listed below:</w:t>
      </w:r>
    </w:p>
    <w:p>
      <w:pPr>
        <w:pStyle w:val="TableCaption"/>
      </w:pPr>
      <w:r>
        <w:t xml:space="preserve">Sub-event types under strategic developments, 2021</w:t>
      </w:r>
    </w:p>
    <w:tbl>
      <w:tblPr>
        <w:tblStyle w:val="Table"/>
        <w:tblW w:type="auto" w:w="0"/>
        <w:tblLook w:firstRow="1" w:lastRow="0" w:firstColumn="0" w:lastColumn="0" w:noHBand="0" w:noVBand="0" w:val="0020"/>
        <w:tblCaption w:val="Sub-event types under strategic developments, 2021"/>
      </w:tblPr>
      <w:tblGrid>
        <w:gridCol w:w="2640"/>
        <w:gridCol w:w="2640"/>
        <w:gridCol w:w="2640"/>
      </w:tblGrid>
      <w:tr>
        <w:trPr>
          <w:tblHeader w:val="true"/>
        </w:trPr>
        <w:tc>
          <w:tcPr/>
          <w:p>
            <w:pPr>
              <w:pStyle w:val="Compact"/>
              <w:jc w:val="left"/>
            </w:pPr>
            <w:r>
              <w:t xml:space="preserve">sub_event_type</w:t>
            </w:r>
          </w:p>
        </w:tc>
        <w:tc>
          <w:tcPr/>
          <w:p>
            <w:pPr>
              <w:pStyle w:val="Compact"/>
              <w:jc w:val="right"/>
            </w:pPr>
            <w:r>
              <w:t xml:space="preserve">count</w:t>
            </w:r>
          </w:p>
        </w:tc>
        <w:tc>
          <w:tcPr/>
          <w:p>
            <w:pPr>
              <w:pStyle w:val="Compact"/>
              <w:jc w:val="right"/>
            </w:pPr>
            <w:r>
              <w:t xml:space="preserve">percentage</w:t>
            </w:r>
          </w:p>
        </w:tc>
      </w:tr>
      <w:tr>
        <w:tc>
          <w:tcPr/>
          <w:p>
            <w:pPr>
              <w:pStyle w:val="Compact"/>
              <w:jc w:val="left"/>
            </w:pPr>
            <w:r>
              <w:t xml:space="preserve">Arrests</w:t>
            </w:r>
          </w:p>
        </w:tc>
        <w:tc>
          <w:tcPr/>
          <w:p>
            <w:pPr>
              <w:pStyle w:val="Compact"/>
              <w:jc w:val="right"/>
            </w:pPr>
            <w:r>
              <w:t xml:space="preserve">1,601</w:t>
            </w:r>
          </w:p>
        </w:tc>
        <w:tc>
          <w:tcPr/>
          <w:p>
            <w:pPr>
              <w:pStyle w:val="Compact"/>
              <w:jc w:val="right"/>
            </w:pPr>
            <w:r>
              <w:t xml:space="preserve">49.08</w:t>
            </w:r>
          </w:p>
        </w:tc>
      </w:tr>
      <w:tr>
        <w:tc>
          <w:tcPr/>
          <w:p>
            <w:pPr>
              <w:pStyle w:val="Compact"/>
              <w:jc w:val="left"/>
            </w:pPr>
            <w:r>
              <w:t xml:space="preserve">Looting/property destruction</w:t>
            </w:r>
          </w:p>
        </w:tc>
        <w:tc>
          <w:tcPr/>
          <w:p>
            <w:pPr>
              <w:pStyle w:val="Compact"/>
              <w:jc w:val="right"/>
            </w:pPr>
            <w:r>
              <w:t xml:space="preserve">685</w:t>
            </w:r>
          </w:p>
        </w:tc>
        <w:tc>
          <w:tcPr/>
          <w:p>
            <w:pPr>
              <w:pStyle w:val="Compact"/>
              <w:jc w:val="right"/>
            </w:pPr>
            <w:r>
              <w:t xml:space="preserve">21.00</w:t>
            </w:r>
          </w:p>
        </w:tc>
      </w:tr>
      <w:tr>
        <w:tc>
          <w:tcPr/>
          <w:p>
            <w:pPr>
              <w:pStyle w:val="Compact"/>
              <w:jc w:val="left"/>
            </w:pPr>
            <w:r>
              <w:t xml:space="preserve">Change to group/activity</w:t>
            </w:r>
          </w:p>
        </w:tc>
        <w:tc>
          <w:tcPr/>
          <w:p>
            <w:pPr>
              <w:pStyle w:val="Compact"/>
              <w:jc w:val="right"/>
            </w:pPr>
            <w:r>
              <w:t xml:space="preserve">481</w:t>
            </w:r>
          </w:p>
        </w:tc>
        <w:tc>
          <w:tcPr/>
          <w:p>
            <w:pPr>
              <w:pStyle w:val="Compact"/>
              <w:jc w:val="right"/>
            </w:pPr>
            <w:r>
              <w:t xml:space="preserve">14.75</w:t>
            </w:r>
          </w:p>
        </w:tc>
      </w:tr>
      <w:tr>
        <w:tc>
          <w:tcPr/>
          <w:p>
            <w:pPr>
              <w:pStyle w:val="Compact"/>
              <w:jc w:val="left"/>
            </w:pPr>
            <w:r>
              <w:t xml:space="preserve">Other</w:t>
            </w:r>
          </w:p>
        </w:tc>
        <w:tc>
          <w:tcPr/>
          <w:p>
            <w:pPr>
              <w:pStyle w:val="Compact"/>
              <w:jc w:val="right"/>
            </w:pPr>
            <w:r>
              <w:t xml:space="preserve">339</w:t>
            </w:r>
          </w:p>
        </w:tc>
        <w:tc>
          <w:tcPr/>
          <w:p>
            <w:pPr>
              <w:pStyle w:val="Compact"/>
              <w:jc w:val="right"/>
            </w:pPr>
            <w:r>
              <w:t xml:space="preserve">10.39</w:t>
            </w:r>
          </w:p>
        </w:tc>
      </w:tr>
      <w:tr>
        <w:tc>
          <w:tcPr/>
          <w:p>
            <w:pPr>
              <w:pStyle w:val="Compact"/>
              <w:jc w:val="left"/>
            </w:pPr>
            <w:r>
              <w:t xml:space="preserve">Disrupted weapons use</w:t>
            </w:r>
          </w:p>
        </w:tc>
        <w:tc>
          <w:tcPr/>
          <w:p>
            <w:pPr>
              <w:pStyle w:val="Compact"/>
              <w:jc w:val="right"/>
            </w:pPr>
            <w:r>
              <w:t xml:space="preserve">85</w:t>
            </w:r>
          </w:p>
        </w:tc>
        <w:tc>
          <w:tcPr/>
          <w:p>
            <w:pPr>
              <w:pStyle w:val="Compact"/>
              <w:jc w:val="right"/>
            </w:pPr>
            <w:r>
              <w:t xml:space="preserve">2.61</w:t>
            </w:r>
          </w:p>
        </w:tc>
      </w:tr>
      <w:tr>
        <w:tc>
          <w:tcPr/>
          <w:p>
            <w:pPr>
              <w:pStyle w:val="Compact"/>
              <w:jc w:val="left"/>
            </w:pPr>
            <w:r>
              <w:t xml:space="preserve">Headquarters or base established</w:t>
            </w:r>
          </w:p>
        </w:tc>
        <w:tc>
          <w:tcPr/>
          <w:p>
            <w:pPr>
              <w:pStyle w:val="Compact"/>
              <w:jc w:val="right"/>
            </w:pPr>
            <w:r>
              <w:t xml:space="preserve">66</w:t>
            </w:r>
          </w:p>
        </w:tc>
        <w:tc>
          <w:tcPr/>
          <w:p>
            <w:pPr>
              <w:pStyle w:val="Compact"/>
              <w:jc w:val="right"/>
            </w:pPr>
            <w:r>
              <w:t xml:space="preserve">2.02</w:t>
            </w:r>
          </w:p>
        </w:tc>
      </w:tr>
      <w:tr>
        <w:tc>
          <w:tcPr/>
          <w:p>
            <w:pPr>
              <w:pStyle w:val="Compact"/>
              <w:jc w:val="left"/>
            </w:pPr>
            <w:r>
              <w:t xml:space="preserve">Agreement</w:t>
            </w:r>
          </w:p>
        </w:tc>
        <w:tc>
          <w:tcPr/>
          <w:p>
            <w:pPr>
              <w:pStyle w:val="Compact"/>
              <w:jc w:val="right"/>
            </w:pPr>
            <w:r>
              <w:t xml:space="preserve">4</w:t>
            </w:r>
          </w:p>
        </w:tc>
        <w:tc>
          <w:tcPr/>
          <w:p>
            <w:pPr>
              <w:pStyle w:val="Compact"/>
              <w:jc w:val="right"/>
            </w:pPr>
            <w:r>
              <w:t xml:space="preserve">0.12</w:t>
            </w:r>
          </w:p>
        </w:tc>
      </w:tr>
      <w:tr>
        <w:tc>
          <w:tcPr/>
          <w:p>
            <w:pPr>
              <w:pStyle w:val="Compact"/>
              <w:jc w:val="left"/>
            </w:pPr>
            <w:r>
              <w:t xml:space="preserve">Non-violent transfer of territory</w:t>
            </w:r>
          </w:p>
        </w:tc>
        <w:tc>
          <w:tcPr/>
          <w:p>
            <w:pPr>
              <w:pStyle w:val="Compact"/>
              <w:jc w:val="right"/>
            </w:pPr>
            <w:r>
              <w:t xml:space="preserve">1</w:t>
            </w:r>
          </w:p>
        </w:tc>
        <w:tc>
          <w:tcPr/>
          <w:p>
            <w:pPr>
              <w:pStyle w:val="Compact"/>
              <w:jc w:val="right"/>
            </w:pPr>
            <w:r>
              <w:t xml:space="preserve">0.03</w:t>
            </w:r>
          </w:p>
        </w:tc>
      </w:tr>
    </w:tbl>
    <w:p>
      <w:pPr>
        <w:pStyle w:val="BodyText"/>
      </w:pPr>
    </w:p>
    <w:bookmarkEnd w:id="49"/>
    <w:bookmarkStart w:id="51" w:name="revisiting-the-mimu-harp-conflict-index"/>
    <w:p>
      <w:pPr>
        <w:pStyle w:val="Heading3"/>
      </w:pPr>
      <w:r>
        <w:t xml:space="preserve">5.2 Revisiting the MIMU-HARP conflict index</w:t>
      </w:r>
    </w:p>
    <w:p>
      <w:pPr>
        <w:pStyle w:val="FirstParagraph"/>
      </w:pPr>
      <w:r>
        <w:t xml:space="preserve">A conflict score was then calculated using ACLED data: its construction was similar to the conflict index in the MIMU-HARP Vulnerability Analysis, with the notable omission of data on displacement – this has been requested and the score will be updated once that data has been made available.</w:t>
      </w:r>
    </w:p>
    <w:p>
      <w:pPr>
        <w:pStyle w:val="BodyText"/>
      </w:pPr>
      <w:r>
        <w:t xml:space="preserve">The conflict score – at its most basic level – is an average of the normalised values of battles, explosions and remote violence, violence against civilians, strategic developments, non-peaceful protests and riots and the conflict-related fatalities. However, these normalised values have be re-weighted with the Betti-Verma method, which penalises redundancy and rewards variation; this is the other notable divergence from MIMU-HARP’s methodology. The Betti-Verma method was employed through the</w:t>
      </w:r>
      <w:r>
        <w:t xml:space="preserve"> </w:t>
      </w:r>
      <w:r>
        <w:rPr>
          <w:rStyle w:val="VerbatimChar"/>
        </w:rPr>
        <w:t xml:space="preserve">mdepriv</w:t>
      </w:r>
      <w:r>
        <w:t xml:space="preserve"> </w:t>
      </w:r>
      <w:r>
        <w:t xml:space="preserve">R package developed by Atillio Benini and Aldo Benini.</w:t>
      </w:r>
    </w:p>
    <w:p>
      <w:pPr>
        <w:pStyle w:val="BodyText"/>
      </w:pPr>
      <w:r>
        <w:t xml:space="preserve">Below is a plot of townships comparing the conflict score with the number of beneficiaries.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score-i-ben-plot-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 </w:t>
      </w:r>
      <w:r>
        <w:t xml:space="preserve">As expected, from reviewing the correlation plot above and from the flat blue line, the incidence of conflict (represented by the conflict score, where higher values indicate higher incidence of conflict) has no discernible relationship – positive or negative – with the number of FSC beneficiaries. The blue line just shows a simple linear model, the summary of which is printed below:</w:t>
      </w:r>
    </w:p>
    <w:p>
      <w:pPr>
        <w:pStyle w:val="BodyText"/>
      </w:pPr>
    </w:p>
    <w:tbl>
      <w:tblPr>
        <w:tblStyle w:val="Table"/>
        <w:tblW w:type="pct" w:w="5000"/>
        <w:tblLook w:firstRow="1" w:lastRow="0" w:firstColumn="0" w:lastColumn="0" w:noHBand="0" w:noVBand="0" w:val="0020"/>
      </w:tblPr>
      <w:tblGrid>
        <w:gridCol w:w="2005"/>
        <w:gridCol w:w="1604"/>
        <w:gridCol w:w="1503"/>
        <w:gridCol w:w="1002"/>
        <w:gridCol w:w="1804"/>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0.102</w:t>
            </w:r>
          </w:p>
        </w:tc>
        <w:tc>
          <w:tcPr/>
          <w:p>
            <w:pPr>
              <w:pStyle w:val="Compact"/>
              <w:jc w:val="center"/>
            </w:pPr>
            <w:r>
              <w:t xml:space="preserve">0.01493</w:t>
            </w:r>
          </w:p>
        </w:tc>
        <w:tc>
          <w:tcPr/>
          <w:p>
            <w:pPr>
              <w:pStyle w:val="Compact"/>
              <w:jc w:val="center"/>
            </w:pPr>
            <w:r>
              <w:t xml:space="preserve">6.831</w:t>
            </w:r>
          </w:p>
        </w:tc>
        <w:tc>
          <w:tcPr/>
          <w:p>
            <w:pPr>
              <w:pStyle w:val="Compact"/>
              <w:jc w:val="center"/>
            </w:pPr>
            <w:r>
              <w:t xml:space="preserve">0.0000000002926</w:t>
            </w:r>
          </w:p>
        </w:tc>
      </w:tr>
      <w:tr>
        <w:tc>
          <w:tcPr/>
          <w:p>
            <w:pPr>
              <w:pStyle w:val="Compact"/>
              <w:jc w:val="center"/>
            </w:pPr>
            <w:r>
              <w:rPr>
                <w:bCs/>
                <w:b/>
              </w:rPr>
              <w:t xml:space="preserve">beneficiaries</w:t>
            </w:r>
          </w:p>
        </w:tc>
        <w:tc>
          <w:tcPr/>
          <w:p>
            <w:pPr>
              <w:pStyle w:val="Compact"/>
              <w:jc w:val="center"/>
            </w:pPr>
            <w:r>
              <w:t xml:space="preserve">0.00000005841</w:t>
            </w:r>
          </w:p>
        </w:tc>
        <w:tc>
          <w:tcPr/>
          <w:p>
            <w:pPr>
              <w:pStyle w:val="Compact"/>
              <w:jc w:val="center"/>
            </w:pPr>
            <w:r>
              <w:t xml:space="preserve">0.0000001266</w:t>
            </w:r>
          </w:p>
        </w:tc>
        <w:tc>
          <w:tcPr/>
          <w:p>
            <w:pPr>
              <w:pStyle w:val="Compact"/>
              <w:jc w:val="center"/>
            </w:pPr>
            <w:r>
              <w:t xml:space="preserve">0.4612</w:t>
            </w:r>
          </w:p>
        </w:tc>
        <w:tc>
          <w:tcPr/>
          <w:p>
            <w:pPr>
              <w:pStyle w:val="Compact"/>
              <w:jc w:val="center"/>
            </w:pPr>
            <w:r>
              <w:t xml:space="preserve">0.6454</w:t>
            </w:r>
          </w:p>
        </w:tc>
      </w:tr>
      <w:tr>
        <w:tc>
          <w:tcPr/>
          <w:p>
            <w:pPr>
              <w:pStyle w:val="Compact"/>
              <w:jc w:val="center"/>
            </w:pPr>
            <w:r>
              <w:rPr>
                <w:bCs/>
                <w:b/>
              </w:rPr>
              <w:t xml:space="preserve">partners</w:t>
            </w:r>
          </w:p>
        </w:tc>
        <w:tc>
          <w:tcPr/>
          <w:p>
            <w:pPr>
              <w:pStyle w:val="Compact"/>
              <w:jc w:val="center"/>
            </w:pPr>
            <w:r>
              <w:t xml:space="preserve">-0.001092</w:t>
            </w:r>
          </w:p>
        </w:tc>
        <w:tc>
          <w:tcPr/>
          <w:p>
            <w:pPr>
              <w:pStyle w:val="Compact"/>
              <w:jc w:val="center"/>
            </w:pPr>
            <w:r>
              <w:t xml:space="preserve">0.00547</w:t>
            </w:r>
          </w:p>
        </w:tc>
        <w:tc>
          <w:tcPr/>
          <w:p>
            <w:pPr>
              <w:pStyle w:val="Compact"/>
              <w:jc w:val="center"/>
            </w:pPr>
            <w:r>
              <w:t xml:space="preserve">-0.1997</w:t>
            </w:r>
          </w:p>
        </w:tc>
        <w:tc>
          <w:tcPr/>
          <w:p>
            <w:pPr>
              <w:pStyle w:val="Compact"/>
              <w:jc w:val="center"/>
            </w:pPr>
            <w:r>
              <w:t xml:space="preserve">0.8421</w:t>
            </w:r>
          </w:p>
        </w:tc>
      </w:tr>
    </w:tbl>
    <w:p/>
    <w:p>
      <w:pPr>
        <w:pStyle w:val="TableCaption"/>
      </w:pPr>
      <w:r>
        <w:t xml:space="preserve">Summary of linear model</w:t>
      </w:r>
    </w:p>
    <w:tbl>
      <w:tblPr>
        <w:tblStyle w:val="Table"/>
        <w:tblW w:type="pct" w:w="4514"/>
        <w:tblLook w:firstRow="1" w:lastRow="0" w:firstColumn="0" w:lastColumn="0" w:noHBand="0" w:noVBand="0" w:val="0020"/>
        <w:tblCaption w:val="Summary of linear model"/>
      </w:tblPr>
      <w:tblGrid>
        <w:gridCol w:w="1650"/>
        <w:gridCol w:w="2420"/>
        <w:gridCol w:w="121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133</w:t>
            </w:r>
          </w:p>
        </w:tc>
        <w:tc>
          <w:tcPr/>
          <w:p>
            <w:pPr>
              <w:pStyle w:val="Compact"/>
              <w:jc w:val="center"/>
            </w:pPr>
            <w:r>
              <w:t xml:space="preserve">0.112</w:t>
            </w:r>
          </w:p>
        </w:tc>
        <w:tc>
          <w:tcPr/>
          <w:p>
            <w:pPr>
              <w:pStyle w:val="Compact"/>
              <w:jc w:val="center"/>
            </w:pPr>
            <w:r>
              <w:t xml:space="preserve">0.001634</w:t>
            </w:r>
          </w:p>
        </w:tc>
        <w:tc>
          <w:tcPr/>
          <w:p>
            <w:pPr>
              <w:pStyle w:val="Compact"/>
              <w:jc w:val="center"/>
            </w:pPr>
            <w:r>
              <w:t xml:space="preserve">-0.01373</w:t>
            </w:r>
          </w:p>
        </w:tc>
      </w:tr>
    </w:tbl>
    <w:p>
      <w:pPr>
        <w:pStyle w:val="BodyText"/>
      </w:pPr>
    </w:p>
    <w:bookmarkEnd w:id="51"/>
    <w:bookmarkStart w:id="54" w:name="X4a83c22e669e1ef1d6c8d7b5e9fe2c339d5cb82"/>
    <w:p>
      <w:pPr>
        <w:pStyle w:val="Heading3"/>
      </w:pPr>
      <w:r>
        <w:t xml:space="preserve">5.3 Township-level distributions of conflict events and fatalities</w:t>
      </w:r>
    </w:p>
    <w:p>
      <w:pPr>
        <w:pStyle w:val="FirstParagraph"/>
      </w:pPr>
      <w:r>
        <w:t xml:space="preserve">These two histograms shows the distribution of conflict events and fatalities per township. Additional analysis will be performed at a later date. However, townships with more than 100 conflict events should be considered priorities for humanitarian action. More detailed information can be obtained from the reference table in chapter 8.</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histogram-conflict-events-1.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Similar to the plot above on conflict events, there are some very clear outliers in terms of fatalities. It would also be important to establish thresholds (with the conflict score or any of its constituent components) and target heavily-affected areas for humanitarian intervention – at least, all townships with more than 100 conflict fatalities should be prioritised.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histogram-fatalities-1.png" id="0"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4"/>
    <w:bookmarkEnd w:id="55"/>
    <w:bookmarkStart w:id="58" w:name="sources-of-the-acled-data"/>
    <w:p>
      <w:pPr>
        <w:pStyle w:val="Heading2"/>
      </w:pPr>
      <w:r>
        <w:t xml:space="preserve">6. Sources of the ACLED data</w:t>
      </w:r>
    </w:p>
    <w:p>
      <w:pPr>
        <w:pStyle w:val="FirstParagraph"/>
      </w:pPr>
      <w:r>
        <w:t xml:space="preserve">A total of 67 news sources were used in the ACLED dataset. About a third of the conflict events in 2021 included in the ACLED dataset were originally reported in the</w:t>
      </w:r>
      <w:r>
        <w:t xml:space="preserve"> </w:t>
      </w:r>
      <w:hyperlink r:id="rId56">
        <w:r>
          <w:rPr>
            <w:rStyle w:val="Hyperlink"/>
          </w:rPr>
          <w:t xml:space="preserve">Democratic Voice of Burma</w:t>
        </w:r>
      </w:hyperlink>
      <w:r>
        <w:t xml:space="preserve">. To assess the completeness and reliability of the ACLED dataset, a more thorough analysis of the news sources it makes use of should be conducted. Additionally, comparisons should be made between ACLED’s methodology and that of the Nexus Response Mechanism. The most common news sources are listed in the plot below, in order of the share of 2021 conflict events attributed to them.</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acled_word_files/figure-docx/sources-barplot-1.png" id="0" name="Picture"/>
                    <pic:cNvPicPr>
                      <a:picLocks noChangeArrowheads="1" noChangeAspect="1"/>
                    </pic:cNvPicPr>
                  </pic:nvPicPr>
                  <pic:blipFill>
                    <a:blip r:embed="rId5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8"/>
    <w:bookmarkStart w:id="59" w:name="next-steps"/>
    <w:p>
      <w:pPr>
        <w:pStyle w:val="Heading2"/>
      </w:pPr>
      <w:r>
        <w:t xml:space="preserve">7. Next steps</w:t>
      </w:r>
    </w:p>
    <w:p>
      <w:pPr>
        <w:numPr>
          <w:ilvl w:val="0"/>
          <w:numId w:val="1002"/>
        </w:numPr>
      </w:pPr>
      <w:r>
        <w:t xml:space="preserve">Re-calculate the conflict score once IDP data is obtained and compare these results to previous results recorded by MIMU-HARP in their vulnerability analysis. To note, displacement is likely to be highly correlated with the other conflict indicators (this was the case with the MIMU-HARP conflict index). Nevertheless, it was a key component of the MIMU-HARP model and its inclusion will aid in improving comparability.</w:t>
      </w:r>
    </w:p>
    <w:p>
      <w:pPr>
        <w:numPr>
          <w:ilvl w:val="0"/>
          <w:numId w:val="1002"/>
        </w:numPr>
      </w:pPr>
      <w:r>
        <w:t xml:space="preserve">Compare the conflict score and specific conflict indicators to results of the WFP-FAO food insecurity survey. It is important to understand if there are any significant correlations between the two. Filter the conflict data to only include time periods relevant to WFP-FAO’s study. Additionally, conflict scores should be cross-referenced with market prices to see if a predictive model can be established. Additionally, begin the comparison of conflict data and data on malnutrition. There will likely be many challenges in obtaining accurate mortality rates of any kind.</w:t>
      </w:r>
    </w:p>
    <w:p>
      <w:pPr>
        <w:numPr>
          <w:ilvl w:val="0"/>
          <w:numId w:val="1002"/>
        </w:numPr>
      </w:pPr>
      <w:r>
        <w:t xml:space="preserve">Compare conflict indicators to market prices to identify if battles and other violent incidents have had impacts on food prices and their stability; explore if a predictive model can be developed.</w:t>
      </w:r>
    </w:p>
    <w:p>
      <w:pPr>
        <w:numPr>
          <w:ilvl w:val="0"/>
          <w:numId w:val="1002"/>
        </w:numPr>
      </w:pPr>
      <w:r>
        <w:t xml:space="preserve">Begin text mining the column</w:t>
      </w:r>
      <w:r>
        <w:t xml:space="preserve"> </w:t>
      </w:r>
      <w:r>
        <w:rPr>
          <w:rStyle w:val="VerbatimChar"/>
        </w:rPr>
        <w:t xml:space="preserve">notes</w:t>
      </w:r>
      <w:r>
        <w:t xml:space="preserve"> </w:t>
      </w:r>
      <w:r>
        <w:t xml:space="preserve">in the ACLED dataset.</w:t>
      </w:r>
    </w:p>
    <w:p>
      <w:pPr>
        <w:numPr>
          <w:ilvl w:val="0"/>
          <w:numId w:val="1002"/>
        </w:numPr>
      </w:pPr>
      <w:r>
        <w:t xml:space="preserve">Review findings with other humanitarian stakeholders; develop area-specific products, if necessary. It is important to review the conflict score with other stakeholders to assess appetite for its adoption. Most of the data used for its generation is easily accessible and regularly updated, though it remains to be seen to what extent this is true for the data on displacement.</w:t>
      </w:r>
    </w:p>
    <w:p>
      <w:pPr>
        <w:numPr>
          <w:ilvl w:val="0"/>
          <w:numId w:val="1002"/>
        </w:numPr>
      </w:pPr>
      <w:r>
        <w:t xml:space="preserve">Compare ACLED data against MIMU’s hard-to-reach areas dataset.</w:t>
      </w:r>
    </w:p>
    <w:p>
      <w:pPr>
        <w:numPr>
          <w:ilvl w:val="0"/>
          <w:numId w:val="1002"/>
        </w:numPr>
      </w:pPr>
      <w:r>
        <w:t xml:space="preserve">Cross-reference conflict data with partner presence and achievements of other clusters.</w:t>
      </w:r>
    </w:p>
    <w:p>
      <w:pPr>
        <w:pStyle w:val="FirstParagraph"/>
      </w:pPr>
    </w:p>
    <w:bookmarkEnd w:id="59"/>
    <w:bookmarkStart w:id="64" w:name="reference-maps-and-tables"/>
    <w:p>
      <w:pPr>
        <w:pStyle w:val="Heading2"/>
      </w:pPr>
      <w:r>
        <w:t xml:space="preserve">8. Reference maps and tables</w:t>
      </w:r>
    </w:p>
    <w:bookmarkStart w:id="60" w:name="Xbeecd72ebba265851fe28e50614a68d88574bc9"/>
    <w:p>
      <w:pPr>
        <w:pStyle w:val="Heading3"/>
      </w:pPr>
      <w:r>
        <w:t xml:space="preserve">8.1 Reference table of 2021 conflict events aggregated at township level</w:t>
      </w:r>
    </w:p>
    <w:p>
      <w:pPr>
        <w:pStyle w:val="FirstParagraph"/>
      </w:pPr>
    </w:p>
    <w:bookmarkEnd w:id="60"/>
    <w:bookmarkStart w:id="61" w:name="X917fc433ed781d7075af532a3a829e643337499"/>
    <w:p>
      <w:pPr>
        <w:pStyle w:val="Heading3"/>
      </w:pPr>
      <w:r>
        <w:t xml:space="preserve">8.2 Reference table by conflict actors in 2021</w:t>
      </w:r>
    </w:p>
    <w:p>
      <w:pPr>
        <w:pStyle w:val="FirstParagraph"/>
      </w:pPr>
    </w:p>
    <w:bookmarkEnd w:id="61"/>
    <w:bookmarkStart w:id="63" w:name="reference-maps"/>
    <w:p>
      <w:pPr>
        <w:pStyle w:val="Heading3"/>
      </w:pPr>
      <w:r>
        <w:t xml:space="preserve">8.3 Reference maps</w:t>
      </w:r>
    </w:p>
    <w:p>
      <w:pPr>
        <w:pStyle w:val="FirstParagraph"/>
      </w:pPr>
      <w:r>
        <w:drawing>
          <wp:inline>
            <wp:extent cx="5334000" cy="9482666"/>
            <wp:effectExtent b="0" l="0" r="0" t="0"/>
            <wp:docPr descr="" title="" id="1" name="Picture"/>
            <a:graphic>
              <a:graphicData uri="http://schemas.openxmlformats.org/drawingml/2006/picture">
                <pic:pic>
                  <pic:nvPicPr>
                    <pic:cNvPr descr="acled_word_files/figure-docx/patchwork-maps-1.png" id="0" name="Picture"/>
                    <pic:cNvPicPr>
                      <a:picLocks noChangeArrowheads="1" noChangeAspect="1"/>
                    </pic:cNvPicPr>
                  </pic:nvPicPr>
                  <pic:blipFill>
                    <a:blip r:embed="rId62"/>
                    <a:stretch>
                      <a:fillRect/>
                    </a:stretch>
                  </pic:blipFill>
                  <pic:spPr bwMode="auto">
                    <a:xfrm>
                      <a:off x="0" y="0"/>
                      <a:ext cx="5334000" cy="9482666"/>
                    </a:xfrm>
                    <a:prstGeom prst="rect">
                      <a:avLst/>
                    </a:prstGeom>
                    <a:noFill/>
                    <a:ln w="9525">
                      <a:noFill/>
                      <a:headEnd/>
                      <a:tailEnd/>
                    </a:ln>
                  </pic:spPr>
                </pic:pic>
              </a:graphicData>
            </a:graphic>
          </wp:inline>
        </w:drawing>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gif"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62" Target="media/rId62.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s://acleddata.com" TargetMode="External" /><Relationship Type="http://schemas.openxmlformats.org/officeDocument/2006/relationships/hyperlink" Id="rId22" Target="https://acleddata.com/acleddatanew/wp-content/uploads/2021/11/ACLED_Political-Violence-in-Myanmar_February-2020.pdf" TargetMode="External" /><Relationship Type="http://schemas.openxmlformats.org/officeDocument/2006/relationships/hyperlink" Id="rId56" Target="https://english.dvb.no/" TargetMode="External" /><Relationship Type="http://schemas.openxmlformats.org/officeDocument/2006/relationships/hyperlink" Id="rId23" Target="https://github.com/a-benini/mdepriv/" TargetMode="External" /><Relationship Type="http://schemas.openxmlformats.org/officeDocument/2006/relationships/hyperlink" Id="rId20" Target="https://www.acleddata.com/wp-content/uploads/dlm_uploads/2017/10/ACLED_Codebook_2019FINAL_pbl.pdf" TargetMode="External" /></Relationships>
</file>

<file path=word/_rels/footnotes.xml.rels><?xml version="1.0" encoding="UTF-8"?><Relationships xmlns="http://schemas.openxmlformats.org/package/2006/relationships"><Relationship Type="http://schemas.openxmlformats.org/officeDocument/2006/relationships/hyperlink" Id="rId21" Target="https://acleddata.com" TargetMode="External" /><Relationship Type="http://schemas.openxmlformats.org/officeDocument/2006/relationships/hyperlink" Id="rId22" Target="https://acleddata.com/acleddatanew/wp-content/uploads/2021/11/ACLED_Political-Violence-in-Myanmar_February-2020.pdf" TargetMode="External" /><Relationship Type="http://schemas.openxmlformats.org/officeDocument/2006/relationships/hyperlink" Id="rId56" Target="https://english.dvb.no/" TargetMode="External" /><Relationship Type="http://schemas.openxmlformats.org/officeDocument/2006/relationships/hyperlink" Id="rId23" Target="https://github.com/a-benini/mdepriv/" TargetMode="External" /><Relationship Type="http://schemas.openxmlformats.org/officeDocument/2006/relationships/hyperlink" Id="rId20" Target="https://www.acleddata.com/wp-content/uploads/dlm_uploads/2017/10/ACLED_Codebook_2019FINAL_pb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conflict data and food security cluster presence and achievements</dc:title>
  <dc:creator>Myanmar Food Security Cluster</dc:creator>
  <cp:keywords/>
  <dcterms:created xsi:type="dcterms:W3CDTF">2022-03-01T02:35:16Z</dcterms:created>
  <dcterms:modified xsi:type="dcterms:W3CDTF">2022-03-01T02:35:16Z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11/02/2022</vt:lpwstr>
  </property>
  <property fmtid="{D5CDD505-2E9C-101B-9397-08002B2CF9AE}" pid="4" name="output">
    <vt:lpwstr>word_document</vt:lpwstr>
  </property>
</Properties>
</file>