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1.png" ContentType="image/png"/>
  <Override PartName="/word/media/rId41.png" ContentType="image/png"/>
  <Override PartName="/word/media/rId24.png" ContentType="image/png"/>
  <Override PartName="/word/media/rId61.png" ContentType="image/png"/>
  <Override PartName="/word/media/rId48.png" ContentType="image/png"/>
  <Override PartName="/word/media/rId45.png" ContentType="image/png"/>
  <Override PartName="/word/media/rId29.png" ContentType="image/png"/>
  <Override PartName="/word/media/rId32.png" ContentType="image/png"/>
  <Override PartName="/word/media/rId103.png" ContentType="image/png"/>
  <Override PartName="/word/media/rId57.png" ContentType="image/png"/>
  <Override PartName="/word/media/rId93.png" ContentType="image/png"/>
  <Override PartName="/word/media/rId68.png" ContentType="image/png"/>
  <Override PartName="/word/media/rId89.png" ContentType="image/png"/>
  <Override PartName="/word/media/rId64.png" ContentType="image/png"/>
  <Override PartName="/word/media/rId99.png" ContentType="image/png"/>
  <Override PartName="/word/media/rId37.png" ContentType="image/png"/>
  <Override PartName="/word/media/rId76.png" ContentType="image/png"/>
  <Override PartName="/word/media/rId81.png" ContentType="image/png"/>
  <Override PartName="/word/media/rId84.png" ContentType="image/png"/>
  <Override PartName="/word/media/rId107.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Snapshot</w:t>
      </w:r>
      <w:r>
        <w:t xml:space="preserve"> </w:t>
      </w:r>
      <w:r>
        <w:t xml:space="preserve">report</w:t>
      </w:r>
      <w:r>
        <w:t xml:space="preserve"> </w:t>
      </w:r>
      <w:r>
        <w:t xml:space="preserve">on</w:t>
      </w:r>
      <w:r>
        <w:t xml:space="preserve"> </w:t>
      </w:r>
      <w:r>
        <w:t xml:space="preserve">the</w:t>
      </w:r>
      <w:r>
        <w:t xml:space="preserve"> </w:t>
      </w:r>
      <w:r>
        <w:t xml:space="preserve">5Ws</w:t>
      </w:r>
    </w:p>
    <w:p>
      <w:pPr>
        <w:pStyle w:val="Subtitle"/>
      </w:pPr>
      <w:r>
        <w:t xml:space="preserve">First</w:t>
      </w:r>
      <w:r>
        <w:t xml:space="preserve"> </w:t>
      </w:r>
      <w:r>
        <w:t xml:space="preserve">quarter</w:t>
      </w:r>
      <w:r>
        <w:t xml:space="preserve"> </w:t>
      </w:r>
      <w:r>
        <w:t xml:space="preserve">2022</w:t>
      </w:r>
    </w:p>
    <w:p>
      <w:pPr>
        <w:pStyle w:val="Author"/>
      </w:pPr>
      <w:r>
        <w:t xml:space="preserve">Myanmar</w:t>
      </w:r>
      <w:r>
        <w:t xml:space="preserve"> </w:t>
      </w:r>
      <w:r>
        <w:t xml:space="preserve">Food</w:t>
      </w:r>
      <w:r>
        <w:t xml:space="preserve"> </w:t>
      </w:r>
      <w:r>
        <w:t xml:space="preserve">Security</w:t>
      </w:r>
      <w:r>
        <w:t xml:space="preserve"> </w:t>
      </w:r>
      <w:r>
        <w:t xml:space="preserve">Cluster</w:t>
      </w:r>
    </w:p>
    <w:p>
      <w:pPr>
        <w:pStyle w:val="Date"/>
      </w:pPr>
      <w:r>
        <w:t xml:space="preserve">2022-05-06</w:t>
      </w:r>
    </w:p>
    <w:bookmarkStart w:id="23" w:name="summary-of-achievements"/>
    <w:p>
      <w:pPr>
        <w:pStyle w:val="Heading2"/>
      </w:pPr>
      <w:r>
        <w:t xml:space="preserve">Summary of achievements</w:t>
      </w:r>
    </w:p>
    <w:p>
      <w:pPr>
        <w:pStyle w:val="FirstParagraph"/>
      </w:pPr>
      <w:r>
        <w:t xml:space="preserve">Beneficiaries of humanitarian action formed 98.78% of the 2,230,628 beneficiaries in the first quarter of 2022. The remainder were reached through development interventions.</w:t>
      </w:r>
    </w:p>
    <w:p>
      <w:pPr>
        <w:pStyle w:val="BodyText"/>
      </w:pPr>
      <w:r>
        <w:t xml:space="preserve">To recall, the Food Security Cluster’s strategic objectives for 2022 are:</w:t>
      </w:r>
    </w:p>
    <w:p>
      <w:pPr>
        <w:numPr>
          <w:ilvl w:val="0"/>
          <w:numId w:val="1001"/>
        </w:numPr>
        <w:pStyle w:val="Compact"/>
      </w:pPr>
      <w:r>
        <w:t xml:space="preserve">SO1: IDPs have equitable access to sufficient, safe and nutritious food (either in-kind or through food assistance)</w:t>
      </w:r>
    </w:p>
    <w:p>
      <w:pPr>
        <w:numPr>
          <w:ilvl w:val="0"/>
          <w:numId w:val="1001"/>
        </w:numPr>
        <w:pStyle w:val="Compact"/>
      </w:pPr>
      <w:r>
        <w:t xml:space="preserve">SO2: Vulnerable persons (excl. IDPs) have equitable access to sufficient, safe and nutritious food (either in-kind or through food assistance)</w:t>
      </w:r>
    </w:p>
    <w:p>
      <w:pPr>
        <w:numPr>
          <w:ilvl w:val="0"/>
          <w:numId w:val="1001"/>
        </w:numPr>
        <w:pStyle w:val="Compact"/>
      </w:pPr>
      <w:r>
        <w:t xml:space="preserve">SO3: Restore, protect and improve livelihoods and resilience</w:t>
      </w:r>
    </w:p>
    <w:p>
      <w:pPr>
        <w:pStyle w:val="TableCaption"/>
      </w:pPr>
      <w:r>
        <w:t xml:space="preserve">2022/Q1 beneficiaries by strategic objective</w:t>
      </w:r>
    </w:p>
    <w:tbl>
      <w:tblPr>
        <w:tblStyle w:val="Table"/>
        <w:tblW w:type="pct" w:w="3819"/>
        <w:tblLook w:firstRow="1" w:lastRow="0" w:firstColumn="0" w:lastColumn="0" w:noHBand="0" w:noVBand="0" w:val="0020"/>
        <w:tblCaption w:val="2022/Q1 beneficiaries by strategic objective"/>
      </w:tblPr>
      <w:tblGrid>
        <w:gridCol w:w="1320"/>
        <w:gridCol w:w="1650"/>
        <w:gridCol w:w="1540"/>
        <w:gridCol w:w="1540"/>
      </w:tblGrid>
      <w:tr>
        <w:trPr>
          <w:tblHeader w:val="true"/>
        </w:trPr>
        <w:tc>
          <w:tcPr/>
          <w:p>
            <w:pPr>
              <w:pStyle w:val="Compact"/>
              <w:jc w:val="center"/>
            </w:pPr>
            <w:r>
              <w:t xml:space="preserve">strat_obj</w:t>
            </w:r>
          </w:p>
        </w:tc>
        <w:tc>
          <w:tcPr/>
          <w:p>
            <w:pPr>
              <w:pStyle w:val="Compact"/>
              <w:jc w:val="center"/>
            </w:pPr>
            <w:r>
              <w:t xml:space="preserve">Humanitarian</w:t>
            </w:r>
          </w:p>
        </w:tc>
        <w:tc>
          <w:tcPr/>
          <w:p>
            <w:pPr>
              <w:pStyle w:val="Compact"/>
              <w:jc w:val="center"/>
            </w:pPr>
            <w:r>
              <w:t xml:space="preserve">Development</w:t>
            </w:r>
          </w:p>
        </w:tc>
        <w:tc>
          <w:tcPr/>
          <w:p>
            <w:pPr>
              <w:pStyle w:val="Compact"/>
              <w:jc w:val="center"/>
            </w:pPr>
            <w:r>
              <w:t xml:space="preserve">Total</w:t>
            </w:r>
          </w:p>
        </w:tc>
      </w:tr>
      <w:tr>
        <w:tc>
          <w:tcPr/>
          <w:p>
            <w:pPr>
              <w:pStyle w:val="Compact"/>
              <w:jc w:val="center"/>
            </w:pPr>
            <w:r>
              <w:t xml:space="preserve">SO_1</w:t>
            </w:r>
          </w:p>
        </w:tc>
        <w:tc>
          <w:tcPr/>
          <w:p>
            <w:pPr>
              <w:pStyle w:val="Compact"/>
              <w:jc w:val="center"/>
            </w:pPr>
            <w:r>
              <w:t xml:space="preserve">324,919</w:t>
            </w:r>
          </w:p>
        </w:tc>
        <w:tc>
          <w:tcPr/>
          <w:p>
            <w:pPr>
              <w:pStyle w:val="Compact"/>
              <w:jc w:val="center"/>
            </w:pPr>
            <w:r>
              <w:t xml:space="preserve">0</w:t>
            </w:r>
          </w:p>
        </w:tc>
        <w:tc>
          <w:tcPr/>
          <w:p>
            <w:pPr>
              <w:pStyle w:val="Compact"/>
              <w:jc w:val="center"/>
            </w:pPr>
            <w:r>
              <w:t xml:space="preserve">324,919</w:t>
            </w:r>
          </w:p>
        </w:tc>
      </w:tr>
      <w:tr>
        <w:tc>
          <w:tcPr/>
          <w:p>
            <w:pPr>
              <w:pStyle w:val="Compact"/>
              <w:jc w:val="center"/>
            </w:pPr>
            <w:r>
              <w:t xml:space="preserve">SO_2</w:t>
            </w:r>
          </w:p>
        </w:tc>
        <w:tc>
          <w:tcPr/>
          <w:p>
            <w:pPr>
              <w:pStyle w:val="Compact"/>
              <w:jc w:val="center"/>
            </w:pPr>
            <w:r>
              <w:t xml:space="preserve">1,839,902</w:t>
            </w:r>
          </w:p>
        </w:tc>
        <w:tc>
          <w:tcPr/>
          <w:p>
            <w:pPr>
              <w:pStyle w:val="Compact"/>
              <w:jc w:val="center"/>
            </w:pPr>
            <w:r>
              <w:t xml:space="preserve">0</w:t>
            </w:r>
          </w:p>
        </w:tc>
        <w:tc>
          <w:tcPr/>
          <w:p>
            <w:pPr>
              <w:pStyle w:val="Compact"/>
              <w:jc w:val="center"/>
            </w:pPr>
            <w:r>
              <w:t xml:space="preserve">1,839,902</w:t>
            </w:r>
          </w:p>
        </w:tc>
      </w:tr>
      <w:tr>
        <w:tc>
          <w:tcPr/>
          <w:p>
            <w:pPr>
              <w:pStyle w:val="Compact"/>
              <w:jc w:val="center"/>
            </w:pPr>
            <w:r>
              <w:t xml:space="preserve">SO_3</w:t>
            </w:r>
          </w:p>
        </w:tc>
        <w:tc>
          <w:tcPr/>
          <w:p>
            <w:pPr>
              <w:pStyle w:val="Compact"/>
              <w:jc w:val="center"/>
            </w:pPr>
            <w:r>
              <w:t xml:space="preserve">38,589</w:t>
            </w:r>
          </w:p>
        </w:tc>
        <w:tc>
          <w:tcPr/>
          <w:p>
            <w:pPr>
              <w:pStyle w:val="Compact"/>
              <w:jc w:val="center"/>
            </w:pPr>
            <w:r>
              <w:t xml:space="preserve">27,218</w:t>
            </w:r>
          </w:p>
        </w:tc>
        <w:tc>
          <w:tcPr/>
          <w:p>
            <w:pPr>
              <w:pStyle w:val="Compact"/>
              <w:jc w:val="center"/>
            </w:pPr>
            <w:r>
              <w:t xml:space="preserve">65,807</w:t>
            </w:r>
          </w:p>
        </w:tc>
      </w:tr>
      <w:tr>
        <w:tc>
          <w:tcPr/>
          <w:p>
            <w:pPr>
              <w:pStyle w:val="Compact"/>
              <w:jc w:val="center"/>
            </w:pPr>
            <w:r>
              <w:t xml:space="preserve">Total</w:t>
            </w:r>
          </w:p>
        </w:tc>
        <w:tc>
          <w:tcPr/>
          <w:p>
            <w:pPr>
              <w:pStyle w:val="Compact"/>
              <w:jc w:val="center"/>
            </w:pPr>
            <w:r>
              <w:t xml:space="preserve">2,203,410</w:t>
            </w:r>
          </w:p>
        </w:tc>
        <w:tc>
          <w:tcPr/>
          <w:p>
            <w:pPr>
              <w:pStyle w:val="Compact"/>
              <w:jc w:val="center"/>
            </w:pPr>
            <w:r>
              <w:t xml:space="preserve">27,218</w:t>
            </w:r>
          </w:p>
        </w:tc>
        <w:tc>
          <w:tcPr/>
          <w:p>
            <w:pPr>
              <w:pStyle w:val="Compact"/>
              <w:jc w:val="center"/>
            </w:pPr>
            <w:r>
              <w:t xml:space="preserve">2,230,628</w:t>
            </w:r>
          </w:p>
        </w:tc>
      </w:tr>
    </w:tbl>
    <w:p>
      <w:pPr>
        <w:pStyle w:val="BodyText"/>
      </w:pPr>
    </w:p>
    <w:p>
      <w:pPr>
        <w:pStyle w:val="BodyText"/>
      </w:pPr>
      <w:r>
        <w:t xml:space="preserve">In terms of activities, the number of beneficiaries reached is heavily skewed towards food distributions. More than 95% of beneficiaries in 2022/Q1 have been reached by this activity.</w:t>
      </w:r>
    </w:p>
    <w:p>
      <w:pPr>
        <w:pStyle w:val="TableCaption"/>
      </w:pPr>
      <w:r>
        <w:t xml:space="preserve">Breakdown of beneficiaries by activity in 2022/Q1</w:t>
      </w:r>
    </w:p>
    <w:tbl>
      <w:tblPr>
        <w:tblStyle w:val="Table"/>
        <w:tblW w:type="pct" w:w="5000"/>
        <w:tblLook w:firstRow="1" w:lastRow="0" w:firstColumn="0" w:lastColumn="0" w:noHBand="0" w:noVBand="0" w:val="0020"/>
        <w:tblCaption w:val="Breakdown of beneficiaries by activity in 2022/Q1"/>
      </w:tblPr>
      <w:tblGrid>
        <w:gridCol w:w="2946"/>
        <w:gridCol w:w="1013"/>
        <w:gridCol w:w="1105"/>
        <w:gridCol w:w="1013"/>
        <w:gridCol w:w="1105"/>
        <w:gridCol w:w="736"/>
      </w:tblGrid>
      <w:tr>
        <w:trPr>
          <w:tblHeader w:val="true"/>
        </w:trPr>
        <w:tc>
          <w:tcPr/>
          <w:p>
            <w:pPr>
              <w:pStyle w:val="Compact"/>
              <w:jc w:val="center"/>
            </w:pPr>
            <w:r>
              <w:t xml:space="preserve">activity</w:t>
            </w:r>
          </w:p>
        </w:tc>
        <w:tc>
          <w:tcPr/>
          <w:p>
            <w:pPr>
              <w:pStyle w:val="Compact"/>
              <w:jc w:val="center"/>
            </w:pPr>
            <w:r>
              <w:t xml:space="preserve">ben_SO_1</w:t>
            </w:r>
          </w:p>
        </w:tc>
        <w:tc>
          <w:tcPr/>
          <w:p>
            <w:pPr>
              <w:pStyle w:val="Compact"/>
              <w:jc w:val="center"/>
            </w:pPr>
            <w:r>
              <w:t xml:space="preserve">ben_SO_2</w:t>
            </w:r>
          </w:p>
        </w:tc>
        <w:tc>
          <w:tcPr/>
          <w:p>
            <w:pPr>
              <w:pStyle w:val="Compact"/>
              <w:jc w:val="center"/>
            </w:pPr>
            <w:r>
              <w:t xml:space="preserve">ben_SO_3</w:t>
            </w:r>
          </w:p>
        </w:tc>
        <w:tc>
          <w:tcPr/>
          <w:p>
            <w:pPr>
              <w:pStyle w:val="Compact"/>
              <w:jc w:val="center"/>
            </w:pPr>
            <w:r>
              <w:t xml:space="preserve">Total</w:t>
            </w:r>
          </w:p>
        </w:tc>
        <w:tc>
          <w:tcPr/>
          <w:p>
            <w:pPr>
              <w:pStyle w:val="Compact"/>
              <w:jc w:val="center"/>
            </w:pPr>
            <w:r>
              <w:t xml:space="preserve">%_ben</w:t>
            </w:r>
          </w:p>
        </w:tc>
      </w:tr>
      <w:tr>
        <w:tc>
          <w:tcPr/>
          <w:p>
            <w:pPr>
              <w:pStyle w:val="Compact"/>
              <w:jc w:val="center"/>
            </w:pPr>
            <w:r>
              <w:t xml:space="preserve">food distribution</w:t>
            </w:r>
          </w:p>
        </w:tc>
        <w:tc>
          <w:tcPr/>
          <w:p>
            <w:pPr>
              <w:pStyle w:val="Compact"/>
              <w:jc w:val="center"/>
            </w:pPr>
            <w:r>
              <w:t xml:space="preserve">290,150</w:t>
            </w:r>
          </w:p>
        </w:tc>
        <w:tc>
          <w:tcPr/>
          <w:p>
            <w:pPr>
              <w:pStyle w:val="Compact"/>
              <w:jc w:val="center"/>
            </w:pPr>
            <w:r>
              <w:t xml:space="preserve">1,839,534</w:t>
            </w:r>
          </w:p>
        </w:tc>
        <w:tc>
          <w:tcPr/>
          <w:p>
            <w:pPr>
              <w:pStyle w:val="Compact"/>
              <w:jc w:val="center"/>
            </w:pPr>
            <w:r>
              <w:t xml:space="preserve">0</w:t>
            </w:r>
          </w:p>
        </w:tc>
        <w:tc>
          <w:tcPr/>
          <w:p>
            <w:pPr>
              <w:pStyle w:val="Compact"/>
              <w:jc w:val="center"/>
            </w:pPr>
            <w:r>
              <w:t xml:space="preserve">2,129,684</w:t>
            </w:r>
          </w:p>
        </w:tc>
        <w:tc>
          <w:tcPr/>
          <w:p>
            <w:pPr>
              <w:pStyle w:val="Compact"/>
              <w:jc w:val="center"/>
            </w:pPr>
            <w:r>
              <w:t xml:space="preserve">95.47</w:t>
            </w:r>
          </w:p>
        </w:tc>
      </w:tr>
      <w:tr>
        <w:tc>
          <w:tcPr/>
          <w:p>
            <w:pPr>
              <w:pStyle w:val="Compact"/>
              <w:jc w:val="center"/>
            </w:pPr>
            <w:r>
              <w:t xml:space="preserve">crop, vegetable and seed kits</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52,878</w:t>
            </w:r>
          </w:p>
        </w:tc>
        <w:tc>
          <w:tcPr/>
          <w:p>
            <w:pPr>
              <w:pStyle w:val="Compact"/>
              <w:jc w:val="center"/>
            </w:pPr>
            <w:r>
              <w:t xml:space="preserve">52,878</w:t>
            </w:r>
          </w:p>
        </w:tc>
        <w:tc>
          <w:tcPr/>
          <w:p>
            <w:pPr>
              <w:pStyle w:val="Compact"/>
              <w:jc w:val="center"/>
            </w:pPr>
            <w:r>
              <w:t xml:space="preserve">2.37</w:t>
            </w:r>
          </w:p>
        </w:tc>
      </w:tr>
      <w:tr>
        <w:tc>
          <w:tcPr/>
          <w:p>
            <w:pPr>
              <w:pStyle w:val="Compact"/>
              <w:jc w:val="center"/>
            </w:pPr>
            <w:r>
              <w:t xml:space="preserve">multi-purpose cash transfer</w:t>
            </w:r>
          </w:p>
        </w:tc>
        <w:tc>
          <w:tcPr/>
          <w:p>
            <w:pPr>
              <w:pStyle w:val="Compact"/>
              <w:jc w:val="center"/>
            </w:pPr>
            <w:r>
              <w:t xml:space="preserve">34,769</w:t>
            </w:r>
          </w:p>
        </w:tc>
        <w:tc>
          <w:tcPr/>
          <w:p>
            <w:pPr>
              <w:pStyle w:val="Compact"/>
              <w:jc w:val="center"/>
            </w:pPr>
            <w:r>
              <w:t xml:space="preserve">368</w:t>
            </w:r>
          </w:p>
        </w:tc>
        <w:tc>
          <w:tcPr/>
          <w:p>
            <w:pPr>
              <w:pStyle w:val="Compact"/>
              <w:jc w:val="center"/>
            </w:pPr>
            <w:r>
              <w:t xml:space="preserve">0</w:t>
            </w:r>
          </w:p>
        </w:tc>
        <w:tc>
          <w:tcPr/>
          <w:p>
            <w:pPr>
              <w:pStyle w:val="Compact"/>
              <w:jc w:val="center"/>
            </w:pPr>
            <w:r>
              <w:t xml:space="preserve">35,137</w:t>
            </w:r>
          </w:p>
        </w:tc>
        <w:tc>
          <w:tcPr/>
          <w:p>
            <w:pPr>
              <w:pStyle w:val="Compact"/>
              <w:jc w:val="center"/>
            </w:pPr>
            <w:r>
              <w:t xml:space="preserve">1.58</w:t>
            </w:r>
          </w:p>
        </w:tc>
      </w:tr>
      <w:tr>
        <w:tc>
          <w:tcPr/>
          <w:p>
            <w:pPr>
              <w:pStyle w:val="Compact"/>
              <w:jc w:val="center"/>
            </w:pPr>
            <w:r>
              <w:t xml:space="preserve">food_cash for work_assets</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9,365</w:t>
            </w:r>
          </w:p>
        </w:tc>
        <w:tc>
          <w:tcPr/>
          <w:p>
            <w:pPr>
              <w:pStyle w:val="Compact"/>
              <w:jc w:val="center"/>
            </w:pPr>
            <w:r>
              <w:t xml:space="preserve">9,365</w:t>
            </w:r>
          </w:p>
        </w:tc>
        <w:tc>
          <w:tcPr/>
          <w:p>
            <w:pPr>
              <w:pStyle w:val="Compact"/>
              <w:jc w:val="center"/>
            </w:pPr>
            <w:r>
              <w:t xml:space="preserve">0.42</w:t>
            </w:r>
          </w:p>
        </w:tc>
      </w:tr>
      <w:tr>
        <w:tc>
          <w:tcPr/>
          <w:p>
            <w:pPr>
              <w:pStyle w:val="Compact"/>
              <w:jc w:val="center"/>
            </w:pPr>
            <w:r>
              <w:t xml:space="preserve">IGA and small grants</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2,111</w:t>
            </w:r>
          </w:p>
        </w:tc>
        <w:tc>
          <w:tcPr/>
          <w:p>
            <w:pPr>
              <w:pStyle w:val="Compact"/>
              <w:jc w:val="center"/>
            </w:pPr>
            <w:r>
              <w:t xml:space="preserve">2,111</w:t>
            </w:r>
          </w:p>
        </w:tc>
        <w:tc>
          <w:tcPr/>
          <w:p>
            <w:pPr>
              <w:pStyle w:val="Compact"/>
              <w:jc w:val="center"/>
            </w:pPr>
            <w:r>
              <w:t xml:space="preserve">0.09</w:t>
            </w:r>
          </w:p>
        </w:tc>
      </w:tr>
      <w:tr>
        <w:tc>
          <w:tcPr/>
          <w:p>
            <w:pPr>
              <w:pStyle w:val="Compact"/>
              <w:jc w:val="center"/>
            </w:pPr>
            <w:r>
              <w:t xml:space="preserve">vocational training</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1,253</w:t>
            </w:r>
          </w:p>
        </w:tc>
        <w:tc>
          <w:tcPr/>
          <w:p>
            <w:pPr>
              <w:pStyle w:val="Compact"/>
              <w:jc w:val="center"/>
            </w:pPr>
            <w:r>
              <w:t xml:space="preserve">1,253</w:t>
            </w:r>
          </w:p>
        </w:tc>
        <w:tc>
          <w:tcPr/>
          <w:p>
            <w:pPr>
              <w:pStyle w:val="Compact"/>
              <w:jc w:val="center"/>
            </w:pPr>
            <w:r>
              <w:t xml:space="preserve">0.06</w:t>
            </w:r>
          </w:p>
        </w:tc>
      </w:tr>
      <w:tr>
        <w:tc>
          <w:tcPr/>
          <w:p>
            <w:pPr>
              <w:pStyle w:val="Compact"/>
              <w:jc w:val="center"/>
            </w:pPr>
            <w:r>
              <w:t xml:space="preserve">FFS and farmer training</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150</w:t>
            </w:r>
          </w:p>
        </w:tc>
        <w:tc>
          <w:tcPr/>
          <w:p>
            <w:pPr>
              <w:pStyle w:val="Compact"/>
              <w:jc w:val="center"/>
            </w:pPr>
            <w:r>
              <w:t xml:space="preserve">150</w:t>
            </w:r>
          </w:p>
        </w:tc>
        <w:tc>
          <w:tcPr/>
          <w:p>
            <w:pPr>
              <w:pStyle w:val="Compact"/>
              <w:jc w:val="center"/>
            </w:pPr>
            <w:r>
              <w:t xml:space="preserve">0.01</w:t>
            </w:r>
          </w:p>
        </w:tc>
      </w:tr>
      <w:tr>
        <w:tc>
          <w:tcPr/>
          <w:p>
            <w:pPr>
              <w:pStyle w:val="Compact"/>
              <w:jc w:val="center"/>
            </w:pPr>
            <w:r>
              <w:t xml:space="preserve">livestock kits</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50</w:t>
            </w:r>
          </w:p>
        </w:tc>
        <w:tc>
          <w:tcPr/>
          <w:p>
            <w:pPr>
              <w:pStyle w:val="Compact"/>
              <w:jc w:val="center"/>
            </w:pPr>
            <w:r>
              <w:t xml:space="preserve">50</w:t>
            </w:r>
          </w:p>
        </w:tc>
        <w:tc>
          <w:tcPr/>
          <w:p>
            <w:pPr>
              <w:pStyle w:val="Compact"/>
              <w:jc w:val="center"/>
            </w:pPr>
            <w:r>
              <w:t xml:space="preserve">0</w:t>
            </w:r>
          </w:p>
        </w:tc>
      </w:tr>
    </w:tbl>
    <w:p>
      <w:pPr>
        <w:pStyle w:val="BodyText"/>
      </w:pPr>
    </w:p>
    <w:p>
      <w:pPr>
        <w:pStyle w:val="BodyText"/>
      </w:pPr>
      <w:r>
        <w:t xml:space="preserve">57% of beneficiaries were reached by activities where nutrition was mainstreamed. This is highly encouraging. As the year progresses, it will be important to collect more details about how exactly nutrition has been mainstreamed so that coordination with the Nutrition Cluster may be improved.</w:t>
      </w:r>
    </w:p>
    <w:p>
      <w:pPr>
        <w:pStyle w:val="TableCaption"/>
      </w:pPr>
      <w:r>
        <w:t xml:space="preserve">Breakdown of beneficiaries by status of nutrition mainstreaming</w:t>
      </w:r>
    </w:p>
    <w:tbl>
      <w:tblPr>
        <w:tblStyle w:val="Table"/>
        <w:tblW w:type="pct" w:w="5000"/>
        <w:tblLook w:firstRow="1" w:lastRow="0" w:firstColumn="0" w:lastColumn="0" w:noHBand="0" w:noVBand="0" w:val="0020"/>
        <w:tblCaption w:val="Breakdown of beneficiaries by status of nutrition mainstreaming"/>
      </w:tblPr>
      <w:tblGrid>
        <w:gridCol w:w="2899"/>
        <w:gridCol w:w="707"/>
        <w:gridCol w:w="848"/>
        <w:gridCol w:w="636"/>
        <w:gridCol w:w="1555"/>
        <w:gridCol w:w="1272"/>
      </w:tblGrid>
      <w:tr>
        <w:trPr>
          <w:tblHeader w:val="true"/>
        </w:trPr>
        <w:tc>
          <w:tcPr/>
          <w:p>
            <w:pPr>
              <w:pStyle w:val="Compact"/>
              <w:jc w:val="center"/>
            </w:pPr>
            <w:r>
              <w:t xml:space="preserve">was_nutrition_mainstreamed_in_activity</w:t>
            </w:r>
          </w:p>
        </w:tc>
        <w:tc>
          <w:tcPr/>
          <w:p>
            <w:pPr>
              <w:pStyle w:val="Compact"/>
              <w:jc w:val="center"/>
            </w:pPr>
            <w:r>
              <w:t xml:space="preserve">SO_1</w:t>
            </w:r>
          </w:p>
        </w:tc>
        <w:tc>
          <w:tcPr/>
          <w:p>
            <w:pPr>
              <w:pStyle w:val="Compact"/>
              <w:jc w:val="center"/>
            </w:pPr>
            <w:r>
              <w:t xml:space="preserve">SO_2</w:t>
            </w:r>
          </w:p>
        </w:tc>
        <w:tc>
          <w:tcPr/>
          <w:p>
            <w:pPr>
              <w:pStyle w:val="Compact"/>
              <w:jc w:val="center"/>
            </w:pPr>
            <w:r>
              <w:t xml:space="preserve">SO_3</w:t>
            </w:r>
          </w:p>
        </w:tc>
        <w:tc>
          <w:tcPr/>
          <w:p>
            <w:pPr>
              <w:pStyle w:val="Compact"/>
              <w:jc w:val="center"/>
            </w:pPr>
            <w:r>
              <w:t xml:space="preserve">total_beneficiaries</w:t>
            </w:r>
          </w:p>
        </w:tc>
        <w:tc>
          <w:tcPr/>
          <w:p>
            <w:pPr>
              <w:pStyle w:val="Compact"/>
              <w:jc w:val="center"/>
            </w:pPr>
            <w:r>
              <w:t xml:space="preserve">%_beneficiaries</w:t>
            </w:r>
          </w:p>
        </w:tc>
      </w:tr>
      <w:tr>
        <w:tc>
          <w:tcPr/>
          <w:p>
            <w:pPr>
              <w:pStyle w:val="Compact"/>
              <w:jc w:val="center"/>
            </w:pPr>
            <w:r>
              <w:t xml:space="preserve">Yes</w:t>
            </w:r>
          </w:p>
        </w:tc>
        <w:tc>
          <w:tcPr/>
          <w:p>
            <w:pPr>
              <w:pStyle w:val="Compact"/>
              <w:jc w:val="center"/>
            </w:pPr>
            <w:r>
              <w:t xml:space="preserve">210,643</w:t>
            </w:r>
          </w:p>
        </w:tc>
        <w:tc>
          <w:tcPr/>
          <w:p>
            <w:pPr>
              <w:pStyle w:val="Compact"/>
              <w:jc w:val="center"/>
            </w:pPr>
            <w:r>
              <w:t xml:space="preserve">1,018,696</w:t>
            </w:r>
          </w:p>
        </w:tc>
        <w:tc>
          <w:tcPr/>
          <w:p>
            <w:pPr>
              <w:pStyle w:val="Compact"/>
              <w:jc w:val="center"/>
            </w:pPr>
            <w:r>
              <w:t xml:space="preserve">40,782</w:t>
            </w:r>
          </w:p>
        </w:tc>
        <w:tc>
          <w:tcPr/>
          <w:p>
            <w:pPr>
              <w:pStyle w:val="Compact"/>
              <w:jc w:val="center"/>
            </w:pPr>
            <w:r>
              <w:t xml:space="preserve">1,270,121</w:t>
            </w:r>
          </w:p>
        </w:tc>
        <w:tc>
          <w:tcPr/>
          <w:p>
            <w:pPr>
              <w:pStyle w:val="Compact"/>
              <w:jc w:val="center"/>
            </w:pPr>
            <w:r>
              <w:t xml:space="preserve">56.94</w:t>
            </w:r>
          </w:p>
        </w:tc>
      </w:tr>
      <w:tr>
        <w:tc>
          <w:tcPr/>
          <w:p>
            <w:pPr>
              <w:pStyle w:val="Compact"/>
              <w:jc w:val="center"/>
            </w:pPr>
            <w:r>
              <w:t xml:space="preserve">No</w:t>
            </w:r>
          </w:p>
        </w:tc>
        <w:tc>
          <w:tcPr/>
          <w:p>
            <w:pPr>
              <w:pStyle w:val="Compact"/>
              <w:jc w:val="center"/>
            </w:pPr>
            <w:r>
              <w:t xml:space="preserve">114,276</w:t>
            </w:r>
          </w:p>
        </w:tc>
        <w:tc>
          <w:tcPr/>
          <w:p>
            <w:pPr>
              <w:pStyle w:val="Compact"/>
              <w:jc w:val="center"/>
            </w:pPr>
            <w:r>
              <w:t xml:space="preserve">821,206</w:t>
            </w:r>
          </w:p>
        </w:tc>
        <w:tc>
          <w:tcPr/>
          <w:p>
            <w:pPr>
              <w:pStyle w:val="Compact"/>
              <w:jc w:val="center"/>
            </w:pPr>
            <w:r>
              <w:t xml:space="preserve">25,025</w:t>
            </w:r>
          </w:p>
        </w:tc>
        <w:tc>
          <w:tcPr/>
          <w:p>
            <w:pPr>
              <w:pStyle w:val="Compact"/>
              <w:jc w:val="center"/>
            </w:pPr>
            <w:r>
              <w:t xml:space="preserve">960,507</w:t>
            </w:r>
          </w:p>
        </w:tc>
        <w:tc>
          <w:tcPr/>
          <w:p>
            <w:pPr>
              <w:pStyle w:val="Compact"/>
              <w:jc w:val="center"/>
            </w:pPr>
            <w:r>
              <w:t xml:space="preserve">43.06</w:t>
            </w:r>
          </w:p>
        </w:tc>
      </w:tr>
    </w:tbl>
    <w:p>
      <w:pPr>
        <w:pStyle w:val="BodyText"/>
      </w:pPr>
    </w:p>
    <w:bookmarkStart w:id="22" w:name="Xa17596d91779a3f048cd50eb0e631e094803824"/>
    <w:p>
      <w:pPr>
        <w:pStyle w:val="Heading3"/>
      </w:pPr>
      <w:r>
        <w:t xml:space="preserve">Implementation of Information Sharing Protocols</w:t>
      </w:r>
    </w:p>
    <w:p>
      <w:pPr>
        <w:pStyle w:val="FirstParagraph"/>
      </w:pPr>
      <w:r>
        <w:t xml:space="preserve">The newly approved ICCG Information Sharing Protocols have been implemented in this report to support the safe, ethical and effective management of data within Myanmar. This implementation is most evident in the use of partner pseudonymisation in this report. Partner names have been replaced by tokens in this report. These tokens are stored in a secure translation table on OCHA servers outside of Myanmar, where they may not be requisitioned by authorities. For more information, please read the full text of the protocols in either</w:t>
      </w:r>
      <w:r>
        <w:t xml:space="preserve"> </w:t>
      </w:r>
      <w:hyperlink r:id="rId20">
        <w:r>
          <w:rPr>
            <w:rStyle w:val="Hyperlink"/>
          </w:rPr>
          <w:t xml:space="preserve">English</w:t>
        </w:r>
      </w:hyperlink>
      <w:r>
        <w:t xml:space="preserve"> </w:t>
      </w:r>
      <w:r>
        <w:t xml:space="preserve">or</w:t>
      </w:r>
      <w:r>
        <w:t xml:space="preserve"> </w:t>
      </w:r>
      <w:hyperlink r:id="rId21">
        <w:r>
          <w:rPr>
            <w:rStyle w:val="Hyperlink"/>
          </w:rPr>
          <w:t xml:space="preserve">Myanmar</w:t>
        </w:r>
      </w:hyperlink>
      <w:r>
        <w:t xml:space="preserve">.</w:t>
      </w:r>
    </w:p>
    <w:p>
      <w:pPr>
        <w:pStyle w:val="BodyText"/>
      </w:pPr>
    </w:p>
    <w:bookmarkEnd w:id="22"/>
    <w:bookmarkEnd w:id="23"/>
    <w:bookmarkStart w:id="36" w:name="geographies"/>
    <w:p>
      <w:pPr>
        <w:pStyle w:val="Heading2"/>
      </w:pPr>
      <w:r>
        <w:t xml:space="preserve">1. Geographies</w:t>
      </w:r>
    </w:p>
    <w:bookmarkStart w:id="27" w:name="statewise-breakdowns"/>
    <w:p>
      <w:pPr>
        <w:pStyle w:val="Heading3"/>
      </w:pPr>
      <w:r>
        <w:t xml:space="preserve">1.1 Statewise breakdowns</w:t>
      </w:r>
    </w:p>
    <w:p>
      <w:pPr>
        <w:pStyle w:val="FirstParagraph"/>
      </w:pPr>
      <w:r>
        <w:t xml:space="preserve">As in 2021, the number of beneficiaries reached has been heavily biased towards relatively few areas, which is not appropriate for a unionwide response. A total of 73 townships have been reached across 13 states/regions.</w:t>
      </w:r>
    </w:p>
    <w:p>
      <w:pPr>
        <w:pStyle w:val="BodyText"/>
      </w:pPr>
    </w:p>
    <w:p>
      <w:pPr>
        <w:pStyle w:val="BodyText"/>
      </w:pPr>
      <w:r>
        <w:drawing>
          <wp:inline>
            <wp:extent cx="5334000" cy="2370666"/>
            <wp:effectExtent b="0" l="0" r="0" t="0"/>
            <wp:docPr descr="" title="" id="25" name="Picture"/>
            <a:graphic>
              <a:graphicData uri="http://schemas.openxmlformats.org/drawingml/2006/picture">
                <pic:pic>
                  <pic:nvPicPr>
                    <pic:cNvPr descr="fsc_q1_2022_northwest_word_files/figure-docx/barplot-state-region-1.png" id="26" name="Picture"/>
                    <pic:cNvPicPr>
                      <a:picLocks noChangeArrowheads="1" noChangeAspect="1"/>
                    </pic:cNvPicPr>
                  </pic:nvPicPr>
                  <pic:blipFill>
                    <a:blip r:embed="rId24"/>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The table below outlines the number of beneficiaries reached by state/region in both 2021 and 2022/Q1. In 2021, the response was heavily skewed towards Yangon and Rakhine. The bias is even more pronounced in 2022/Q1.</w:t>
      </w:r>
    </w:p>
    <w:p>
      <w:pPr>
        <w:pStyle w:val="BodyText"/>
      </w:pPr>
      <w:r>
        <w:t xml:space="preserve">87.15% of beneficiaries reached in the first quarter of 2022 originated from Yangon or Rakhine.</w:t>
      </w:r>
    </w:p>
    <w:p>
      <w:pPr>
        <w:pStyle w:val="BodyText"/>
      </w:pPr>
    </w:p>
    <w:p>
      <w:pPr>
        <w:pStyle w:val="BodyText"/>
      </w:pPr>
      <w:r>
        <w:rPr>
          <w:rStyle w:val="VerbatimChar"/>
        </w:rPr>
        <w:t xml:space="preserve">summarise()</w:t>
      </w:r>
      <w:r>
        <w:t xml:space="preserve"> </w:t>
      </w:r>
      <w:r>
        <w:t xml:space="preserve">has grouped output by</w:t>
      </w:r>
      <w:r>
        <w:t xml:space="preserve"> </w:t>
      </w:r>
      <w:r>
        <w:t xml:space="preserve">‘</w:t>
      </w:r>
      <w:r>
        <w:t xml:space="preserve">state</w:t>
      </w:r>
      <w:r>
        <w:t xml:space="preserve">’</w:t>
      </w:r>
      <w:r>
        <w:t xml:space="preserve">. You can override using the</w:t>
      </w:r>
      <w:r>
        <w:t xml:space="preserve"> </w:t>
      </w:r>
      <w:r>
        <w:rPr>
          <w:rStyle w:val="VerbatimChar"/>
        </w:rPr>
        <w:t xml:space="preserve">.groups</w:t>
      </w:r>
      <w:r>
        <w:t xml:space="preserve"> </w:t>
      </w:r>
      <w:r>
        <w:t xml:space="preserve">argument.</w:t>
      </w:r>
    </w:p>
    <w:p>
      <w:pPr>
        <w:pStyle w:val="TableCaption"/>
      </w:pPr>
      <w:r>
        <w:t xml:space="preserve">Skew in Q1 2022 geographic reach, comparison with 2021 data</w:t>
      </w:r>
    </w:p>
    <w:tbl>
      <w:tblPr>
        <w:tblStyle w:val="Table"/>
        <w:tblW w:type="pct" w:w="5000"/>
        <w:tblLook w:firstRow="1" w:lastRow="0" w:firstColumn="0" w:lastColumn="0" w:noHBand="0" w:noVBand="0" w:val="0020"/>
        <w:tblCaption w:val="Skew in Q1 2022 geographic reach, comparison with 2021 data"/>
      </w:tblPr>
      <w:tblGrid>
        <w:gridCol w:w="761"/>
        <w:gridCol w:w="1599"/>
        <w:gridCol w:w="990"/>
        <w:gridCol w:w="1599"/>
        <w:gridCol w:w="990"/>
        <w:gridCol w:w="761"/>
        <w:gridCol w:w="1218"/>
      </w:tblGrid>
      <w:tr>
        <w:trPr>
          <w:tblHeader w:val="true"/>
        </w:trPr>
        <w:tc>
          <w:tcPr/>
          <w:p>
            <w:pPr>
              <w:pStyle w:val="Compact"/>
              <w:jc w:val="center"/>
            </w:pPr>
            <w:r>
              <w:t xml:space="preserve">State</w:t>
            </w:r>
          </w:p>
        </w:tc>
        <w:tc>
          <w:tcPr/>
          <w:p>
            <w:pPr>
              <w:pStyle w:val="Compact"/>
              <w:jc w:val="center"/>
            </w:pPr>
            <w:r>
              <w:t xml:space="preserve">Beneficiaries_2021</w:t>
            </w:r>
          </w:p>
        </w:tc>
        <w:tc>
          <w:tcPr/>
          <w:p>
            <w:pPr>
              <w:pStyle w:val="Compact"/>
              <w:jc w:val="center"/>
            </w:pPr>
            <w:r>
              <w:t xml:space="preserve">%_ben_2021</w:t>
            </w:r>
          </w:p>
        </w:tc>
        <w:tc>
          <w:tcPr/>
          <w:p>
            <w:pPr>
              <w:pStyle w:val="Compact"/>
              <w:jc w:val="center"/>
            </w:pPr>
            <w:r>
              <w:t xml:space="preserve">Beneficiaries_2022</w:t>
            </w:r>
          </w:p>
        </w:tc>
        <w:tc>
          <w:tcPr/>
          <w:p>
            <w:pPr>
              <w:pStyle w:val="Compact"/>
              <w:jc w:val="center"/>
            </w:pPr>
            <w:r>
              <w:t xml:space="preserve">%_ben_2022</w:t>
            </w:r>
          </w:p>
        </w:tc>
        <w:tc>
          <w:tcPr/>
          <w:p>
            <w:pPr>
              <w:pStyle w:val="Compact"/>
              <w:jc w:val="center"/>
            </w:pPr>
            <w:r>
              <w:t xml:space="preserve">Target</w:t>
            </w:r>
          </w:p>
        </w:tc>
        <w:tc>
          <w:tcPr/>
          <w:p>
            <w:pPr>
              <w:pStyle w:val="Compact"/>
              <w:jc w:val="center"/>
            </w:pPr>
            <w:r>
              <w:t xml:space="preserve">%_target_2022</w:t>
            </w:r>
          </w:p>
        </w:tc>
      </w:tr>
      <w:tr>
        <w:tc>
          <w:tcPr/>
          <w:p>
            <w:pPr>
              <w:pStyle w:val="Compact"/>
              <w:jc w:val="center"/>
            </w:pPr>
            <w:r>
              <w:t xml:space="preserve">Rakhine</w:t>
            </w:r>
          </w:p>
        </w:tc>
        <w:tc>
          <w:tcPr/>
          <w:p>
            <w:pPr>
              <w:pStyle w:val="Compact"/>
              <w:jc w:val="center"/>
            </w:pPr>
            <w:r>
              <w:t xml:space="preserve">530,202</w:t>
            </w:r>
          </w:p>
        </w:tc>
        <w:tc>
          <w:tcPr/>
          <w:p>
            <w:pPr>
              <w:pStyle w:val="Compact"/>
              <w:jc w:val="center"/>
            </w:pPr>
            <w:r>
              <w:t xml:space="preserve">78.44</w:t>
            </w:r>
          </w:p>
        </w:tc>
        <w:tc>
          <w:tcPr/>
          <w:p>
            <w:pPr>
              <w:pStyle w:val="Compact"/>
              <w:jc w:val="center"/>
            </w:pPr>
            <w:r>
              <w:t xml:space="preserve">345,655</w:t>
            </w:r>
          </w:p>
        </w:tc>
        <w:tc>
          <w:tcPr/>
          <w:p>
            <w:pPr>
              <w:pStyle w:val="Compact"/>
              <w:jc w:val="center"/>
            </w:pPr>
            <w:r>
              <w:t xml:space="preserve">94.95</w:t>
            </w:r>
          </w:p>
        </w:tc>
        <w:tc>
          <w:tcPr/>
          <w:p>
            <w:pPr>
              <w:pStyle w:val="Compact"/>
              <w:jc w:val="center"/>
            </w:pPr>
            <w:r>
              <w:t xml:space="preserve">272,889</w:t>
            </w:r>
          </w:p>
        </w:tc>
        <w:tc>
          <w:tcPr/>
          <w:p>
            <w:pPr>
              <w:pStyle w:val="Compact"/>
              <w:jc w:val="center"/>
            </w:pPr>
            <w:r>
              <w:t xml:space="preserve">126.7</w:t>
            </w:r>
          </w:p>
        </w:tc>
      </w:tr>
      <w:tr>
        <w:tc>
          <w:tcPr/>
          <w:p>
            <w:pPr>
              <w:pStyle w:val="Compact"/>
              <w:jc w:val="center"/>
            </w:pPr>
            <w:r>
              <w:t xml:space="preserve">Chin</w:t>
            </w:r>
          </w:p>
        </w:tc>
        <w:tc>
          <w:tcPr/>
          <w:p>
            <w:pPr>
              <w:pStyle w:val="Compact"/>
              <w:jc w:val="center"/>
            </w:pPr>
            <w:r>
              <w:t xml:space="preserve">17,005</w:t>
            </w:r>
          </w:p>
        </w:tc>
        <w:tc>
          <w:tcPr/>
          <w:p>
            <w:pPr>
              <w:pStyle w:val="Compact"/>
              <w:jc w:val="center"/>
            </w:pPr>
            <w:r>
              <w:t xml:space="preserve">2.52</w:t>
            </w:r>
          </w:p>
        </w:tc>
        <w:tc>
          <w:tcPr/>
          <w:p>
            <w:pPr>
              <w:pStyle w:val="Compact"/>
              <w:jc w:val="center"/>
            </w:pPr>
            <w:r>
              <w:t xml:space="preserve">14,939</w:t>
            </w:r>
          </w:p>
        </w:tc>
        <w:tc>
          <w:tcPr/>
          <w:p>
            <w:pPr>
              <w:pStyle w:val="Compact"/>
              <w:jc w:val="center"/>
            </w:pPr>
            <w:r>
              <w:t xml:space="preserve">4.1</w:t>
            </w:r>
          </w:p>
        </w:tc>
        <w:tc>
          <w:tcPr/>
          <w:p>
            <w:pPr>
              <w:pStyle w:val="Compact"/>
              <w:jc w:val="center"/>
            </w:pPr>
            <w:r>
              <w:t xml:space="preserve">126,338</w:t>
            </w:r>
          </w:p>
        </w:tc>
        <w:tc>
          <w:tcPr/>
          <w:p>
            <w:pPr>
              <w:pStyle w:val="Compact"/>
              <w:jc w:val="center"/>
            </w:pPr>
            <w:r>
              <w:t xml:space="preserve">11.82</w:t>
            </w:r>
          </w:p>
        </w:tc>
      </w:tr>
      <w:tr>
        <w:tc>
          <w:tcPr/>
          <w:p>
            <w:pPr>
              <w:pStyle w:val="Compact"/>
              <w:jc w:val="center"/>
            </w:pPr>
            <w:r>
              <w:t xml:space="preserve">Sagaing</w:t>
            </w:r>
          </w:p>
        </w:tc>
        <w:tc>
          <w:tcPr/>
          <w:p>
            <w:pPr>
              <w:pStyle w:val="Compact"/>
              <w:jc w:val="center"/>
            </w:pPr>
            <w:r>
              <w:t xml:space="preserve">31,985</w:t>
            </w:r>
          </w:p>
        </w:tc>
        <w:tc>
          <w:tcPr/>
          <w:p>
            <w:pPr>
              <w:pStyle w:val="Compact"/>
              <w:jc w:val="center"/>
            </w:pPr>
            <w:r>
              <w:t xml:space="preserve">4.73</w:t>
            </w:r>
          </w:p>
        </w:tc>
        <w:tc>
          <w:tcPr/>
          <w:p>
            <w:pPr>
              <w:pStyle w:val="Compact"/>
              <w:jc w:val="center"/>
            </w:pPr>
            <w:r>
              <w:t xml:space="preserve">3,450</w:t>
            </w:r>
          </w:p>
        </w:tc>
        <w:tc>
          <w:tcPr/>
          <w:p>
            <w:pPr>
              <w:pStyle w:val="Compact"/>
              <w:jc w:val="center"/>
            </w:pPr>
            <w:r>
              <w:t xml:space="preserve">0.95</w:t>
            </w:r>
          </w:p>
        </w:tc>
        <w:tc>
          <w:tcPr/>
          <w:p>
            <w:pPr>
              <w:pStyle w:val="Compact"/>
              <w:jc w:val="center"/>
            </w:pPr>
            <w:r>
              <w:t xml:space="preserve">87,102</w:t>
            </w:r>
          </w:p>
        </w:tc>
        <w:tc>
          <w:tcPr/>
          <w:p>
            <w:pPr>
              <w:pStyle w:val="Compact"/>
              <w:jc w:val="center"/>
            </w:pPr>
            <w:r>
              <w:t xml:space="preserve">3.96</w:t>
            </w:r>
          </w:p>
        </w:tc>
      </w:tr>
      <w:tr>
        <w:tc>
          <w:tcPr/>
          <w:p>
            <w:pPr>
              <w:pStyle w:val="Compact"/>
              <w:jc w:val="center"/>
            </w:pPr>
            <w:r>
              <w:t xml:space="preserve">Magway</w:t>
            </w:r>
          </w:p>
        </w:tc>
        <w:tc>
          <w:tcPr/>
          <w:p>
            <w:pPr>
              <w:pStyle w:val="Compact"/>
              <w:jc w:val="center"/>
            </w:pPr>
            <w:r>
              <w:t xml:space="preserve">96,767</w:t>
            </w:r>
          </w:p>
        </w:tc>
        <w:tc>
          <w:tcPr/>
          <w:p>
            <w:pPr>
              <w:pStyle w:val="Compact"/>
              <w:jc w:val="center"/>
            </w:pPr>
            <w:r>
              <w:t xml:space="preserve">14.32</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82,663</w:t>
            </w:r>
          </w:p>
        </w:tc>
        <w:tc>
          <w:tcPr/>
          <w:p>
            <w:pPr>
              <w:pStyle w:val="Compact"/>
              <w:jc w:val="center"/>
            </w:pPr>
            <w:r>
              <w:t xml:space="preserve">NA</w:t>
            </w:r>
          </w:p>
        </w:tc>
      </w:tr>
    </w:tbl>
    <w:p>
      <w:pPr>
        <w:pStyle w:val="BodyText"/>
      </w:pPr>
    </w:p>
    <w:bookmarkEnd w:id="27"/>
    <w:bookmarkStart w:id="28" w:name="township-level-breakdowns"/>
    <w:p>
      <w:pPr>
        <w:pStyle w:val="Heading3"/>
      </w:pPr>
      <w:r>
        <w:t xml:space="preserve">1.2 Township-level breakdowns</w:t>
      </w:r>
    </w:p>
    <w:p>
      <w:pPr>
        <w:pStyle w:val="FirstParagraph"/>
      </w:pPr>
      <w:r>
        <w:t xml:space="preserve">Just 8 townships (listed in the table below) contained XX% of all beneficiaries. In contrast, in 2021, the top 10 townships contained 76% of all beneficiaries. Hlaingthayra East and West by themselves contained 36% of all beneficiaries reached.</w:t>
      </w:r>
    </w:p>
    <w:p>
      <w:pPr>
        <w:pStyle w:val="BodyText"/>
      </w:pPr>
      <w:r>
        <w:rPr>
          <w:rStyle w:val="VerbatimChar"/>
        </w:rPr>
        <w:t xml:space="preserve">summarise()</w:t>
      </w:r>
      <w:r>
        <w:t xml:space="preserve"> </w:t>
      </w:r>
      <w:r>
        <w:t xml:space="preserve">has grouped output by</w:t>
      </w:r>
      <w:r>
        <w:t xml:space="preserve"> </w:t>
      </w:r>
      <w:r>
        <w:t xml:space="preserve">‘</w:t>
      </w:r>
      <w:r>
        <w:t xml:space="preserve">state</w:t>
      </w:r>
      <w:r>
        <w:t xml:space="preserve">’</w:t>
      </w:r>
      <w:r>
        <w:t xml:space="preserve">,</w:t>
      </w:r>
      <w:r>
        <w:t xml:space="preserve"> </w:t>
      </w:r>
      <w:r>
        <w:t xml:space="preserve">‘</w:t>
      </w:r>
      <w:r>
        <w:t xml:space="preserve">township</w:t>
      </w:r>
      <w:r>
        <w:t xml:space="preserve">’</w:t>
      </w:r>
      <w:r>
        <w:t xml:space="preserve">. You can override using the</w:t>
      </w:r>
      <w:r>
        <w:t xml:space="preserve"> </w:t>
      </w:r>
      <w:r>
        <w:rPr>
          <w:rStyle w:val="VerbatimChar"/>
        </w:rPr>
        <w:t xml:space="preserve">.groups</w:t>
      </w:r>
      <w:r>
        <w:t xml:space="preserve"> </w:t>
      </w:r>
      <w:r>
        <w:t xml:space="preserve">argument.</w:t>
      </w:r>
    </w:p>
    <w:p>
      <w:pPr>
        <w:pStyle w:val="TableCaption"/>
      </w:pPr>
      <w:r>
        <w:t xml:space="preserve">Top 11 towwnships reached by number of beneficiaries</w:t>
      </w:r>
    </w:p>
    <w:tbl>
      <w:tblPr>
        <w:tblStyle w:val="Table"/>
        <w:tblW w:type="pct" w:w="5000"/>
        <w:tblLook w:firstRow="1" w:lastRow="0" w:firstColumn="0" w:lastColumn="0" w:noHBand="0" w:noVBand="0" w:val="0020"/>
        <w:tblCaption w:val="Top 11 towwnships reached by number of beneficiaries"/>
      </w:tblPr>
      <w:tblGrid>
        <w:gridCol w:w="1015"/>
        <w:gridCol w:w="1320"/>
        <w:gridCol w:w="913"/>
        <w:gridCol w:w="1624"/>
        <w:gridCol w:w="1827"/>
        <w:gridCol w:w="1218"/>
      </w:tblGrid>
      <w:tr>
        <w:trPr>
          <w:tblHeader w:val="true"/>
        </w:trPr>
        <w:tc>
          <w:tcPr/>
          <w:p>
            <w:pPr>
              <w:pStyle w:val="Compact"/>
              <w:jc w:val="center"/>
            </w:pPr>
            <w:r>
              <w:t xml:space="preserve">state</w:t>
            </w:r>
          </w:p>
        </w:tc>
        <w:tc>
          <w:tcPr/>
          <w:p>
            <w:pPr>
              <w:pStyle w:val="Compact"/>
              <w:jc w:val="center"/>
            </w:pPr>
            <w:r>
              <w:t xml:space="preserve">township</w:t>
            </w:r>
          </w:p>
        </w:tc>
        <w:tc>
          <w:tcPr/>
          <w:p>
            <w:pPr>
              <w:pStyle w:val="Compact"/>
              <w:jc w:val="center"/>
            </w:pPr>
            <w:r>
              <w:t xml:space="preserve">target</w:t>
            </w:r>
          </w:p>
        </w:tc>
        <w:tc>
          <w:tcPr/>
          <w:p>
            <w:pPr>
              <w:pStyle w:val="Compact"/>
              <w:jc w:val="center"/>
            </w:pPr>
            <w:r>
              <w:t xml:space="preserve">beneficiaries</w:t>
            </w:r>
          </w:p>
        </w:tc>
        <w:tc>
          <w:tcPr/>
          <w:p>
            <w:pPr>
              <w:pStyle w:val="Compact"/>
              <w:jc w:val="center"/>
            </w:pPr>
            <w:r>
              <w:t xml:space="preserve">%_beneficiaries</w:t>
            </w:r>
          </w:p>
        </w:tc>
        <w:tc>
          <w:tcPr/>
          <w:p>
            <w:pPr>
              <w:pStyle w:val="Compact"/>
              <w:jc w:val="center"/>
            </w:pPr>
            <w:r>
              <w:t xml:space="preserve">%_reached</w:t>
            </w:r>
          </w:p>
        </w:tc>
      </w:tr>
      <w:tr>
        <w:tc>
          <w:tcPr/>
          <w:p>
            <w:pPr>
              <w:pStyle w:val="Compact"/>
              <w:jc w:val="center"/>
            </w:pPr>
            <w:r>
              <w:t xml:space="preserve">Rakhine</w:t>
            </w:r>
          </w:p>
        </w:tc>
        <w:tc>
          <w:tcPr/>
          <w:p>
            <w:pPr>
              <w:pStyle w:val="Compact"/>
              <w:jc w:val="center"/>
            </w:pPr>
            <w:r>
              <w:t xml:space="preserve">Buthidaung</w:t>
            </w:r>
          </w:p>
        </w:tc>
        <w:tc>
          <w:tcPr/>
          <w:p>
            <w:pPr>
              <w:pStyle w:val="Compact"/>
              <w:jc w:val="center"/>
            </w:pPr>
            <w:r>
              <w:t xml:space="preserve">25,001</w:t>
            </w:r>
          </w:p>
        </w:tc>
        <w:tc>
          <w:tcPr/>
          <w:p>
            <w:pPr>
              <w:pStyle w:val="Compact"/>
              <w:jc w:val="center"/>
            </w:pPr>
            <w:r>
              <w:t xml:space="preserve">132,642</w:t>
            </w:r>
          </w:p>
        </w:tc>
        <w:tc>
          <w:tcPr/>
          <w:p>
            <w:pPr>
              <w:pStyle w:val="Compact"/>
              <w:jc w:val="center"/>
            </w:pPr>
            <w:r>
              <w:t xml:space="preserve">36.44</w:t>
            </w:r>
          </w:p>
        </w:tc>
        <w:tc>
          <w:tcPr/>
          <w:p>
            <w:pPr>
              <w:pStyle w:val="Compact"/>
              <w:jc w:val="center"/>
            </w:pPr>
            <w:r>
              <w:t xml:space="preserve">530.5</w:t>
            </w:r>
          </w:p>
        </w:tc>
      </w:tr>
      <w:tr>
        <w:tc>
          <w:tcPr/>
          <w:p>
            <w:pPr>
              <w:pStyle w:val="Compact"/>
              <w:jc w:val="center"/>
            </w:pPr>
            <w:r>
              <w:t xml:space="preserve">Rakhine</w:t>
            </w:r>
          </w:p>
        </w:tc>
        <w:tc>
          <w:tcPr/>
          <w:p>
            <w:pPr>
              <w:pStyle w:val="Compact"/>
              <w:jc w:val="center"/>
            </w:pPr>
            <w:r>
              <w:t xml:space="preserve">Sittwe</w:t>
            </w:r>
          </w:p>
        </w:tc>
        <w:tc>
          <w:tcPr/>
          <w:p>
            <w:pPr>
              <w:pStyle w:val="Compact"/>
              <w:jc w:val="center"/>
            </w:pPr>
            <w:r>
              <w:t xml:space="preserve">79,999</w:t>
            </w:r>
          </w:p>
        </w:tc>
        <w:tc>
          <w:tcPr/>
          <w:p>
            <w:pPr>
              <w:pStyle w:val="Compact"/>
              <w:jc w:val="center"/>
            </w:pPr>
            <w:r>
              <w:t xml:space="preserve">121,905</w:t>
            </w:r>
          </w:p>
        </w:tc>
        <w:tc>
          <w:tcPr/>
          <w:p>
            <w:pPr>
              <w:pStyle w:val="Compact"/>
              <w:jc w:val="center"/>
            </w:pPr>
            <w:r>
              <w:t xml:space="preserve">33.49</w:t>
            </w:r>
          </w:p>
        </w:tc>
        <w:tc>
          <w:tcPr/>
          <w:p>
            <w:pPr>
              <w:pStyle w:val="Compact"/>
              <w:jc w:val="center"/>
            </w:pPr>
            <w:r>
              <w:t xml:space="preserve">152.4</w:t>
            </w:r>
          </w:p>
        </w:tc>
      </w:tr>
      <w:tr>
        <w:tc>
          <w:tcPr/>
          <w:p>
            <w:pPr>
              <w:pStyle w:val="Compact"/>
              <w:jc w:val="center"/>
            </w:pPr>
            <w:r>
              <w:t xml:space="preserve">Rakhine</w:t>
            </w:r>
          </w:p>
        </w:tc>
        <w:tc>
          <w:tcPr/>
          <w:p>
            <w:pPr>
              <w:pStyle w:val="Compact"/>
              <w:jc w:val="center"/>
            </w:pPr>
            <w:r>
              <w:t xml:space="preserve">Maungdaw</w:t>
            </w:r>
          </w:p>
        </w:tc>
        <w:tc>
          <w:tcPr/>
          <w:p>
            <w:pPr>
              <w:pStyle w:val="Compact"/>
              <w:jc w:val="center"/>
            </w:pPr>
            <w:r>
              <w:t xml:space="preserve">16,889</w:t>
            </w:r>
          </w:p>
        </w:tc>
        <w:tc>
          <w:tcPr/>
          <w:p>
            <w:pPr>
              <w:pStyle w:val="Compact"/>
              <w:jc w:val="center"/>
            </w:pPr>
            <w:r>
              <w:t xml:space="preserve">24,983</w:t>
            </w:r>
          </w:p>
        </w:tc>
        <w:tc>
          <w:tcPr/>
          <w:p>
            <w:pPr>
              <w:pStyle w:val="Compact"/>
              <w:jc w:val="center"/>
            </w:pPr>
            <w:r>
              <w:t xml:space="preserve">6.86</w:t>
            </w:r>
          </w:p>
        </w:tc>
        <w:tc>
          <w:tcPr/>
          <w:p>
            <w:pPr>
              <w:pStyle w:val="Compact"/>
              <w:jc w:val="center"/>
            </w:pPr>
            <w:r>
              <w:t xml:space="preserve">147.9</w:t>
            </w:r>
          </w:p>
        </w:tc>
      </w:tr>
      <w:tr>
        <w:tc>
          <w:tcPr/>
          <w:p>
            <w:pPr>
              <w:pStyle w:val="Compact"/>
              <w:jc w:val="center"/>
            </w:pPr>
            <w:r>
              <w:t xml:space="preserve">Rakhine</w:t>
            </w:r>
          </w:p>
        </w:tc>
        <w:tc>
          <w:tcPr/>
          <w:p>
            <w:pPr>
              <w:pStyle w:val="Compact"/>
              <w:jc w:val="center"/>
            </w:pPr>
            <w:r>
              <w:t xml:space="preserve">Pauktaw</w:t>
            </w:r>
          </w:p>
        </w:tc>
        <w:tc>
          <w:tcPr/>
          <w:p>
            <w:pPr>
              <w:pStyle w:val="Compact"/>
              <w:jc w:val="center"/>
            </w:pPr>
            <w:r>
              <w:t xml:space="preserve">0</w:t>
            </w:r>
          </w:p>
        </w:tc>
        <w:tc>
          <w:tcPr/>
          <w:p>
            <w:pPr>
              <w:pStyle w:val="Compact"/>
              <w:jc w:val="center"/>
            </w:pPr>
            <w:r>
              <w:t xml:space="preserve">24,661</w:t>
            </w:r>
          </w:p>
        </w:tc>
        <w:tc>
          <w:tcPr/>
          <w:p>
            <w:pPr>
              <w:pStyle w:val="Compact"/>
              <w:jc w:val="center"/>
            </w:pPr>
            <w:r>
              <w:t xml:space="preserve">6.77</w:t>
            </w:r>
          </w:p>
        </w:tc>
        <w:tc>
          <w:tcPr/>
          <w:p>
            <w:pPr>
              <w:pStyle w:val="Compact"/>
              <w:jc w:val="center"/>
            </w:pPr>
            <w:r>
              <w:t xml:space="preserve">100</w:t>
            </w:r>
          </w:p>
        </w:tc>
      </w:tr>
      <w:tr>
        <w:tc>
          <w:tcPr/>
          <w:p>
            <w:pPr>
              <w:pStyle w:val="Compact"/>
              <w:jc w:val="center"/>
            </w:pPr>
            <w:r>
              <w:t xml:space="preserve">Rakhine</w:t>
            </w:r>
          </w:p>
        </w:tc>
        <w:tc>
          <w:tcPr/>
          <w:p>
            <w:pPr>
              <w:pStyle w:val="Compact"/>
              <w:jc w:val="center"/>
            </w:pPr>
            <w:r>
              <w:t xml:space="preserve">Kyauktaw</w:t>
            </w:r>
          </w:p>
        </w:tc>
        <w:tc>
          <w:tcPr/>
          <w:p>
            <w:pPr>
              <w:pStyle w:val="Compact"/>
              <w:jc w:val="center"/>
            </w:pPr>
            <w:r>
              <w:t xml:space="preserve">40,000</w:t>
            </w:r>
          </w:p>
        </w:tc>
        <w:tc>
          <w:tcPr/>
          <w:p>
            <w:pPr>
              <w:pStyle w:val="Compact"/>
              <w:jc w:val="center"/>
            </w:pPr>
            <w:r>
              <w:t xml:space="preserve">12,754</w:t>
            </w:r>
          </w:p>
        </w:tc>
        <w:tc>
          <w:tcPr/>
          <w:p>
            <w:pPr>
              <w:pStyle w:val="Compact"/>
              <w:jc w:val="center"/>
            </w:pPr>
            <w:r>
              <w:t xml:space="preserve">3.5</w:t>
            </w:r>
          </w:p>
        </w:tc>
        <w:tc>
          <w:tcPr/>
          <w:p>
            <w:pPr>
              <w:pStyle w:val="Compact"/>
              <w:jc w:val="center"/>
            </w:pPr>
            <w:r>
              <w:t xml:space="preserve">31.89</w:t>
            </w:r>
          </w:p>
        </w:tc>
      </w:tr>
      <w:tr>
        <w:tc>
          <w:tcPr/>
          <w:p>
            <w:pPr>
              <w:pStyle w:val="Compact"/>
              <w:jc w:val="center"/>
            </w:pPr>
            <w:r>
              <w:t xml:space="preserve">Rakhine</w:t>
            </w:r>
          </w:p>
        </w:tc>
        <w:tc>
          <w:tcPr/>
          <w:p>
            <w:pPr>
              <w:pStyle w:val="Compact"/>
              <w:jc w:val="center"/>
            </w:pPr>
            <w:r>
              <w:t xml:space="preserve">Mrauk-U</w:t>
            </w:r>
          </w:p>
        </w:tc>
        <w:tc>
          <w:tcPr/>
          <w:p>
            <w:pPr>
              <w:pStyle w:val="Compact"/>
              <w:jc w:val="center"/>
            </w:pPr>
            <w:r>
              <w:t xml:space="preserve">49,999</w:t>
            </w:r>
          </w:p>
        </w:tc>
        <w:tc>
          <w:tcPr/>
          <w:p>
            <w:pPr>
              <w:pStyle w:val="Compact"/>
              <w:jc w:val="center"/>
            </w:pPr>
            <w:r>
              <w:t xml:space="preserve">10,968</w:t>
            </w:r>
          </w:p>
        </w:tc>
        <w:tc>
          <w:tcPr/>
          <w:p>
            <w:pPr>
              <w:pStyle w:val="Compact"/>
              <w:jc w:val="center"/>
            </w:pPr>
            <w:r>
              <w:t xml:space="preserve">3.01</w:t>
            </w:r>
          </w:p>
        </w:tc>
        <w:tc>
          <w:tcPr/>
          <w:p>
            <w:pPr>
              <w:pStyle w:val="Compact"/>
              <w:jc w:val="center"/>
            </w:pPr>
            <w:r>
              <w:t xml:space="preserve">21.94</w:t>
            </w:r>
          </w:p>
        </w:tc>
      </w:tr>
      <w:tr>
        <w:tc>
          <w:tcPr/>
          <w:p>
            <w:pPr>
              <w:pStyle w:val="Compact"/>
              <w:jc w:val="center"/>
            </w:pPr>
            <w:r>
              <w:t xml:space="preserve">Chin</w:t>
            </w:r>
          </w:p>
        </w:tc>
        <w:tc>
          <w:tcPr/>
          <w:p>
            <w:pPr>
              <w:pStyle w:val="Compact"/>
              <w:jc w:val="center"/>
            </w:pPr>
            <w:r>
              <w:t xml:space="preserve">Paletwa</w:t>
            </w:r>
          </w:p>
        </w:tc>
        <w:tc>
          <w:tcPr/>
          <w:p>
            <w:pPr>
              <w:pStyle w:val="Compact"/>
              <w:jc w:val="center"/>
            </w:pPr>
            <w:r>
              <w:t xml:space="preserve">40,000</w:t>
            </w:r>
          </w:p>
        </w:tc>
        <w:tc>
          <w:tcPr/>
          <w:p>
            <w:pPr>
              <w:pStyle w:val="Compact"/>
              <w:jc w:val="center"/>
            </w:pPr>
            <w:r>
              <w:t xml:space="preserve">9,011</w:t>
            </w:r>
          </w:p>
        </w:tc>
        <w:tc>
          <w:tcPr/>
          <w:p>
            <w:pPr>
              <w:pStyle w:val="Compact"/>
              <w:jc w:val="center"/>
            </w:pPr>
            <w:r>
              <w:t xml:space="preserve">2.48</w:t>
            </w:r>
          </w:p>
        </w:tc>
        <w:tc>
          <w:tcPr/>
          <w:p>
            <w:pPr>
              <w:pStyle w:val="Compact"/>
              <w:jc w:val="center"/>
            </w:pPr>
            <w:r>
              <w:t xml:space="preserve">22.53</w:t>
            </w:r>
          </w:p>
        </w:tc>
      </w:tr>
      <w:tr>
        <w:tc>
          <w:tcPr/>
          <w:p>
            <w:pPr>
              <w:pStyle w:val="Compact"/>
              <w:jc w:val="center"/>
            </w:pPr>
            <w:r>
              <w:t xml:space="preserve">Rakhine</w:t>
            </w:r>
          </w:p>
        </w:tc>
        <w:tc>
          <w:tcPr/>
          <w:p>
            <w:pPr>
              <w:pStyle w:val="Compact"/>
              <w:jc w:val="center"/>
            </w:pPr>
            <w:r>
              <w:t xml:space="preserve">Rathedaung</w:t>
            </w:r>
          </w:p>
        </w:tc>
        <w:tc>
          <w:tcPr/>
          <w:p>
            <w:pPr>
              <w:pStyle w:val="Compact"/>
              <w:jc w:val="center"/>
            </w:pPr>
            <w:r>
              <w:t xml:space="preserve">10,001</w:t>
            </w:r>
          </w:p>
        </w:tc>
        <w:tc>
          <w:tcPr/>
          <w:p>
            <w:pPr>
              <w:pStyle w:val="Compact"/>
              <w:jc w:val="center"/>
            </w:pPr>
            <w:r>
              <w:t xml:space="preserve">4,738</w:t>
            </w:r>
          </w:p>
        </w:tc>
        <w:tc>
          <w:tcPr/>
          <w:p>
            <w:pPr>
              <w:pStyle w:val="Compact"/>
              <w:jc w:val="center"/>
            </w:pPr>
            <w:r>
              <w:t xml:space="preserve">1.3</w:t>
            </w:r>
          </w:p>
        </w:tc>
        <w:tc>
          <w:tcPr/>
          <w:p>
            <w:pPr>
              <w:pStyle w:val="Compact"/>
              <w:jc w:val="center"/>
            </w:pPr>
            <w:r>
              <w:t xml:space="preserve">47.38</w:t>
            </w:r>
          </w:p>
        </w:tc>
      </w:tr>
      <w:tr>
        <w:tc>
          <w:tcPr/>
          <w:p>
            <w:pPr>
              <w:pStyle w:val="Compact"/>
              <w:jc w:val="center"/>
            </w:pPr>
            <w:r>
              <w:t xml:space="preserve">Rakhine</w:t>
            </w:r>
          </w:p>
        </w:tc>
        <w:tc>
          <w:tcPr/>
          <w:p>
            <w:pPr>
              <w:pStyle w:val="Compact"/>
              <w:jc w:val="center"/>
            </w:pPr>
            <w:r>
              <w:t xml:space="preserve">Myebon</w:t>
            </w:r>
          </w:p>
        </w:tc>
        <w:tc>
          <w:tcPr/>
          <w:p>
            <w:pPr>
              <w:pStyle w:val="Compact"/>
              <w:jc w:val="center"/>
            </w:pPr>
            <w:r>
              <w:t xml:space="preserve">0</w:t>
            </w:r>
          </w:p>
        </w:tc>
        <w:tc>
          <w:tcPr/>
          <w:p>
            <w:pPr>
              <w:pStyle w:val="Compact"/>
              <w:jc w:val="center"/>
            </w:pPr>
            <w:r>
              <w:t xml:space="preserve">4,581</w:t>
            </w:r>
          </w:p>
        </w:tc>
        <w:tc>
          <w:tcPr/>
          <w:p>
            <w:pPr>
              <w:pStyle w:val="Compact"/>
              <w:jc w:val="center"/>
            </w:pPr>
            <w:r>
              <w:t xml:space="preserve">1.26</w:t>
            </w:r>
          </w:p>
        </w:tc>
        <w:tc>
          <w:tcPr/>
          <w:p>
            <w:pPr>
              <w:pStyle w:val="Compact"/>
              <w:jc w:val="center"/>
            </w:pPr>
            <w:r>
              <w:t xml:space="preserve">100</w:t>
            </w:r>
          </w:p>
        </w:tc>
      </w:tr>
      <w:tr>
        <w:tc>
          <w:tcPr/>
          <w:p>
            <w:pPr>
              <w:pStyle w:val="Compact"/>
              <w:jc w:val="center"/>
            </w:pPr>
            <w:r>
              <w:t xml:space="preserve">Chin</w:t>
            </w:r>
          </w:p>
        </w:tc>
        <w:tc>
          <w:tcPr/>
          <w:p>
            <w:pPr>
              <w:pStyle w:val="Compact"/>
              <w:jc w:val="center"/>
            </w:pPr>
            <w:r>
              <w:t xml:space="preserve">Mindat</w:t>
            </w:r>
          </w:p>
        </w:tc>
        <w:tc>
          <w:tcPr/>
          <w:p>
            <w:pPr>
              <w:pStyle w:val="Compact"/>
              <w:jc w:val="center"/>
            </w:pPr>
            <w:r>
              <w:t xml:space="preserve">20,000</w:t>
            </w:r>
          </w:p>
        </w:tc>
        <w:tc>
          <w:tcPr/>
          <w:p>
            <w:pPr>
              <w:pStyle w:val="Compact"/>
              <w:jc w:val="center"/>
            </w:pPr>
            <w:r>
              <w:t xml:space="preserve">4,131</w:t>
            </w:r>
          </w:p>
        </w:tc>
        <w:tc>
          <w:tcPr/>
          <w:p>
            <w:pPr>
              <w:pStyle w:val="Compact"/>
              <w:jc w:val="center"/>
            </w:pPr>
            <w:r>
              <w:t xml:space="preserve">1.13</w:t>
            </w:r>
          </w:p>
        </w:tc>
        <w:tc>
          <w:tcPr/>
          <w:p>
            <w:pPr>
              <w:pStyle w:val="Compact"/>
              <w:jc w:val="center"/>
            </w:pPr>
            <w:r>
              <w:t xml:space="preserve">20.66</w:t>
            </w:r>
          </w:p>
        </w:tc>
      </w:tr>
      <w:tr>
        <w:tc>
          <w:tcPr/>
          <w:p>
            <w:pPr>
              <w:pStyle w:val="Compact"/>
              <w:jc w:val="center"/>
            </w:pPr>
            <w:r>
              <w:t xml:space="preserve">Rakhine</w:t>
            </w:r>
          </w:p>
        </w:tc>
        <w:tc>
          <w:tcPr/>
          <w:p>
            <w:pPr>
              <w:pStyle w:val="Compact"/>
              <w:jc w:val="center"/>
            </w:pPr>
            <w:r>
              <w:t xml:space="preserve">Ponnagyun</w:t>
            </w:r>
          </w:p>
        </w:tc>
        <w:tc>
          <w:tcPr/>
          <w:p>
            <w:pPr>
              <w:pStyle w:val="Compact"/>
              <w:jc w:val="center"/>
            </w:pPr>
            <w:r>
              <w:t xml:space="preserve">0</w:t>
            </w:r>
          </w:p>
        </w:tc>
        <w:tc>
          <w:tcPr/>
          <w:p>
            <w:pPr>
              <w:pStyle w:val="Compact"/>
              <w:jc w:val="center"/>
            </w:pPr>
            <w:r>
              <w:t xml:space="preserve">3,742</w:t>
            </w:r>
          </w:p>
        </w:tc>
        <w:tc>
          <w:tcPr/>
          <w:p>
            <w:pPr>
              <w:pStyle w:val="Compact"/>
              <w:jc w:val="center"/>
            </w:pPr>
            <w:r>
              <w:t xml:space="preserve">1.03</w:t>
            </w:r>
          </w:p>
        </w:tc>
        <w:tc>
          <w:tcPr/>
          <w:p>
            <w:pPr>
              <w:pStyle w:val="Compact"/>
              <w:jc w:val="center"/>
            </w:pPr>
            <w:r>
              <w:t xml:space="preserve">100</w:t>
            </w:r>
          </w:p>
        </w:tc>
      </w:tr>
    </w:tbl>
    <w:p>
      <w:pPr>
        <w:pStyle w:val="BodyText"/>
      </w:pPr>
    </w:p>
    <w:bookmarkEnd w:id="28"/>
    <w:bookmarkStart w:id="35" w:name="locations"/>
    <w:p>
      <w:pPr>
        <w:pStyle w:val="Heading3"/>
      </w:pPr>
      <w:r>
        <w:t xml:space="preserve">1.3 Locations</w:t>
      </w:r>
    </w:p>
    <w:p>
      <w:pPr>
        <w:pStyle w:val="FirstParagraph"/>
      </w:pPr>
      <w:r>
        <w:t xml:space="preserve">A location refers to either an village, ward, IDP site or industrial zone.</w:t>
      </w:r>
    </w:p>
    <w:p>
      <w:pPr>
        <w:pStyle w:val="BodyText"/>
      </w:pPr>
      <w:r>
        <w:t xml:space="preserve">This first plot below is a histogram of location, by number of beneficiaries. The vast majority of locations have only one activity occurring within them. This is something to be monitored over the course of the year, as it is assumed that a range of activities are required to comprehensively meet the food security and livelihoods needs of targeted communities. As it currently stands, the response is very broad, with little depth.</w:t>
      </w:r>
    </w:p>
    <w:p>
      <w:pPr>
        <w:pStyle w:val="BodyText"/>
      </w:pPr>
    </w:p>
    <w:p>
      <w:pPr>
        <w:pStyle w:val="BodyText"/>
      </w:pPr>
      <w:r>
        <w:drawing>
          <wp:inline>
            <wp:extent cx="5334000" cy="2370666"/>
            <wp:effectExtent b="0" l="0" r="0" t="0"/>
            <wp:docPr descr="" title="" id="30" name="Picture"/>
            <a:graphic>
              <a:graphicData uri="http://schemas.openxmlformats.org/drawingml/2006/picture">
                <pic:pic>
                  <pic:nvPicPr>
                    <pic:cNvPr descr="fsc_q1_2022_northwest_word_files/figure-docx/facet-locations-activities-1.png" id="31" name="Picture"/>
                    <pic:cNvPicPr>
                      <a:picLocks noChangeArrowheads="1" noChangeAspect="1"/>
                    </pic:cNvPicPr>
                  </pic:nvPicPr>
                  <pic:blipFill>
                    <a:blip r:embed="rId29"/>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This second plot of locations is faceted by the number of partners – this helps us check for potential overlaps. There are quite a large number of locations with 2 partners in them. Locations with multiple partners were from Rakhine, Kachin and Shan (North).</w:t>
      </w:r>
    </w:p>
    <w:p>
      <w:pPr>
        <w:pStyle w:val="BodyText"/>
      </w:pPr>
    </w:p>
    <w:p>
      <w:pPr>
        <w:pStyle w:val="BodyText"/>
      </w:pPr>
      <w:r>
        <w:drawing>
          <wp:inline>
            <wp:extent cx="5334000" cy="2370666"/>
            <wp:effectExtent b="0" l="0" r="0" t="0"/>
            <wp:docPr descr="" title="" id="33" name="Picture"/>
            <a:graphic>
              <a:graphicData uri="http://schemas.openxmlformats.org/drawingml/2006/picture">
                <pic:pic>
                  <pic:nvPicPr>
                    <pic:cNvPr descr="fsc_q1_2022_northwest_word_files/figure-docx/histogram-locations-by-partner-1.png" id="34" name="Picture"/>
                    <pic:cNvPicPr>
                      <a:picLocks noChangeArrowheads="1" noChangeAspect="1"/>
                    </pic:cNvPicPr>
                  </pic:nvPicPr>
                  <pic:blipFill>
                    <a:blip r:embed="rId32"/>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The greatest number of beneficiaries came from urban/peri-urban wards and villages. This runs counter to vulnerability patterns identified by in both the IFPRI Household Welfare Survey and the FAO-WFP Food Security Survey. Both surveys found that rural households were less food secure and less resilient than urban ones.</w:t>
      </w:r>
      <w:r>
        <w:t xml:space="preserve"> </w:t>
      </w:r>
    </w:p>
    <w:p>
      <w:pPr>
        <w:pStyle w:val="BodyText"/>
      </w:pPr>
      <w:r>
        <w:t xml:space="preserve">Breakdown of locations and beneficiaries by context</w:t>
      </w:r>
    </w:p>
    <w:p>
      <w:pPr>
        <w:pStyle w:val="BodyText"/>
      </w:pPr>
      <w:r>
        <w:t xml:space="preserve">rural_or_urban</w:t>
      </w:r>
    </w:p>
    <w:p>
      <w:pPr>
        <w:pStyle w:val="BodyText"/>
      </w:pPr>
      <w:r>
        <w:t xml:space="preserve">location_type</w:t>
      </w:r>
    </w:p>
    <w:p>
      <w:pPr>
        <w:pStyle w:val="BodyText"/>
      </w:pPr>
      <w:r>
        <w:t xml:space="preserve">locations</w:t>
      </w:r>
    </w:p>
    <w:p>
      <w:pPr>
        <w:pStyle w:val="BodyText"/>
      </w:pPr>
      <w:r>
        <w:t xml:space="preserve">beneficiaries</w:t>
      </w:r>
    </w:p>
    <w:p>
      <w:pPr>
        <w:pStyle w:val="BodyText"/>
      </w:pPr>
      <w:r>
        <w:t xml:space="preserve">%_of_ben</w:t>
      </w:r>
    </w:p>
    <w:p>
      <w:pPr>
        <w:pStyle w:val="BodyText"/>
      </w:pPr>
      <w:r>
        <w:t xml:space="preserve">ben_per_location</w:t>
      </w:r>
    </w:p>
    <w:p>
      <w:pPr>
        <w:pStyle w:val="BodyText"/>
      </w:pPr>
      <w:r>
        <w:t xml:space="preserve">Rural</w:t>
      </w:r>
    </w:p>
    <w:p>
      <w:pPr>
        <w:pStyle w:val="BodyText"/>
      </w:pPr>
      <w:r>
        <w:t xml:space="preserve">Camp/IDP site</w:t>
      </w:r>
    </w:p>
    <w:p>
      <w:pPr>
        <w:pStyle w:val="BodyText"/>
      </w:pPr>
      <w:r>
        <w:t xml:space="preserve">225</w:t>
      </w:r>
    </w:p>
    <w:p>
      <w:pPr>
        <w:pStyle w:val="BodyText"/>
      </w:pPr>
      <w:r>
        <w:t xml:space="preserve">116,004</w:t>
      </w:r>
    </w:p>
    <w:p>
      <w:pPr>
        <w:pStyle w:val="BodyText"/>
      </w:pPr>
      <w:r>
        <w:t xml:space="preserve">31.87</w:t>
      </w:r>
    </w:p>
    <w:p>
      <w:pPr>
        <w:pStyle w:val="BodyText"/>
      </w:pPr>
      <w:r>
        <w:t xml:space="preserve">516</w:t>
      </w:r>
    </w:p>
    <w:p>
      <w:pPr>
        <w:pStyle w:val="BodyText"/>
      </w:pPr>
      <w:r>
        <w:t xml:space="preserve">Rural</w:t>
      </w:r>
    </w:p>
    <w:p>
      <w:pPr>
        <w:pStyle w:val="BodyText"/>
      </w:pPr>
      <w:r>
        <w:t xml:space="preserve">Industrial zone</w:t>
      </w:r>
    </w:p>
    <w:p>
      <w:pPr>
        <w:pStyle w:val="BodyText"/>
      </w:pPr>
      <w:r>
        <w:t xml:space="preserve">3</w:t>
      </w:r>
    </w:p>
    <w:p>
      <w:pPr>
        <w:pStyle w:val="BodyText"/>
      </w:pPr>
      <w:r>
        <w:t xml:space="preserve">606</w:t>
      </w:r>
    </w:p>
    <w:p>
      <w:pPr>
        <w:pStyle w:val="BodyText"/>
      </w:pPr>
      <w:r>
        <w:t xml:space="preserve">0.17</w:t>
      </w:r>
    </w:p>
    <w:p>
      <w:pPr>
        <w:pStyle w:val="BodyText"/>
      </w:pPr>
      <w:r>
        <w:t xml:space="preserve">202</w:t>
      </w:r>
    </w:p>
    <w:p>
      <w:pPr>
        <w:pStyle w:val="BodyText"/>
      </w:pPr>
      <w:r>
        <w:t xml:space="preserve">Rural</w:t>
      </w:r>
    </w:p>
    <w:p>
      <w:pPr>
        <w:pStyle w:val="BodyText"/>
      </w:pPr>
      <w:r>
        <w:t xml:space="preserve">Village</w:t>
      </w:r>
    </w:p>
    <w:p>
      <w:pPr>
        <w:pStyle w:val="BodyText"/>
      </w:pPr>
      <w:r>
        <w:t xml:space="preserve">659</w:t>
      </w:r>
    </w:p>
    <w:p>
      <w:pPr>
        <w:pStyle w:val="BodyText"/>
      </w:pPr>
      <w:r>
        <w:t xml:space="preserve">224,370</w:t>
      </w:r>
    </w:p>
    <w:p>
      <w:pPr>
        <w:pStyle w:val="BodyText"/>
      </w:pPr>
      <w:r>
        <w:t xml:space="preserve">61.63</w:t>
      </w:r>
    </w:p>
    <w:p>
      <w:pPr>
        <w:pStyle w:val="BodyText"/>
      </w:pPr>
      <w:r>
        <w:t xml:space="preserve">340</w:t>
      </w:r>
    </w:p>
    <w:p>
      <w:pPr>
        <w:pStyle w:val="BodyText"/>
      </w:pPr>
      <w:r>
        <w:t xml:space="preserve">Urban/Peri-Urban</w:t>
      </w:r>
    </w:p>
    <w:p>
      <w:pPr>
        <w:pStyle w:val="BodyText"/>
      </w:pPr>
      <w:r>
        <w:t xml:space="preserve">Camp/IDP site</w:t>
      </w:r>
    </w:p>
    <w:p>
      <w:pPr>
        <w:pStyle w:val="BodyText"/>
      </w:pPr>
      <w:r>
        <w:t xml:space="preserve">156</w:t>
      </w:r>
    </w:p>
    <w:p>
      <w:pPr>
        <w:pStyle w:val="BodyText"/>
      </w:pPr>
      <w:r>
        <w:t xml:space="preserve">19,458</w:t>
      </w:r>
    </w:p>
    <w:p>
      <w:pPr>
        <w:pStyle w:val="BodyText"/>
      </w:pPr>
      <w:r>
        <w:t xml:space="preserve">5.34</w:t>
      </w:r>
    </w:p>
    <w:p>
      <w:pPr>
        <w:pStyle w:val="BodyText"/>
      </w:pPr>
      <w:r>
        <w:t xml:space="preserve">125</w:t>
      </w:r>
    </w:p>
    <w:p>
      <w:pPr>
        <w:pStyle w:val="BodyText"/>
      </w:pPr>
      <w:r>
        <w:t xml:space="preserve">Urban/Peri-Urban</w:t>
      </w:r>
    </w:p>
    <w:p>
      <w:pPr>
        <w:pStyle w:val="BodyText"/>
      </w:pPr>
      <w:r>
        <w:t xml:space="preserve">Village</w:t>
      </w:r>
    </w:p>
    <w:p>
      <w:pPr>
        <w:pStyle w:val="BodyText"/>
      </w:pPr>
      <w:r>
        <w:t xml:space="preserve">12</w:t>
      </w:r>
    </w:p>
    <w:p>
      <w:pPr>
        <w:pStyle w:val="BodyText"/>
      </w:pPr>
      <w:r>
        <w:t xml:space="preserve">3,606</w:t>
      </w:r>
    </w:p>
    <w:p>
      <w:pPr>
        <w:pStyle w:val="BodyText"/>
      </w:pPr>
      <w:r>
        <w:t xml:space="preserve">0.99</w:t>
      </w:r>
    </w:p>
    <w:p>
      <w:pPr>
        <w:pStyle w:val="BodyText"/>
      </w:pPr>
      <w:r>
        <w:t xml:space="preserve">300</w:t>
      </w:r>
    </w:p>
    <w:p>
      <w:pPr>
        <w:pStyle w:val="BodyText"/>
      </w:pPr>
    </w:p>
    <w:bookmarkEnd w:id="35"/>
    <w:bookmarkEnd w:id="36"/>
    <w:bookmarkStart w:id="52" w:name="activities"/>
    <w:p>
      <w:pPr>
        <w:pStyle w:val="Heading2"/>
      </w:pPr>
      <w:r>
        <w:t xml:space="preserve">2. Activities</w:t>
      </w:r>
    </w:p>
    <w:bookmarkStart w:id="40" w:name="progress-by-activity"/>
    <w:p>
      <w:pPr>
        <w:pStyle w:val="Heading3"/>
      </w:pPr>
      <w:r>
        <w:t xml:space="preserve">2.1 Progress by activity</w:t>
      </w:r>
    </w:p>
    <w:p>
      <w:pPr>
        <w:pStyle w:val="FirstParagraph"/>
      </w:pPr>
      <w:r>
        <w:t xml:space="preserve">The first grey line below shows the the approval of the IERP in June 2021 and the second red line shows the start of 2022.</w:t>
      </w:r>
    </w:p>
    <w:p>
      <w:pPr>
        <w:pStyle w:val="BodyText"/>
      </w:pPr>
    </w:p>
    <w:p>
      <w:pPr>
        <w:pStyle w:val="BodyText"/>
      </w:pPr>
      <w:r>
        <w:drawing>
          <wp:inline>
            <wp:extent cx="5334000" cy="2370666"/>
            <wp:effectExtent b="0" l="0" r="0" t="0"/>
            <wp:docPr descr="" title="" id="38" name="Picture"/>
            <a:graphic>
              <a:graphicData uri="http://schemas.openxmlformats.org/drawingml/2006/picture">
                <pic:pic>
                  <pic:nvPicPr>
                    <pic:cNvPr descr="fsc_q1_2022_northwest_word_files/figure-docx/progress-facet-lineplot-1.png" id="39" name="Picture"/>
                    <pic:cNvPicPr>
                      <a:picLocks noChangeArrowheads="1" noChangeAspect="1"/>
                    </pic:cNvPicPr>
                  </pic:nvPicPr>
                  <pic:blipFill>
                    <a:blip r:embed="rId37"/>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Community infrastructure and equipment, fishery kits and kitchen garden kits have not been implemented in 2022/Q1. Income-generating activities, which were largely stagnant since the approval of the IERP, started to increase again in 2022/Q1. This might be due to the seasonality of the interventions under this category.</w:t>
      </w:r>
    </w:p>
    <w:p>
      <w:pPr>
        <w:pStyle w:val="BodyText"/>
      </w:pPr>
      <w:r>
        <w:t xml:space="preserve">Food distributions (in-kind and CBT/CVA) continued to be the largest activity from 2021 into 2022/Q1. Multi-purpose cash transfers was new activity that was not present in 2021.</w:t>
      </w:r>
    </w:p>
    <w:p>
      <w:pPr>
        <w:pStyle w:val="BodyText"/>
      </w:pPr>
      <w:r>
        <w:t xml:space="preserve">It should, however, be noted that the beneficiaries of food distributions in Yangon were provided with 50kg/household, typically a one-shot intervention. The sustainability of such interventions should be questioned, as, unlike Sagaing, Magway and other conflict-affected states, there are no access restrictions in Yangon preventing the implementation of longer-term livelihoods-focused interventions that would address the core causes of food insecurity.</w:t>
      </w:r>
    </w:p>
    <w:p>
      <w:pPr>
        <w:pStyle w:val="BodyText"/>
      </w:pPr>
    </w:p>
    <w:bookmarkEnd w:id="40"/>
    <w:bookmarkStart w:id="44" w:name="agricultural-and-livelihoods-activities"/>
    <w:p>
      <w:pPr>
        <w:pStyle w:val="Heading3"/>
      </w:pPr>
      <w:r>
        <w:t xml:space="preserve">2.2 Agricultural and livelihoods activities</w:t>
      </w:r>
    </w:p>
    <w:p>
      <w:pPr>
        <w:pStyle w:val="FirstParagraph"/>
      </w:pPr>
      <w:r>
        <w:t xml:space="preserve">Less than 2% of all beneficiary frequencies pertained to agricultural activities. As mentioned earlier, the vast majority of beneficiaries in Q1 2022 were related to food distributions.</w:t>
      </w:r>
    </w:p>
    <w:p>
      <w:pPr>
        <w:pStyle w:val="BodyText"/>
      </w:pPr>
    </w:p>
    <w:p>
      <w:pPr>
        <w:pStyle w:val="TableCaption"/>
      </w:pPr>
      <w:r>
        <w:t xml:space="preserve">Beneficiary frequencies reached by agricultural and non-agricultrural activities</w:t>
      </w:r>
    </w:p>
    <w:tbl>
      <w:tblPr>
        <w:tblStyle w:val="Table"/>
        <w:tblW w:type="pct" w:w="5000"/>
        <w:tblLook w:firstRow="1" w:lastRow="0" w:firstColumn="0" w:lastColumn="0" w:noHBand="0" w:noVBand="0" w:val="0020"/>
        <w:tblCaption w:val="Beneficiary frequencies reached by agricultural and non-agricultrural activities"/>
      </w:tblPr>
      <w:tblGrid>
        <w:gridCol w:w="2112"/>
        <w:gridCol w:w="1408"/>
        <w:gridCol w:w="1584"/>
        <w:gridCol w:w="704"/>
        <w:gridCol w:w="1056"/>
        <w:gridCol w:w="1056"/>
      </w:tblGrid>
      <w:tr>
        <w:trPr>
          <w:tblHeader w:val="true"/>
        </w:trPr>
        <w:tc>
          <w:tcPr/>
          <w:p>
            <w:pPr>
              <w:pStyle w:val="Compact"/>
              <w:jc w:val="center"/>
            </w:pPr>
            <w:r>
              <w:t xml:space="preserve">agricultural_activity</w:t>
            </w:r>
          </w:p>
        </w:tc>
        <w:tc>
          <w:tcPr/>
          <w:p>
            <w:pPr>
              <w:pStyle w:val="Compact"/>
              <w:jc w:val="center"/>
            </w:pPr>
            <w:r>
              <w:t xml:space="preserve">beneficiaries</w:t>
            </w:r>
          </w:p>
        </w:tc>
        <w:tc>
          <w:tcPr/>
          <w:p>
            <w:pPr>
              <w:pStyle w:val="Compact"/>
              <w:jc w:val="center"/>
            </w:pPr>
            <w:r>
              <w:t xml:space="preserve">%_beneficiaries</w:t>
            </w:r>
          </w:p>
        </w:tc>
        <w:tc>
          <w:tcPr/>
          <w:p>
            <w:pPr>
              <w:pStyle w:val="Compact"/>
              <w:jc w:val="center"/>
            </w:pPr>
            <w:r>
              <w:t xml:space="preserve">state</w:t>
            </w:r>
          </w:p>
        </w:tc>
        <w:tc>
          <w:tcPr/>
          <w:p>
            <w:pPr>
              <w:pStyle w:val="Compact"/>
              <w:jc w:val="center"/>
            </w:pPr>
            <w:r>
              <w:t xml:space="preserve">townships</w:t>
            </w:r>
          </w:p>
        </w:tc>
        <w:tc>
          <w:tcPr/>
          <w:p>
            <w:pPr>
              <w:pStyle w:val="Compact"/>
              <w:jc w:val="center"/>
            </w:pPr>
            <w:r>
              <w:t xml:space="preserve">partners</w:t>
            </w:r>
          </w:p>
        </w:tc>
      </w:tr>
      <w:tr>
        <w:tc>
          <w:tcPr/>
          <w:p>
            <w:pPr>
              <w:pStyle w:val="Compact"/>
              <w:jc w:val="center"/>
            </w:pPr>
            <w:r>
              <w:t xml:space="preserve">no</w:t>
            </w:r>
          </w:p>
        </w:tc>
        <w:tc>
          <w:tcPr/>
          <w:p>
            <w:pPr>
              <w:pStyle w:val="Compact"/>
              <w:jc w:val="center"/>
            </w:pPr>
            <w:r>
              <w:t xml:space="preserve">915,867</w:t>
            </w:r>
          </w:p>
        </w:tc>
        <w:tc>
          <w:tcPr/>
          <w:p>
            <w:pPr>
              <w:pStyle w:val="Compact"/>
              <w:jc w:val="center"/>
            </w:pPr>
            <w:r>
              <w:t xml:space="preserve">99.55</w:t>
            </w:r>
          </w:p>
        </w:tc>
        <w:tc>
          <w:tcPr/>
          <w:p>
            <w:pPr>
              <w:pStyle w:val="Compact"/>
              <w:jc w:val="center"/>
            </w:pPr>
            <w:r>
              <w:t xml:space="preserve">3</w:t>
            </w:r>
          </w:p>
        </w:tc>
        <w:tc>
          <w:tcPr/>
          <w:p>
            <w:pPr>
              <w:pStyle w:val="Compact"/>
              <w:jc w:val="center"/>
            </w:pPr>
            <w:r>
              <w:t xml:space="preserve">17</w:t>
            </w:r>
          </w:p>
        </w:tc>
        <w:tc>
          <w:tcPr/>
          <w:p>
            <w:pPr>
              <w:pStyle w:val="Compact"/>
              <w:jc w:val="center"/>
            </w:pPr>
            <w:r>
              <w:t xml:space="preserve">15</w:t>
            </w:r>
          </w:p>
        </w:tc>
      </w:tr>
      <w:tr>
        <w:tc>
          <w:tcPr/>
          <w:p>
            <w:pPr>
              <w:pStyle w:val="Compact"/>
              <w:jc w:val="center"/>
            </w:pPr>
            <w:r>
              <w:t xml:space="preserve">yes</w:t>
            </w:r>
          </w:p>
        </w:tc>
        <w:tc>
          <w:tcPr/>
          <w:p>
            <w:pPr>
              <w:pStyle w:val="Compact"/>
              <w:jc w:val="center"/>
            </w:pPr>
            <w:r>
              <w:t xml:space="preserve">4,181</w:t>
            </w:r>
          </w:p>
        </w:tc>
        <w:tc>
          <w:tcPr/>
          <w:p>
            <w:pPr>
              <w:pStyle w:val="Compact"/>
              <w:jc w:val="center"/>
            </w:pPr>
            <w:r>
              <w:t xml:space="preserve">0.45</w:t>
            </w:r>
          </w:p>
        </w:tc>
        <w:tc>
          <w:tcPr/>
          <w:p>
            <w:pPr>
              <w:pStyle w:val="Compact"/>
              <w:jc w:val="center"/>
            </w:pPr>
            <w:r>
              <w:t xml:space="preserve">2</w:t>
            </w:r>
          </w:p>
        </w:tc>
        <w:tc>
          <w:tcPr/>
          <w:p>
            <w:pPr>
              <w:pStyle w:val="Compact"/>
              <w:jc w:val="center"/>
            </w:pPr>
            <w:r>
              <w:t xml:space="preserve">2</w:t>
            </w:r>
          </w:p>
        </w:tc>
        <w:tc>
          <w:tcPr/>
          <w:p>
            <w:pPr>
              <w:pStyle w:val="Compact"/>
              <w:jc w:val="center"/>
            </w:pPr>
            <w:r>
              <w:t xml:space="preserve">2</w:t>
            </w:r>
          </w:p>
        </w:tc>
      </w:tr>
    </w:tbl>
    <w:p>
      <w:pPr>
        <w:pStyle w:val="BodyText"/>
      </w:pPr>
    </w:p>
    <w:p>
      <w:pPr>
        <w:pStyle w:val="BodyText"/>
      </w:pPr>
      <w:r>
        <w:t xml:space="preserve">Although crop, vegetable and seed kits formed the largest group of agricultural activities, only reached 9,869 households (for a full breakdown by agricultural activity, please refer to the plot below).</w:t>
      </w:r>
    </w:p>
    <w:p>
      <w:pPr>
        <w:pStyle w:val="BodyText"/>
      </w:pPr>
      <w:r>
        <w:t xml:space="preserve">It will be important to review the results from the second quarter in order to see if this pattern changes and agricultural household receive sufficient assistance prior to the main rice planting season which begins in May 2022. Still, the results are not encouraging and agricultural activities have had a very limited reach.</w:t>
      </w:r>
    </w:p>
    <w:p>
      <w:pPr>
        <w:pStyle w:val="BodyText"/>
      </w:pPr>
    </w:p>
    <w:p>
      <w:pPr>
        <w:pStyle w:val="BodyText"/>
      </w:pPr>
      <w:r>
        <w:drawing>
          <wp:inline>
            <wp:extent cx="5334000" cy="2370666"/>
            <wp:effectExtent b="0" l="0" r="0" t="0"/>
            <wp:docPr descr="" title="" id="42" name="Picture"/>
            <a:graphic>
              <a:graphicData uri="http://schemas.openxmlformats.org/drawingml/2006/picture">
                <pic:pic>
                  <pic:nvPicPr>
                    <pic:cNvPr descr="fsc_q1_2022_northwest_word_files/figure-docx/barplot-ag-activities-1.png" id="43" name="Picture"/>
                    <pic:cNvPicPr>
                      <a:picLocks noChangeArrowheads="1" noChangeAspect="1"/>
                    </pic:cNvPicPr>
                  </pic:nvPicPr>
                  <pic:blipFill>
                    <a:blip r:embed="rId41"/>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bookmarkEnd w:id="44"/>
    <w:bookmarkStart w:id="51" w:name="delivery-modalities"/>
    <w:p>
      <w:pPr>
        <w:pStyle w:val="Heading3"/>
      </w:pPr>
      <w:r>
        <w:t xml:space="preserve">2.3 Delivery modalities</w:t>
      </w:r>
    </w:p>
    <w:p>
      <w:pPr>
        <w:pStyle w:val="FirstParagraph"/>
      </w:pPr>
      <w:r>
        <w:t xml:space="preserve">The plots below, faceted by delivery modality, show the breakdown of activities by delivery modality. All activities besides food distribution corresponded to only one type of delivery modality.</w:t>
      </w:r>
    </w:p>
    <w:p>
      <w:pPr>
        <w:pStyle w:val="BodyText"/>
      </w:pPr>
      <w:r>
        <w:rPr>
          <w:rStyle w:val="VerbatimChar"/>
        </w:rPr>
        <w:t xml:space="preserve">summarise()</w:t>
      </w:r>
      <w:r>
        <w:t xml:space="preserve"> </w:t>
      </w:r>
      <w:r>
        <w:t xml:space="preserve">has grouped output by</w:t>
      </w:r>
      <w:r>
        <w:t xml:space="preserve"> </w:t>
      </w:r>
      <w:r>
        <w:t xml:space="preserve">‘</w:t>
      </w:r>
      <w:r>
        <w:t xml:space="preserve">activity_red</w:t>
      </w:r>
      <w:r>
        <w:t xml:space="preserve">’</w:t>
      </w:r>
      <w:r>
        <w:t xml:space="preserve">. You can override using the</w:t>
      </w:r>
      <w:r>
        <w:t xml:space="preserve"> </w:t>
      </w:r>
      <w:r>
        <w:rPr>
          <w:rStyle w:val="VerbatimChar"/>
        </w:rPr>
        <w:t xml:space="preserve">.groups</w:t>
      </w:r>
      <w:r>
        <w:t xml:space="preserve"> </w:t>
      </w:r>
      <w:r>
        <w:t xml:space="preserve">argument.</w:t>
      </w:r>
    </w:p>
    <w:p>
      <w:pPr>
        <w:pStyle w:val="TableCaption"/>
      </w:pPr>
      <w:r>
        <w:t xml:space="preserve">Percentage of beneficiaries reached by activity and delivery modality</w:t>
      </w:r>
    </w:p>
    <w:tbl>
      <w:tblPr>
        <w:tblStyle w:val="Table"/>
        <w:tblW w:type="pct" w:w="5000"/>
        <w:tblLook w:firstRow="1" w:lastRow="0" w:firstColumn="0" w:lastColumn="0" w:noHBand="0" w:noVBand="0" w:val="0020"/>
        <w:tblCaption w:val="Percentage of beneficiaries reached by activity and delivery modality"/>
      </w:tblPr>
      <w:tblGrid>
        <w:gridCol w:w="2640"/>
        <w:gridCol w:w="825"/>
        <w:gridCol w:w="825"/>
        <w:gridCol w:w="742"/>
        <w:gridCol w:w="1567"/>
        <w:gridCol w:w="1320"/>
      </w:tblGrid>
      <w:tr>
        <w:trPr>
          <w:tblHeader w:val="true"/>
        </w:trPr>
        <w:tc>
          <w:tcPr/>
          <w:p>
            <w:pPr>
              <w:pStyle w:val="Compact"/>
              <w:jc w:val="center"/>
            </w:pPr>
            <w:r>
              <w:t xml:space="preserve">Activity</w:t>
            </w:r>
          </w:p>
        </w:tc>
        <w:tc>
          <w:tcPr/>
          <w:p>
            <w:pPr>
              <w:pStyle w:val="Compact"/>
              <w:jc w:val="center"/>
            </w:pPr>
            <w:r>
              <w:t xml:space="preserve">In-kind</w:t>
            </w:r>
          </w:p>
        </w:tc>
        <w:tc>
          <w:tcPr/>
          <w:p>
            <w:pPr>
              <w:pStyle w:val="Compact"/>
              <w:jc w:val="center"/>
            </w:pPr>
            <w:r>
              <w:t xml:space="preserve">CBT/CVA</w:t>
            </w:r>
          </w:p>
        </w:tc>
        <w:tc>
          <w:tcPr/>
          <w:p>
            <w:pPr>
              <w:pStyle w:val="Compact"/>
              <w:jc w:val="center"/>
            </w:pPr>
            <w:r>
              <w:t xml:space="preserve">Hybrid</w:t>
            </w:r>
          </w:p>
        </w:tc>
        <w:tc>
          <w:tcPr/>
          <w:p>
            <w:pPr>
              <w:pStyle w:val="Compact"/>
              <w:jc w:val="center"/>
            </w:pPr>
            <w:r>
              <w:t xml:space="preserve">Service delivery</w:t>
            </w:r>
          </w:p>
        </w:tc>
        <w:tc>
          <w:tcPr/>
          <w:p>
            <w:pPr>
              <w:pStyle w:val="Compact"/>
              <w:jc w:val="center"/>
            </w:pPr>
            <w:r>
              <w:t xml:space="preserve">Beneficiaries</w:t>
            </w:r>
          </w:p>
        </w:tc>
      </w:tr>
      <w:tr>
        <w:tc>
          <w:tcPr/>
          <w:p>
            <w:pPr>
              <w:pStyle w:val="Compact"/>
              <w:jc w:val="center"/>
            </w:pPr>
            <w:r>
              <w:t xml:space="preserve">food distribution</w:t>
            </w:r>
          </w:p>
        </w:tc>
        <w:tc>
          <w:tcPr/>
          <w:p>
            <w:pPr>
              <w:pStyle w:val="Compact"/>
              <w:jc w:val="center"/>
            </w:pPr>
            <w:r>
              <w:t xml:space="preserve">47.2%</w:t>
            </w:r>
          </w:p>
        </w:tc>
        <w:tc>
          <w:tcPr/>
          <w:p>
            <w:pPr>
              <w:pStyle w:val="Compact"/>
              <w:jc w:val="center"/>
            </w:pPr>
            <w:r>
              <w:t xml:space="preserve">43.7%</w:t>
            </w:r>
          </w:p>
        </w:tc>
        <w:tc>
          <w:tcPr/>
          <w:p>
            <w:pPr>
              <w:pStyle w:val="Compact"/>
              <w:jc w:val="center"/>
            </w:pPr>
            <w:r>
              <w:t xml:space="preserve">9.1%</w:t>
            </w:r>
          </w:p>
        </w:tc>
        <w:tc>
          <w:tcPr/>
          <w:p>
            <w:pPr>
              <w:pStyle w:val="Compact"/>
              <w:jc w:val="center"/>
            </w:pPr>
            <w:r>
              <w:t xml:space="preserve">NA</w:t>
            </w:r>
          </w:p>
        </w:tc>
        <w:tc>
          <w:tcPr/>
          <w:p>
            <w:pPr>
              <w:pStyle w:val="Compact"/>
              <w:jc w:val="center"/>
            </w:pPr>
            <w:r>
              <w:t xml:space="preserve">352,476</w:t>
            </w:r>
          </w:p>
        </w:tc>
      </w:tr>
      <w:tr>
        <w:tc>
          <w:tcPr/>
          <w:p>
            <w:pPr>
              <w:pStyle w:val="Compact"/>
              <w:jc w:val="center"/>
            </w:pPr>
            <w:r>
              <w:t xml:space="preserve">food_cash for work_assets</w:t>
            </w:r>
          </w:p>
        </w:tc>
        <w:tc>
          <w:tcPr/>
          <w:p>
            <w:pPr>
              <w:pStyle w:val="Compact"/>
              <w:jc w:val="center"/>
            </w:pPr>
            <w:r>
              <w:t xml:space="preserve">NA</w:t>
            </w:r>
          </w:p>
        </w:tc>
        <w:tc>
          <w:tcPr/>
          <w:p>
            <w:pPr>
              <w:pStyle w:val="Compact"/>
              <w:jc w:val="center"/>
            </w:pPr>
            <w:r>
              <w:t xml:space="preserve">100.0%</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6,881</w:t>
            </w:r>
          </w:p>
        </w:tc>
      </w:tr>
      <w:tr>
        <w:tc>
          <w:tcPr/>
          <w:p>
            <w:pPr>
              <w:pStyle w:val="Compact"/>
              <w:jc w:val="center"/>
            </w:pPr>
            <w:r>
              <w:t xml:space="preserve">crop, vegetable and seed kits</w:t>
            </w:r>
          </w:p>
        </w:tc>
        <w:tc>
          <w:tcPr/>
          <w:p>
            <w:pPr>
              <w:pStyle w:val="Compact"/>
              <w:jc w:val="center"/>
            </w:pPr>
            <w:r>
              <w:t xml:space="preserve">100.0%</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4,131</w:t>
            </w:r>
          </w:p>
        </w:tc>
      </w:tr>
      <w:tr>
        <w:tc>
          <w:tcPr/>
          <w:p>
            <w:pPr>
              <w:pStyle w:val="Compact"/>
              <w:jc w:val="center"/>
            </w:pPr>
            <w:r>
              <w:t xml:space="preserve">vocational training</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100.0%</w:t>
            </w:r>
          </w:p>
        </w:tc>
        <w:tc>
          <w:tcPr/>
          <w:p>
            <w:pPr>
              <w:pStyle w:val="Compact"/>
              <w:jc w:val="center"/>
            </w:pPr>
            <w:r>
              <w:t xml:space="preserve">296</w:t>
            </w:r>
          </w:p>
        </w:tc>
      </w:tr>
      <w:tr>
        <w:tc>
          <w:tcPr/>
          <w:p>
            <w:pPr>
              <w:pStyle w:val="Compact"/>
              <w:jc w:val="center"/>
            </w:pPr>
            <w:r>
              <w:t xml:space="preserve">multi-purpose cash transfer</w:t>
            </w:r>
          </w:p>
        </w:tc>
        <w:tc>
          <w:tcPr/>
          <w:p>
            <w:pPr>
              <w:pStyle w:val="Compact"/>
              <w:jc w:val="center"/>
            </w:pPr>
            <w:r>
              <w:t xml:space="preserve">NA</w:t>
            </w:r>
          </w:p>
        </w:tc>
        <w:tc>
          <w:tcPr/>
          <w:p>
            <w:pPr>
              <w:pStyle w:val="Compact"/>
              <w:jc w:val="center"/>
            </w:pPr>
            <w:r>
              <w:t xml:space="preserve">100.0%</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210</w:t>
            </w:r>
          </w:p>
        </w:tc>
      </w:tr>
      <w:tr>
        <w:tc>
          <w:tcPr/>
          <w:p>
            <w:pPr>
              <w:pStyle w:val="Compact"/>
              <w:jc w:val="center"/>
            </w:pPr>
            <w:r>
              <w:t xml:space="preserve">livestock kits</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100.0%</w:t>
            </w:r>
          </w:p>
        </w:tc>
        <w:tc>
          <w:tcPr/>
          <w:p>
            <w:pPr>
              <w:pStyle w:val="Compact"/>
              <w:jc w:val="center"/>
            </w:pPr>
            <w:r>
              <w:t xml:space="preserve">NA</w:t>
            </w:r>
          </w:p>
        </w:tc>
        <w:tc>
          <w:tcPr/>
          <w:p>
            <w:pPr>
              <w:pStyle w:val="Compact"/>
              <w:jc w:val="center"/>
            </w:pPr>
            <w:r>
              <w:t xml:space="preserve">50</w:t>
            </w:r>
          </w:p>
        </w:tc>
      </w:tr>
    </w:tbl>
    <w:p>
      <w:pPr>
        <w:pStyle w:val="BodyText"/>
      </w:pPr>
    </w:p>
    <w:p>
      <w:pPr>
        <w:pStyle w:val="BodyText"/>
      </w:pPr>
      <w:r>
        <w:t xml:space="preserve">There are also clear differences between the different location types and the delivery modalities employed with them. Rural areas were predominated by in-kind distributions whilst camps and IDP sites were mostly targeted with cash-based interventions.</w:t>
      </w:r>
    </w:p>
    <w:p>
      <w:pPr>
        <w:pStyle w:val="BodyText"/>
      </w:pPr>
    </w:p>
    <w:p>
      <w:pPr>
        <w:pStyle w:val="BodyText"/>
      </w:pPr>
      <w:r>
        <w:drawing>
          <wp:inline>
            <wp:extent cx="5334000" cy="2370666"/>
            <wp:effectExtent b="0" l="0" r="0" t="0"/>
            <wp:docPr descr="" title="" id="46" name="Picture"/>
            <a:graphic>
              <a:graphicData uri="http://schemas.openxmlformats.org/drawingml/2006/picture">
                <pic:pic>
                  <pic:nvPicPr>
                    <pic:cNvPr descr="fsc_q1_2022_northwest_word_files/figure-docx/facet-location-1.png" id="47" name="Picture"/>
                    <pic:cNvPicPr>
                      <a:picLocks noChangeArrowheads="1" noChangeAspect="1"/>
                    </pic:cNvPicPr>
                  </pic:nvPicPr>
                  <pic:blipFill>
                    <a:blip r:embed="rId45"/>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This would perhaps imply that partners believe that markets were more accessible from camps and IDP sites than rural areas; this is certainly a possibility for the longer-standing and more developed camps. Other alternative assumptions include donor preferences and logistical challenges in bringing in-kind goods to camps and IDP sites. This remains a question to be explored by the broader Food Security Cluster.</w:t>
      </w:r>
    </w:p>
    <w:p>
      <w:pPr>
        <w:pStyle w:val="BodyText"/>
      </w:pPr>
      <w:r>
        <w:t xml:space="preserve">Below is a breakdown of percentage of beneficiaries reached by the different delivery modalities, by state.</w:t>
      </w:r>
    </w:p>
    <w:p>
      <w:pPr>
        <w:pStyle w:val="BodyText"/>
      </w:pPr>
    </w:p>
    <w:p>
      <w:pPr>
        <w:pStyle w:val="BodyText"/>
      </w:pPr>
      <w:r>
        <w:drawing>
          <wp:inline>
            <wp:extent cx="5334000" cy="2370666"/>
            <wp:effectExtent b="0" l="0" r="0" t="0"/>
            <wp:docPr descr="" title="" id="49" name="Picture"/>
            <a:graphic>
              <a:graphicData uri="http://schemas.openxmlformats.org/drawingml/2006/picture">
                <pic:pic>
                  <pic:nvPicPr>
                    <pic:cNvPr descr="fsc_q1_2022_northwest_word_files/figure-docx/delivery-modalities-stacked-bar-1.png" id="50" name="Picture"/>
                    <pic:cNvPicPr>
                      <a:picLocks noChangeArrowheads="1" noChangeAspect="1"/>
                    </pic:cNvPicPr>
                  </pic:nvPicPr>
                  <pic:blipFill>
                    <a:blip r:embed="rId48"/>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bookmarkEnd w:id="51"/>
    <w:bookmarkEnd w:id="52"/>
    <w:bookmarkStart w:id="75" w:name="cash-based-programming"/>
    <w:p>
      <w:pPr>
        <w:pStyle w:val="Heading2"/>
      </w:pPr>
      <w:r>
        <w:t xml:space="preserve">3. Cash-based programming</w:t>
      </w:r>
    </w:p>
    <w:bookmarkStart w:id="56" w:name="cash-transfer-values-per-household"/>
    <w:p>
      <w:pPr>
        <w:pStyle w:val="Heading3"/>
      </w:pPr>
      <w:r>
        <w:t xml:space="preserve">3.1 Cash transfer values per household</w:t>
      </w:r>
    </w:p>
    <w:p>
      <w:pPr>
        <w:pStyle w:val="FirstParagraph"/>
      </w:pPr>
      <w:r>
        <w:drawing>
          <wp:inline>
            <wp:extent cx="5334000" cy="3556000"/>
            <wp:effectExtent b="0" l="0" r="0" t="0"/>
            <wp:docPr descr="" title="" id="54" name="Picture"/>
            <a:graphic>
              <a:graphicData uri="http://schemas.openxmlformats.org/drawingml/2006/picture">
                <pic:pic>
                  <pic:nvPicPr>
                    <pic:cNvPr descr="fsc_q1_2022_northwest_word_files/figure-docx/usd-hhd-bin-barplot-1.png" id="55" name="Picture"/>
                    <pic:cNvPicPr>
                      <a:picLocks noChangeArrowheads="1" noChangeAspect="1"/>
                    </pic:cNvPicPr>
                  </pic:nvPicPr>
                  <pic:blipFill>
                    <a:blip r:embed="rId53"/>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p>
    <w:p>
      <w:pPr>
        <w:pStyle w:val="BodyText"/>
      </w:pPr>
      <w:r>
        <w:t xml:space="preserve">46% of households received less than USD 40/month per transfer. However, the most common transfer values were between USD 40/month and USD 70/month, with 47% of households receiving transfers in this range. This aligns fairly well with 50% of the Minimum Expenditure Basket for food expenditures (USD 52.28/household/month). It should be noted, however that the value of the Minimum Expenditure Basket (calculated for 2021) needs to be revised as the Food Security Cluster anticipates 40% inflation in 2022.</w:t>
      </w:r>
    </w:p>
    <w:p>
      <w:pPr>
        <w:pStyle w:val="BodyText"/>
      </w:pPr>
      <w:r>
        <w:t xml:space="preserve">The table below shows the average USD values per transfer per household by and total transfer values per activity in the first quarter of 2022.</w:t>
      </w:r>
    </w:p>
    <w:p>
      <w:pPr>
        <w:pStyle w:val="TableCaption"/>
      </w:pPr>
      <w:r>
        <w:t xml:space="preserve">Only households which were reached by cash, hybrid or voucher modalities are included</w:t>
      </w:r>
    </w:p>
    <w:tbl>
      <w:tblPr>
        <w:tblStyle w:val="Table"/>
        <w:tblW w:type="pct" w:w="5000"/>
        <w:tblLook w:firstRow="1" w:lastRow="0" w:firstColumn="0" w:lastColumn="0" w:noHBand="0" w:noVBand="0" w:val="0020"/>
        <w:tblCaption w:val="Only households which were reached by cash, hybrid or voucher modalities are included"/>
      </w:tblPr>
      <w:tblGrid>
        <w:gridCol w:w="2731"/>
        <w:gridCol w:w="1638"/>
        <w:gridCol w:w="1638"/>
        <w:gridCol w:w="1911"/>
      </w:tblGrid>
      <w:tr>
        <w:trPr>
          <w:tblHeader w:val="true"/>
        </w:trPr>
        <w:tc>
          <w:tcPr/>
          <w:p>
            <w:pPr>
              <w:pStyle w:val="Compact"/>
              <w:jc w:val="center"/>
            </w:pPr>
            <w:r>
              <w:t xml:space="preserve">activity</w:t>
            </w:r>
          </w:p>
        </w:tc>
        <w:tc>
          <w:tcPr/>
          <w:p>
            <w:pPr>
              <w:pStyle w:val="Compact"/>
              <w:jc w:val="center"/>
            </w:pPr>
            <w:r>
              <w:t xml:space="preserve">hhd_frequencies</w:t>
            </w:r>
          </w:p>
        </w:tc>
        <w:tc>
          <w:tcPr/>
          <w:p>
            <w:pPr>
              <w:pStyle w:val="Compact"/>
              <w:jc w:val="center"/>
            </w:pPr>
            <w:r>
              <w:t xml:space="preserve">total_value_usd</w:t>
            </w:r>
          </w:p>
        </w:tc>
        <w:tc>
          <w:tcPr/>
          <w:p>
            <w:pPr>
              <w:pStyle w:val="Compact"/>
              <w:jc w:val="center"/>
            </w:pPr>
            <w:r>
              <w:t xml:space="preserve">avg_transfer_value</w:t>
            </w:r>
          </w:p>
        </w:tc>
      </w:tr>
      <w:tr>
        <w:tc>
          <w:tcPr/>
          <w:p>
            <w:pPr>
              <w:pStyle w:val="Compact"/>
              <w:jc w:val="center"/>
            </w:pPr>
            <w:r>
              <w:t xml:space="preserve">livestock kits</w:t>
            </w:r>
          </w:p>
        </w:tc>
        <w:tc>
          <w:tcPr/>
          <w:p>
            <w:pPr>
              <w:pStyle w:val="Compact"/>
              <w:jc w:val="center"/>
            </w:pPr>
            <w:r>
              <w:t xml:space="preserve">50</w:t>
            </w:r>
          </w:p>
        </w:tc>
        <w:tc>
          <w:tcPr/>
          <w:p>
            <w:pPr>
              <w:pStyle w:val="Compact"/>
              <w:jc w:val="center"/>
            </w:pPr>
            <w:r>
              <w:t xml:space="preserve">5,631</w:t>
            </w:r>
          </w:p>
        </w:tc>
        <w:tc>
          <w:tcPr/>
          <w:p>
            <w:pPr>
              <w:pStyle w:val="Compact"/>
              <w:jc w:val="center"/>
            </w:pPr>
            <w:r>
              <w:t xml:space="preserve">112.6</w:t>
            </w:r>
          </w:p>
        </w:tc>
      </w:tr>
      <w:tr>
        <w:tc>
          <w:tcPr/>
          <w:p>
            <w:pPr>
              <w:pStyle w:val="Compact"/>
              <w:jc w:val="center"/>
            </w:pPr>
            <w:r>
              <w:t xml:space="preserve">food_cash for work_assets</w:t>
            </w:r>
          </w:p>
        </w:tc>
        <w:tc>
          <w:tcPr/>
          <w:p>
            <w:pPr>
              <w:pStyle w:val="Compact"/>
              <w:jc w:val="center"/>
            </w:pPr>
            <w:r>
              <w:t xml:space="preserve">1,914</w:t>
            </w:r>
          </w:p>
        </w:tc>
        <w:tc>
          <w:tcPr/>
          <w:p>
            <w:pPr>
              <w:pStyle w:val="Compact"/>
              <w:jc w:val="center"/>
            </w:pPr>
            <w:r>
              <w:t xml:space="preserve">109,673</w:t>
            </w:r>
          </w:p>
        </w:tc>
        <w:tc>
          <w:tcPr/>
          <w:p>
            <w:pPr>
              <w:pStyle w:val="Compact"/>
              <w:jc w:val="center"/>
            </w:pPr>
            <w:r>
              <w:t xml:space="preserve">57.3</w:t>
            </w:r>
          </w:p>
        </w:tc>
      </w:tr>
      <w:tr>
        <w:tc>
          <w:tcPr/>
          <w:p>
            <w:pPr>
              <w:pStyle w:val="Compact"/>
              <w:jc w:val="center"/>
            </w:pPr>
            <w:r>
              <w:t xml:space="preserve">food distribution</w:t>
            </w:r>
          </w:p>
        </w:tc>
        <w:tc>
          <w:tcPr/>
          <w:p>
            <w:pPr>
              <w:pStyle w:val="Compact"/>
              <w:jc w:val="center"/>
            </w:pPr>
            <w:r>
              <w:t xml:space="preserve">119,297</w:t>
            </w:r>
          </w:p>
        </w:tc>
        <w:tc>
          <w:tcPr/>
          <w:p>
            <w:pPr>
              <w:pStyle w:val="Compact"/>
              <w:jc w:val="center"/>
            </w:pPr>
            <w:r>
              <w:t xml:space="preserve">4,588,318</w:t>
            </w:r>
          </w:p>
        </w:tc>
        <w:tc>
          <w:tcPr/>
          <w:p>
            <w:pPr>
              <w:pStyle w:val="Compact"/>
              <w:jc w:val="center"/>
            </w:pPr>
            <w:r>
              <w:t xml:space="preserve">38.46</w:t>
            </w:r>
          </w:p>
        </w:tc>
      </w:tr>
      <w:tr>
        <w:tc>
          <w:tcPr/>
          <w:p>
            <w:pPr>
              <w:pStyle w:val="Compact"/>
              <w:jc w:val="center"/>
            </w:pPr>
            <w:r>
              <w:t xml:space="preserve">multi-purpose cash transfer</w:t>
            </w:r>
          </w:p>
        </w:tc>
        <w:tc>
          <w:tcPr/>
          <w:p>
            <w:pPr>
              <w:pStyle w:val="Compact"/>
              <w:jc w:val="center"/>
            </w:pPr>
            <w:r>
              <w:t xml:space="preserve">210</w:t>
            </w:r>
          </w:p>
        </w:tc>
        <w:tc>
          <w:tcPr/>
          <w:p>
            <w:pPr>
              <w:pStyle w:val="Compact"/>
              <w:jc w:val="center"/>
            </w:pPr>
            <w:r>
              <w:t xml:space="preserve">7,095</w:t>
            </w:r>
          </w:p>
        </w:tc>
        <w:tc>
          <w:tcPr/>
          <w:p>
            <w:pPr>
              <w:pStyle w:val="Compact"/>
              <w:jc w:val="center"/>
            </w:pPr>
            <w:r>
              <w:t xml:space="preserve">33.79</w:t>
            </w:r>
          </w:p>
        </w:tc>
      </w:tr>
    </w:tbl>
    <w:p>
      <w:pPr>
        <w:pStyle w:val="BodyText"/>
      </w:pPr>
    </w:p>
    <w:bookmarkEnd w:id="56"/>
    <w:bookmarkStart w:id="60" w:name="Xd77fc4f8916bba1c5d2ed7e3ee2be03e921980d"/>
    <w:p>
      <w:pPr>
        <w:pStyle w:val="Heading3"/>
      </w:pPr>
      <w:r>
        <w:t xml:space="preserve">3.2 Cash transfer values by implementing partner</w:t>
      </w:r>
    </w:p>
    <w:p>
      <w:pPr>
        <w:pStyle w:val="FirstParagraph"/>
      </w:pPr>
      <w:r>
        <w:t xml:space="preserve">The plots below show average cash transfer values by activity of the partners who reached the most beneficiaries.</w:t>
      </w:r>
    </w:p>
    <w:p>
      <w:pPr>
        <w:pStyle w:val="BodyText"/>
      </w:pPr>
      <w:r>
        <w:t xml:space="preserve">The x-axis shows the average value per person or per household, depending on the activity and the colour indicates the number of beneficiaries reached.</w:t>
      </w:r>
    </w:p>
    <w:p>
      <w:pPr>
        <w:pStyle w:val="BodyText"/>
      </w:pPr>
    </w:p>
    <w:p>
      <w:pPr>
        <w:pStyle w:val="BodyText"/>
      </w:pPr>
      <w:r>
        <w:drawing>
          <wp:inline>
            <wp:extent cx="5334000" cy="3852333"/>
            <wp:effectExtent b="0" l="0" r="0" t="0"/>
            <wp:docPr descr="" title="" id="58" name="Picture"/>
            <a:graphic>
              <a:graphicData uri="http://schemas.openxmlformats.org/drawingml/2006/picture">
                <pic:pic>
                  <pic:nvPicPr>
                    <pic:cNvPr descr="fsc_q1_2022_northwest_word_files/figure-docx/partner-cash-values-1.png" id="59" name="Picture"/>
                    <pic:cNvPicPr>
                      <a:picLocks noChangeArrowheads="1" noChangeAspect="1"/>
                    </pic:cNvPicPr>
                  </pic:nvPicPr>
                  <pic:blipFill>
                    <a:blip r:embed="rId57"/>
                    <a:stretch>
                      <a:fillRect/>
                    </a:stretch>
                  </pic:blipFill>
                  <pic:spPr bwMode="auto">
                    <a:xfrm>
                      <a:off x="0" y="0"/>
                      <a:ext cx="5334000" cy="3852333"/>
                    </a:xfrm>
                    <a:prstGeom prst="rect">
                      <a:avLst/>
                    </a:prstGeom>
                    <a:noFill/>
                    <a:ln w="9525">
                      <a:noFill/>
                      <a:headEnd/>
                      <a:tailEnd/>
                    </a:ln>
                  </pic:spPr>
                </pic:pic>
              </a:graphicData>
            </a:graphic>
          </wp:inline>
        </w:drawing>
      </w:r>
    </w:p>
    <w:p>
      <w:pPr>
        <w:pStyle w:val="BodyText"/>
      </w:pPr>
    </w:p>
    <w:bookmarkEnd w:id="60"/>
    <w:bookmarkStart w:id="67" w:name="cash-transfer-values-per-person"/>
    <w:p>
      <w:pPr>
        <w:pStyle w:val="Heading3"/>
      </w:pPr>
      <w:r>
        <w:t xml:space="preserve">3.3 Cash transfer values per person</w:t>
      </w:r>
    </w:p>
    <w:p>
      <w:pPr>
        <w:pStyle w:val="FirstParagraph"/>
      </w:pPr>
      <w:r>
        <w:t xml:space="preserve">The boxplots above shows the range of cash transfer values (all values are per person, to facilitate comparability) by activity. The average for reach activity is marked by the thick line in the middle of each box. The leftmost and rightmost side of each box indicate the 25th and 75th percentile of transfer values, respectively. The length of each box is a gauge for how much variation there is in the transfer values of each activity.</w:t>
      </w:r>
    </w:p>
    <w:p>
      <w:pPr>
        <w:pStyle w:val="BodyText"/>
      </w:pPr>
    </w:p>
    <w:p>
      <w:pPr>
        <w:pStyle w:val="BodyText"/>
      </w:pPr>
      <w:r>
        <w:drawing>
          <wp:inline>
            <wp:extent cx="5334000" cy="2370666"/>
            <wp:effectExtent b="0" l="0" r="0" t="0"/>
            <wp:docPr descr="" title="" id="62" name="Picture"/>
            <a:graphic>
              <a:graphicData uri="http://schemas.openxmlformats.org/drawingml/2006/picture">
                <pic:pic>
                  <pic:nvPicPr>
                    <pic:cNvPr descr="fsc_q1_2022_northwest_word_files/figure-docx/boxplot-activity-usd-per-person-1.png" id="63" name="Picture"/>
                    <pic:cNvPicPr>
                      <a:picLocks noChangeArrowheads="1" noChangeAspect="1"/>
                    </pic:cNvPicPr>
                  </pic:nvPicPr>
                  <pic:blipFill>
                    <a:blip r:embed="rId61"/>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Additionally, each of the bubbles indicate an individual distribution, with their position along the x-axis showing the USD per person value of the distribution and the size of each bubble indicates the number of beneficiaries reached.</w:t>
      </w:r>
    </w:p>
    <w:p>
      <w:pPr>
        <w:pStyle w:val="BodyText"/>
      </w:pPr>
      <w:r>
        <w:t xml:space="preserve">Despite being the activity which reached the most beneficiaries, food distributions have one of the tightest ranges of transfer values, though, as will be explored further in the plot below and in the next section, there are substantial outliers.</w:t>
      </w:r>
    </w:p>
    <w:p>
      <w:pPr>
        <w:pStyle w:val="BodyText"/>
      </w:pPr>
      <w:r>
        <w:t xml:space="preserve">In the interactive scatterplot below, the x-axis indicates the number of beneficiaries reached and the y-axis indicates the per person value of each transfer. Each point is a distribution and the size of each point indicates the number of beneficiaries reached. More details about each distribution can be seen by hovering your cursor over each point.</w:t>
      </w:r>
    </w:p>
    <w:p>
      <w:pPr>
        <w:pStyle w:val="BodyText"/>
      </w:pPr>
    </w:p>
    <w:p>
      <w:pPr>
        <w:pStyle w:val="BodyText"/>
      </w:pPr>
      <w:r>
        <w:drawing>
          <wp:inline>
            <wp:extent cx="5334000" cy="2370666"/>
            <wp:effectExtent b="0" l="0" r="0" t="0"/>
            <wp:docPr descr="" title="" id="65" name="Picture"/>
            <a:graphic>
              <a:graphicData uri="http://schemas.openxmlformats.org/drawingml/2006/picture">
                <pic:pic>
                  <pic:nvPicPr>
                    <pic:cNvPr descr="fsc_q1_2022_northwest_word_files/figure-docx/plotly-transfer-value-scatter-1.png" id="66" name="Picture"/>
                    <pic:cNvPicPr>
                      <a:picLocks noChangeArrowheads="1" noChangeAspect="1"/>
                    </pic:cNvPicPr>
                  </pic:nvPicPr>
                  <pic:blipFill>
                    <a:blip r:embed="rId64"/>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Food for work/cash for assets and multi-purpose cash transfers had the largest dispersions in the values of their transfers. For food for work/cash for assets, there is one cluster largely below USD 5/person in Sagaing and another of between USD 30 and USD 60 per person in Kachin and Shan North.</w:t>
      </w:r>
    </w:p>
    <w:p>
      <w:pPr>
        <w:pStyle w:val="BodyText"/>
      </w:pPr>
      <w:r>
        <w:t xml:space="preserve">As mentioned, food distributions had the tightest range of transfer values, with the vast majority of distributions falling just below USD 10/person. However, it has outlying values that reached very large groups of beneficiaries. This will be explored in the next section.</w:t>
      </w:r>
    </w:p>
    <w:p>
      <w:pPr>
        <w:pStyle w:val="BodyText"/>
      </w:pPr>
    </w:p>
    <w:bookmarkEnd w:id="67"/>
    <w:bookmarkStart w:id="74" w:name="a-closer-look-at-food-distributions"/>
    <w:p>
      <w:pPr>
        <w:pStyle w:val="Heading3"/>
      </w:pPr>
      <w:r>
        <w:t xml:space="preserve">3.4 A closer look at food distributions</w:t>
      </w:r>
    </w:p>
    <w:p>
      <w:pPr>
        <w:pStyle w:val="FirstParagraph"/>
      </w:pPr>
      <w:r>
        <w:t xml:space="preserve">The interactive plot below breaks down the range of USD per person cash transfer values by state. Similar to the plot above, each point is a distribution and more details about each distribution can be seen by hovering your mouse over each point.</w:t>
      </w:r>
    </w:p>
    <w:p>
      <w:pPr>
        <w:pStyle w:val="BodyText"/>
      </w:pPr>
      <w:r>
        <w:t xml:space="preserve">The red line indicates 50% of the monthly expenditure basket (MEB) for food (divided by 5 to get the figure per person). The vast majority of transfers fall below this value.</w:t>
      </w:r>
    </w:p>
    <w:p>
      <w:pPr>
        <w:pStyle w:val="BodyText"/>
      </w:pPr>
    </w:p>
    <w:p>
      <w:pPr>
        <w:pStyle w:val="BodyText"/>
      </w:pPr>
      <w:r>
        <w:drawing>
          <wp:inline>
            <wp:extent cx="5334000" cy="2370666"/>
            <wp:effectExtent b="0" l="0" r="0" t="0"/>
            <wp:docPr descr="" title="" id="69" name="Picture"/>
            <a:graphic>
              <a:graphicData uri="http://schemas.openxmlformats.org/drawingml/2006/picture">
                <pic:pic>
                  <pic:nvPicPr>
                    <pic:cNvPr descr="fsc_q1_2022_northwest_word_files/figure-docx/plotly-food-dist-range-1.png" id="70" name="Picture"/>
                    <pic:cNvPicPr>
                      <a:picLocks noChangeArrowheads="1" noChangeAspect="1"/>
                    </pic:cNvPicPr>
                  </pic:nvPicPr>
                  <pic:blipFill>
                    <a:blip r:embed="rId68"/>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Kachin and Shan notably have several extreme outliers much higher than the average for that state. Kayin, however, has a very large number of beneficiaries who received less the USD 1/person. Distributions in Chin had very consistent values as they were all implemented by the same implementing partner.</w:t>
      </w:r>
    </w:p>
    <w:p>
      <w:pPr>
        <w:pStyle w:val="BodyText"/>
      </w:pPr>
      <w:r>
        <w:t xml:space="preserve">The table below compares the different bins for cash transfer values of food distributions with the minimum expenditure basket for food established by the Cash Working Group. They have established a floor of MMK 190,555 (or USD 114.55).</w:t>
      </w:r>
    </w:p>
    <w:p>
      <w:pPr>
        <w:pStyle w:val="BodyText"/>
      </w:pPr>
      <w:r>
        <w:t xml:space="preserve">Overall, 1.44% of food distribution beneficiaries have received at least 100% of the MEB and 10.05% have received at least 50% of the MEB.</w:t>
      </w:r>
    </w:p>
    <w:p>
      <w:pPr>
        <w:pStyle w:val="TableCaption"/>
      </w:pPr>
      <w:r>
        <w:t xml:space="preserve">Monthly cash-based transfer values by percentage of MEB received</w:t>
      </w:r>
      <w:r>
        <w:t xml:space="preserve"> </w:t>
      </w:r>
    </w:p>
    <w:tbl>
      <w:tblPr>
        <w:tblStyle w:val="Table"/>
        <w:tblW w:type="pct" w:w="5000"/>
        <w:tblLook w:firstRow="1" w:lastRow="0" w:firstColumn="0" w:lastColumn="0" w:noHBand="0" w:noVBand="0" w:val="0020"/>
        <w:tblCaption w:val="Monthly cash-based transfer values by percentage of MEB received  "/>
      </w:tblPr>
      <w:tblGrid>
        <w:gridCol w:w="1748"/>
        <w:gridCol w:w="1645"/>
        <w:gridCol w:w="1645"/>
        <w:gridCol w:w="1645"/>
        <w:gridCol w:w="1234"/>
      </w:tblGrid>
      <w:tr>
        <w:trPr>
          <w:tblHeader w:val="true"/>
        </w:trPr>
        <w:tc>
          <w:tcPr/>
          <w:p>
            <w:pPr>
              <w:pStyle w:val="Compact"/>
              <w:jc w:val="center"/>
            </w:pPr>
            <w:r>
              <w:t xml:space="preserve">usd_person_bin</w:t>
            </w:r>
          </w:p>
        </w:tc>
        <w:tc>
          <w:tcPr/>
          <w:p>
            <w:pPr>
              <w:pStyle w:val="Compact"/>
              <w:jc w:val="center"/>
            </w:pPr>
            <w:r>
              <w:t xml:space="preserve">avg_pc_of_meb</w:t>
            </w:r>
          </w:p>
        </w:tc>
        <w:tc>
          <w:tcPr/>
          <w:p>
            <w:pPr>
              <w:pStyle w:val="Compact"/>
              <w:jc w:val="center"/>
            </w:pPr>
            <w:r>
              <w:t xml:space="preserve">avg_usd_month</w:t>
            </w:r>
          </w:p>
        </w:tc>
        <w:tc>
          <w:tcPr/>
          <w:p>
            <w:pPr>
              <w:pStyle w:val="Compact"/>
              <w:jc w:val="center"/>
            </w:pPr>
            <w:r>
              <w:t xml:space="preserve">beneficiaries</w:t>
            </w:r>
          </w:p>
        </w:tc>
        <w:tc>
          <w:tcPr/>
          <w:p>
            <w:pPr>
              <w:pStyle w:val="Compact"/>
              <w:jc w:val="center"/>
            </w:pPr>
            <w:r>
              <w:t xml:space="preserve">pc_of_ben</w:t>
            </w:r>
          </w:p>
        </w:tc>
      </w:tr>
      <w:tr>
        <w:tc>
          <w:tcPr/>
          <w:p>
            <w:pPr>
              <w:pStyle w:val="Compact"/>
              <w:jc w:val="center"/>
            </w:pPr>
            <w:r>
              <w:t xml:space="preserve">&gt;=$2_&lt;$4</w:t>
            </w:r>
          </w:p>
        </w:tc>
        <w:tc>
          <w:tcPr/>
          <w:p>
            <w:pPr>
              <w:pStyle w:val="Compact"/>
              <w:jc w:val="center"/>
            </w:pPr>
            <w:r>
              <w:t xml:space="preserve">17.2</w:t>
            </w:r>
          </w:p>
        </w:tc>
        <w:tc>
          <w:tcPr/>
          <w:p>
            <w:pPr>
              <w:pStyle w:val="Compact"/>
              <w:jc w:val="center"/>
            </w:pPr>
            <w:r>
              <w:t xml:space="preserve">3.94</w:t>
            </w:r>
          </w:p>
        </w:tc>
        <w:tc>
          <w:tcPr/>
          <w:p>
            <w:pPr>
              <w:pStyle w:val="Compact"/>
              <w:jc w:val="center"/>
            </w:pPr>
            <w:r>
              <w:t xml:space="preserve">32,159</w:t>
            </w:r>
          </w:p>
        </w:tc>
        <w:tc>
          <w:tcPr/>
          <w:p>
            <w:pPr>
              <w:pStyle w:val="Compact"/>
              <w:jc w:val="center"/>
            </w:pPr>
            <w:r>
              <w:t xml:space="preserve">17.26</w:t>
            </w:r>
          </w:p>
        </w:tc>
      </w:tr>
      <w:tr>
        <w:tc>
          <w:tcPr/>
          <w:p>
            <w:pPr>
              <w:pStyle w:val="Compact"/>
              <w:jc w:val="center"/>
            </w:pPr>
            <w:r>
              <w:t xml:space="preserve">&gt;=$8_&lt;$10</w:t>
            </w:r>
          </w:p>
        </w:tc>
        <w:tc>
          <w:tcPr/>
          <w:p>
            <w:pPr>
              <w:pStyle w:val="Compact"/>
              <w:jc w:val="center"/>
            </w:pPr>
            <w:r>
              <w:t xml:space="preserve">40.77</w:t>
            </w:r>
          </w:p>
        </w:tc>
        <w:tc>
          <w:tcPr/>
          <w:p>
            <w:pPr>
              <w:pStyle w:val="Compact"/>
              <w:jc w:val="center"/>
            </w:pPr>
            <w:r>
              <w:t xml:space="preserve">9.34</w:t>
            </w:r>
          </w:p>
        </w:tc>
        <w:tc>
          <w:tcPr/>
          <w:p>
            <w:pPr>
              <w:pStyle w:val="Compact"/>
              <w:jc w:val="center"/>
            </w:pPr>
            <w:r>
              <w:t xml:space="preserve">152,316</w:t>
            </w:r>
          </w:p>
        </w:tc>
        <w:tc>
          <w:tcPr/>
          <w:p>
            <w:pPr>
              <w:pStyle w:val="Compact"/>
              <w:jc w:val="center"/>
            </w:pPr>
            <w:r>
              <w:t xml:space="preserve">81.77</w:t>
            </w:r>
          </w:p>
        </w:tc>
      </w:tr>
      <w:tr>
        <w:tc>
          <w:tcPr/>
          <w:p>
            <w:pPr>
              <w:pStyle w:val="Compact"/>
              <w:jc w:val="center"/>
            </w:pPr>
            <w:r>
              <w:t xml:space="preserve">&gt;=$10_&lt;$12</w:t>
            </w:r>
          </w:p>
        </w:tc>
        <w:tc>
          <w:tcPr/>
          <w:p>
            <w:pPr>
              <w:pStyle w:val="Compact"/>
              <w:jc w:val="center"/>
            </w:pPr>
            <w:r>
              <w:t xml:space="preserve">47.93</w:t>
            </w:r>
          </w:p>
        </w:tc>
        <w:tc>
          <w:tcPr/>
          <w:p>
            <w:pPr>
              <w:pStyle w:val="Compact"/>
              <w:jc w:val="center"/>
            </w:pPr>
            <w:r>
              <w:t xml:space="preserve">10.98</w:t>
            </w:r>
          </w:p>
        </w:tc>
        <w:tc>
          <w:tcPr/>
          <w:p>
            <w:pPr>
              <w:pStyle w:val="Compact"/>
              <w:jc w:val="center"/>
            </w:pPr>
            <w:r>
              <w:t xml:space="preserve">1,797</w:t>
            </w:r>
          </w:p>
        </w:tc>
        <w:tc>
          <w:tcPr/>
          <w:p>
            <w:pPr>
              <w:pStyle w:val="Compact"/>
              <w:jc w:val="center"/>
            </w:pPr>
            <w:r>
              <w:t xml:space="preserve">0.96</w:t>
            </w:r>
          </w:p>
        </w:tc>
      </w:tr>
      <w:tr>
        <w:tc>
          <w:tcPr/>
          <w:p>
            <w:pPr>
              <w:pStyle w:val="Compact"/>
              <w:jc w:val="center"/>
            </w:pPr>
            <w:r>
              <w:t xml:space="preserve">&gt;=$18_&lt;$20</w:t>
            </w:r>
          </w:p>
        </w:tc>
        <w:tc>
          <w:tcPr/>
          <w:p>
            <w:pPr>
              <w:pStyle w:val="Compact"/>
              <w:jc w:val="center"/>
            </w:pPr>
            <w:r>
              <w:t xml:space="preserve">82.64</w:t>
            </w:r>
          </w:p>
        </w:tc>
        <w:tc>
          <w:tcPr/>
          <w:p>
            <w:pPr>
              <w:pStyle w:val="Compact"/>
              <w:jc w:val="center"/>
            </w:pPr>
            <w:r>
              <w:t xml:space="preserve">18.93</w:t>
            </w:r>
          </w:p>
        </w:tc>
        <w:tc>
          <w:tcPr/>
          <w:p>
            <w:pPr>
              <w:pStyle w:val="Compact"/>
              <w:jc w:val="center"/>
            </w:pPr>
            <w:r>
              <w:t xml:space="preserve">0</w:t>
            </w:r>
          </w:p>
        </w:tc>
        <w:tc>
          <w:tcPr/>
          <w:p>
            <w:pPr>
              <w:pStyle w:val="Compact"/>
              <w:jc w:val="center"/>
            </w:pPr>
            <w:r>
              <w:t xml:space="preserve">0</w:t>
            </w:r>
          </w:p>
        </w:tc>
      </w:tr>
    </w:tbl>
    <w:p>
      <w:pPr>
        <w:pStyle w:val="BodyText"/>
      </w:pPr>
      <w:r>
        <w:t xml:space="preserve">However, a very large proportion of the beneficiaries reached were between USD 8 and 10 per person, fairly close to 50% of the MEB. The 50% threshold is of interest because humanitarian assistance does not aim to cover the full MEB and is intended to meet acute needs.</w:t>
      </w:r>
    </w:p>
    <w:p>
      <w:pPr>
        <w:pStyle w:val="BodyText"/>
      </w:pPr>
    </w:p>
    <w:p>
      <w:pPr>
        <w:pStyle w:val="BodyText"/>
      </w:pPr>
      <w:r>
        <w:drawing>
          <wp:inline>
            <wp:extent cx="5334000" cy="2370666"/>
            <wp:effectExtent b="0" l="0" r="0" t="0"/>
            <wp:docPr descr="" title="" id="72" name="Picture"/>
            <a:graphic>
              <a:graphicData uri="http://schemas.openxmlformats.org/drawingml/2006/picture">
                <pic:pic>
                  <pic:nvPicPr>
                    <pic:cNvPr descr="fsc_q1_2022_northwest_word_files/figure-docx/barplot-2021-2022-1.png" id="73" name="Picture"/>
                    <pic:cNvPicPr>
                      <a:picLocks noChangeArrowheads="1" noChangeAspect="1"/>
                    </pic:cNvPicPr>
                  </pic:nvPicPr>
                  <pic:blipFill>
                    <a:blip r:embed="rId71"/>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With reference to the plot above, the per person USD values in 2022 are more consistent than in 2021, with more than 50% of beneficiary frequencies receiving between USD 8 and 10 per transfer. The average transfer value for food distributions in 2021 was USD 7.36; in 2022/Q1, it was USD 8.59.</w:t>
      </w:r>
    </w:p>
    <w:p>
      <w:pPr>
        <w:pStyle w:val="BodyText"/>
      </w:pPr>
    </w:p>
    <w:bookmarkEnd w:id="74"/>
    <w:bookmarkEnd w:id="75"/>
    <w:bookmarkStart w:id="88" w:name="beneficiaries"/>
    <w:p>
      <w:pPr>
        <w:pStyle w:val="Heading2"/>
      </w:pPr>
      <w:r>
        <w:t xml:space="preserve">4. Beneficiaries</w:t>
      </w:r>
    </w:p>
    <w:bookmarkStart w:id="79" w:name="beneficiary-types"/>
    <w:p>
      <w:pPr>
        <w:pStyle w:val="Heading3"/>
      </w:pPr>
      <w:r>
        <w:t xml:space="preserve">4.1 Beneficiary types</w:t>
      </w:r>
    </w:p>
    <w:p>
      <w:pPr>
        <w:pStyle w:val="FirstParagraph"/>
      </w:pPr>
      <w:r>
        <w:t xml:space="preserve">74.71% of beneficiaries were from the host or local community. 14.58% beneficiaries were IDPs.</w:t>
      </w:r>
    </w:p>
    <w:p>
      <w:pPr>
        <w:pStyle w:val="BodyText"/>
      </w:pPr>
    </w:p>
    <w:p>
      <w:pPr>
        <w:pStyle w:val="BodyText"/>
      </w:pPr>
      <w:r>
        <w:drawing>
          <wp:inline>
            <wp:extent cx="5334000" cy="2370666"/>
            <wp:effectExtent b="0" l="0" r="0" t="0"/>
            <wp:docPr descr="" title="" id="77" name="Picture"/>
            <a:graphic>
              <a:graphicData uri="http://schemas.openxmlformats.org/drawingml/2006/picture">
                <pic:pic>
                  <pic:nvPicPr>
                    <pic:cNvPr descr="fsc_q1_2022_northwest_word_files/figure-docx/unnamed-chunk-1-1.png" id="78" name="Picture"/>
                    <pic:cNvPicPr>
                      <a:picLocks noChangeArrowheads="1" noChangeAspect="1"/>
                    </pic:cNvPicPr>
                  </pic:nvPicPr>
                  <pic:blipFill>
                    <a:blip r:embed="rId76"/>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bookmarkEnd w:id="79"/>
    <w:bookmarkStart w:id="80" w:name="evidence-of-food-insecurity-status"/>
    <w:p>
      <w:pPr>
        <w:pStyle w:val="Heading3"/>
      </w:pPr>
      <w:r>
        <w:t xml:space="preserve">4.2 Evidence of food insecurity status</w:t>
      </w:r>
    </w:p>
    <w:p>
      <w:pPr>
        <w:pStyle w:val="FirstParagraph"/>
      </w:pPr>
      <w:r>
        <w:t xml:space="preserve">Very few of the beneficiaries reached had evidence of their food insecurity status. This makes it difficult to determine whether or not food security interventions are truly reaching those most in need.</w:t>
      </w:r>
    </w:p>
    <w:p>
      <w:pPr>
        <w:pStyle w:val="TableCaption"/>
      </w:pPr>
      <w:r>
        <w:t xml:space="preserve">Food insecurity status and evidence provided in 2022/Q1</w:t>
      </w:r>
    </w:p>
    <w:tbl>
      <w:tblPr>
        <w:tblStyle w:val="Table"/>
        <w:tblW w:type="pct" w:w="4167"/>
        <w:tblLook w:firstRow="1" w:lastRow="0" w:firstColumn="0" w:lastColumn="0" w:noHBand="0" w:noVBand="0" w:val="0020"/>
        <w:tblCaption w:val="Food insecurity status and evidence provided in 2022/Q1"/>
      </w:tblPr>
      <w:tblGrid>
        <w:gridCol w:w="2970"/>
        <w:gridCol w:w="1760"/>
        <w:gridCol w:w="1870"/>
      </w:tblGrid>
      <w:tr>
        <w:trPr>
          <w:tblHeader w:val="true"/>
        </w:trPr>
        <w:tc>
          <w:tcPr/>
          <w:p>
            <w:pPr>
              <w:pStyle w:val="Compact"/>
              <w:jc w:val="center"/>
            </w:pPr>
            <w:r>
              <w:t xml:space="preserve">food_insecurity_status</w:t>
            </w:r>
          </w:p>
        </w:tc>
        <w:tc>
          <w:tcPr/>
          <w:p>
            <w:pPr>
              <w:pStyle w:val="Compact"/>
              <w:jc w:val="center"/>
            </w:pPr>
            <w:r>
              <w:t xml:space="preserve">beneficiaries</w:t>
            </w:r>
          </w:p>
        </w:tc>
        <w:tc>
          <w:tcPr/>
          <w:p>
            <w:pPr>
              <w:pStyle w:val="Compact"/>
              <w:jc w:val="center"/>
            </w:pPr>
            <w:r>
              <w:t xml:space="preserve">%_benficiaries</w:t>
            </w:r>
          </w:p>
        </w:tc>
      </w:tr>
      <w:tr>
        <w:tc>
          <w:tcPr/>
          <w:p>
            <w:pPr>
              <w:pStyle w:val="Compact"/>
              <w:jc w:val="center"/>
            </w:pPr>
            <w:r>
              <w:t xml:space="preserve">Moderately food insecure</w:t>
            </w:r>
          </w:p>
        </w:tc>
        <w:tc>
          <w:tcPr/>
          <w:p>
            <w:pPr>
              <w:pStyle w:val="Compact"/>
              <w:jc w:val="center"/>
            </w:pPr>
            <w:r>
              <w:t xml:space="preserve">1,090</w:t>
            </w:r>
          </w:p>
        </w:tc>
        <w:tc>
          <w:tcPr/>
          <w:p>
            <w:pPr>
              <w:pStyle w:val="Compact"/>
              <w:jc w:val="center"/>
            </w:pPr>
            <w:r>
              <w:t xml:space="preserve">0.3</w:t>
            </w:r>
          </w:p>
        </w:tc>
      </w:tr>
      <w:tr>
        <w:tc>
          <w:tcPr/>
          <w:p>
            <w:pPr>
              <w:pStyle w:val="Compact"/>
              <w:jc w:val="center"/>
            </w:pPr>
            <w:r>
              <w:t xml:space="preserve">Severely food insecure</w:t>
            </w:r>
          </w:p>
        </w:tc>
        <w:tc>
          <w:tcPr/>
          <w:p>
            <w:pPr>
              <w:pStyle w:val="Compact"/>
              <w:jc w:val="center"/>
            </w:pPr>
            <w:r>
              <w:t xml:space="preserve">2,030</w:t>
            </w:r>
          </w:p>
        </w:tc>
        <w:tc>
          <w:tcPr/>
          <w:p>
            <w:pPr>
              <w:pStyle w:val="Compact"/>
              <w:jc w:val="center"/>
            </w:pPr>
            <w:r>
              <w:t xml:space="preserve">0.56</w:t>
            </w:r>
          </w:p>
        </w:tc>
      </w:tr>
      <w:tr>
        <w:tc>
          <w:tcPr/>
          <w:p>
            <w:pPr>
              <w:pStyle w:val="Compact"/>
              <w:jc w:val="center"/>
            </w:pPr>
            <w:r>
              <w:t xml:space="preserve">No status provided</w:t>
            </w:r>
          </w:p>
        </w:tc>
        <w:tc>
          <w:tcPr/>
          <w:p>
            <w:pPr>
              <w:pStyle w:val="Compact"/>
              <w:jc w:val="center"/>
            </w:pPr>
            <w:r>
              <w:t xml:space="preserve">360,924</w:t>
            </w:r>
          </w:p>
        </w:tc>
        <w:tc>
          <w:tcPr/>
          <w:p>
            <w:pPr>
              <w:pStyle w:val="Compact"/>
              <w:jc w:val="center"/>
            </w:pPr>
            <w:r>
              <w:t xml:space="preserve">99.14</w:t>
            </w:r>
          </w:p>
        </w:tc>
      </w:tr>
    </w:tbl>
    <w:p>
      <w:pPr>
        <w:pStyle w:val="BodyText"/>
      </w:pPr>
    </w:p>
    <w:p>
      <w:pPr>
        <w:pStyle w:val="BodyText"/>
      </w:pPr>
      <w:r>
        <w:t xml:space="preserve">Though evidence of food insecurity was not provided by for the vast majority of beneficiaries reached, much of the evidence that was provided were reasonable justifications for targeting beneficiaries. Some good reasons included armed conflict, community-based beneficiary selection and the use of the food consumption score.</w:t>
      </w:r>
    </w:p>
    <w:p>
      <w:pPr>
        <w:pStyle w:val="TableCaption"/>
      </w:pPr>
      <w:r>
        <w:t xml:space="preserve">Breakdown of evidence of food insecurity status in 2022/Q1</w:t>
      </w:r>
      <w:r>
        <w:t xml:space="preserve"> </w:t>
      </w:r>
    </w:p>
    <w:tbl>
      <w:tblPr>
        <w:tblStyle w:val="Table"/>
        <w:tblW w:type="pct" w:w="4583"/>
        <w:tblLook w:firstRow="1" w:lastRow="0" w:firstColumn="0" w:lastColumn="0" w:noHBand="0" w:noVBand="0" w:val="0020"/>
        <w:tblCaption w:val="Breakdown of evidence of food insecurity status in 2022/Q1  "/>
      </w:tblPr>
      <w:tblGrid>
        <w:gridCol w:w="3520"/>
        <w:gridCol w:w="1760"/>
        <w:gridCol w:w="1980"/>
      </w:tblGrid>
      <w:tr>
        <w:trPr>
          <w:tblHeader w:val="true"/>
        </w:trPr>
        <w:tc>
          <w:tcPr/>
          <w:p>
            <w:pPr>
              <w:pStyle w:val="Compact"/>
              <w:jc w:val="center"/>
            </w:pPr>
            <w:r>
              <w:t xml:space="preserve">evidence</w:t>
            </w:r>
          </w:p>
        </w:tc>
        <w:tc>
          <w:tcPr/>
          <w:p>
            <w:pPr>
              <w:pStyle w:val="Compact"/>
              <w:jc w:val="center"/>
            </w:pPr>
            <w:r>
              <w:t xml:space="preserve">beneficiaries</w:t>
            </w:r>
          </w:p>
        </w:tc>
        <w:tc>
          <w:tcPr/>
          <w:p>
            <w:pPr>
              <w:pStyle w:val="Compact"/>
              <w:jc w:val="center"/>
            </w:pPr>
            <w:r>
              <w:t xml:space="preserve">%_beneficiaries</w:t>
            </w:r>
          </w:p>
        </w:tc>
      </w:tr>
      <w:tr>
        <w:tc>
          <w:tcPr/>
          <w:p>
            <w:pPr>
              <w:pStyle w:val="Compact"/>
              <w:jc w:val="center"/>
            </w:pPr>
            <w:r>
              <w:t xml:space="preserve">community-based beneficiary</w:t>
            </w:r>
            <w:r>
              <w:t xml:space="preserve"> </w:t>
            </w:r>
            <w:r>
              <w:t xml:space="preserve">selection</w:t>
            </w:r>
          </w:p>
        </w:tc>
        <w:tc>
          <w:tcPr/>
          <w:p>
            <w:pPr>
              <w:pStyle w:val="Compact"/>
              <w:jc w:val="center"/>
            </w:pPr>
            <w:r>
              <w:t xml:space="preserve">50</w:t>
            </w:r>
          </w:p>
        </w:tc>
        <w:tc>
          <w:tcPr/>
          <w:p>
            <w:pPr>
              <w:pStyle w:val="Compact"/>
              <w:jc w:val="center"/>
            </w:pPr>
            <w:r>
              <w:t xml:space="preserve">0.01</w:t>
            </w:r>
          </w:p>
        </w:tc>
      </w:tr>
      <w:tr>
        <w:tc>
          <w:tcPr/>
          <w:p>
            <w:pPr>
              <w:pStyle w:val="Compact"/>
              <w:jc w:val="center"/>
            </w:pPr>
            <w:r>
              <w:t xml:space="preserve">Food distribution certificate</w:t>
            </w:r>
          </w:p>
        </w:tc>
        <w:tc>
          <w:tcPr/>
          <w:p>
            <w:pPr>
              <w:pStyle w:val="Compact"/>
              <w:jc w:val="center"/>
            </w:pPr>
            <w:r>
              <w:t xml:space="preserve">1,040</w:t>
            </w:r>
          </w:p>
        </w:tc>
        <w:tc>
          <w:tcPr/>
          <w:p>
            <w:pPr>
              <w:pStyle w:val="Compact"/>
              <w:jc w:val="center"/>
            </w:pPr>
            <w:r>
              <w:t xml:space="preserve">0.29</w:t>
            </w:r>
          </w:p>
        </w:tc>
      </w:tr>
      <w:tr>
        <w:tc>
          <w:tcPr/>
          <w:p>
            <w:pPr>
              <w:pStyle w:val="Compact"/>
              <w:jc w:val="center"/>
            </w:pPr>
            <w:r>
              <w:t xml:space="preserve">No evidence</w:t>
            </w:r>
          </w:p>
        </w:tc>
        <w:tc>
          <w:tcPr/>
          <w:p>
            <w:pPr>
              <w:pStyle w:val="Compact"/>
              <w:jc w:val="center"/>
            </w:pPr>
            <w:r>
              <w:t xml:space="preserve">362,954</w:t>
            </w:r>
          </w:p>
        </w:tc>
        <w:tc>
          <w:tcPr/>
          <w:p>
            <w:pPr>
              <w:pStyle w:val="Compact"/>
              <w:jc w:val="center"/>
            </w:pPr>
            <w:r>
              <w:t xml:space="preserve">99.7</w:t>
            </w:r>
          </w:p>
        </w:tc>
      </w:tr>
    </w:tbl>
    <w:p>
      <w:pPr>
        <w:pStyle w:val="BodyText"/>
      </w:pPr>
      <w:r>
        <w:t xml:space="preserve">The general lack of evidence of evidence of beneficiaries’ food insecurity status makes it difficult to justify to affected communities and donors that the Food Security Cluster is reaching the most in need. This highlights the need to promote a shared understanding of the response through the development of a common prioritisation tool for food security partners.</w:t>
      </w:r>
    </w:p>
    <w:p>
      <w:pPr>
        <w:pStyle w:val="BodyText"/>
      </w:pPr>
    </w:p>
    <w:bookmarkEnd w:id="80"/>
    <w:bookmarkStart w:id="87" w:name="beneficiary-disaggregation"/>
    <w:p>
      <w:pPr>
        <w:pStyle w:val="Heading3"/>
      </w:pPr>
      <w:r>
        <w:t xml:space="preserve">4.3 Beneficiary disaggregation</w:t>
      </w:r>
    </w:p>
    <w:p>
      <w:pPr>
        <w:pStyle w:val="FirstParagraph"/>
      </w:pPr>
      <w:r>
        <w:t xml:space="preserve">Due to the problems in reporting disaggregated beneficiary data, two tests have been applied to the submitted 5W data. The first involves a comparison to the proportions of disaggregation groups in the census to determine if values have been backfilled from the census.</w:t>
      </w:r>
    </w:p>
    <w:p>
      <w:pPr>
        <w:pStyle w:val="BodyText"/>
      </w:pPr>
      <w:r>
        <w:t xml:space="preserve">The plots below show the breakdowns between the</w:t>
      </w:r>
      <w:r>
        <w:t xml:space="preserve"> </w:t>
      </w:r>
      <w:r>
        <w:t xml:space="preserve">“</w:t>
      </w:r>
      <w:r>
        <w:t xml:space="preserve">real</w:t>
      </w:r>
      <w:r>
        <w:t xml:space="preserve">”</w:t>
      </w:r>
      <w:r>
        <w:t xml:space="preserve"> </w:t>
      </w:r>
      <w:r>
        <w:t xml:space="preserve">values and those that have been backfilled from the census. Approximately 59% of beneficiaries reported had values that were not backfilled from the census; this is an improvement from 2021, where only 44% of beneficiaries had</w:t>
      </w:r>
      <w:r>
        <w:t xml:space="preserve"> </w:t>
      </w:r>
      <w:r>
        <w:t xml:space="preserve">“</w:t>
      </w:r>
      <w:r>
        <w:t xml:space="preserve">real</w:t>
      </w:r>
      <w:r>
        <w:t xml:space="preserve">”</w:t>
      </w:r>
      <w:r>
        <w:t xml:space="preserve"> </w:t>
      </w:r>
      <w:r>
        <w:t xml:space="preserve">disaggregations.</w:t>
      </w:r>
    </w:p>
    <w:p>
      <w:pPr>
        <w:pStyle w:val="BodyText"/>
      </w:pPr>
      <w:r>
        <w:t xml:space="preserve">In the</w:t>
      </w:r>
      <w:r>
        <w:t xml:space="preserve"> </w:t>
      </w:r>
      <w:r>
        <w:t xml:space="preserve">“</w:t>
      </w:r>
      <w:r>
        <w:t xml:space="preserve">real</w:t>
      </w:r>
      <w:r>
        <w:t xml:space="preserve">”</w:t>
      </w:r>
      <w:r>
        <w:t xml:space="preserve"> </w:t>
      </w:r>
      <w:r>
        <w:t xml:space="preserve">values, it can be seen that the proportion of adult females reached is much higher than adult males – this is in line with the Cluster’s understanding of several activities that specifically target women. The percentages of elderly persons actually reached is also much lower than what has been reported.</w:t>
      </w:r>
    </w:p>
    <w:p>
      <w:pPr>
        <w:pStyle w:val="BodyText"/>
      </w:pPr>
    </w:p>
    <w:p>
      <w:pPr>
        <w:pStyle w:val="BodyText"/>
      </w:pPr>
      <w:r>
        <w:drawing>
          <wp:inline>
            <wp:extent cx="5334000" cy="2370666"/>
            <wp:effectExtent b="0" l="0" r="0" t="0"/>
            <wp:docPr descr="" title="" id="82" name="Picture"/>
            <a:graphic>
              <a:graphicData uri="http://schemas.openxmlformats.org/drawingml/2006/picture">
                <pic:pic>
                  <pic:nvPicPr>
                    <pic:cNvPr descr="fsc_q1_2022_northwest_word_files/figure-docx/unnamed-chunk-5-1.png" id="83" name="Picture"/>
                    <pic:cNvPicPr>
                      <a:picLocks noChangeArrowheads="1" noChangeAspect="1"/>
                    </pic:cNvPicPr>
                  </pic:nvPicPr>
                  <pic:blipFill>
                    <a:blip r:embed="rId81"/>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The second test applied is if the disaggregated numbers of beneficiaries reached have been copied and pasted. To do this, the proportions of each disaggregation group by partner have been compared to how close they were to the mean for the entire group. To explain: if partner A reported that 40% of beneficiaries in an activity were adult females, this percentage was then compared to the average percentage of adult females for all other activities reported by that partner. This measure whether or not the same proportions were copied and pasted throughout the 5W form.</w:t>
      </w:r>
    </w:p>
    <w:p>
      <w:pPr>
        <w:pStyle w:val="BodyText"/>
      </w:pPr>
      <w:r>
        <w:t xml:space="preserve">It is extremely unlikely that these percentages would be similar across activities as implementing partners worked in an average of 32.39 locations.</w:t>
      </w:r>
    </w:p>
    <w:p>
      <w:pPr>
        <w:pStyle w:val="BodyText"/>
      </w:pPr>
      <w:r>
        <w:t xml:space="preserve">In the plot below, the closer a value is to 0% on the x-axis, the more likely it is that it was copied and pasted. It is estimated that 89% of beneficiary disaggregation values were copied and pasted.</w:t>
      </w:r>
    </w:p>
    <w:p>
      <w:pPr>
        <w:pStyle w:val="BodyText"/>
      </w:pPr>
    </w:p>
    <w:p>
      <w:pPr>
        <w:pStyle w:val="BodyText"/>
      </w:pPr>
      <w:r>
        <w:drawing>
          <wp:inline>
            <wp:extent cx="5334000" cy="2370666"/>
            <wp:effectExtent b="0" l="0" r="0" t="0"/>
            <wp:docPr descr="" title="" id="85" name="Picture"/>
            <a:graphic>
              <a:graphicData uri="http://schemas.openxmlformats.org/drawingml/2006/picture">
                <pic:pic>
                  <pic:nvPicPr>
                    <pic:cNvPr descr="fsc_q1_2022_northwest_word_files/figure-docx/unnamed-chunk-6-1.png" id="86" name="Picture"/>
                    <pic:cNvPicPr>
                      <a:picLocks noChangeArrowheads="1" noChangeAspect="1"/>
                    </pic:cNvPicPr>
                  </pic:nvPicPr>
                  <pic:blipFill>
                    <a:blip r:embed="rId84"/>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bookmarkEnd w:id="87"/>
    <w:bookmarkEnd w:id="88"/>
    <w:bookmarkStart w:id="98" w:name="partners"/>
    <w:p>
      <w:pPr>
        <w:pStyle w:val="Heading2"/>
      </w:pPr>
      <w:r>
        <w:t xml:space="preserve">5. Partners</w:t>
      </w:r>
    </w:p>
    <w:bookmarkStart w:id="92" w:name="reach-by-implementing-partner"/>
    <w:p>
      <w:pPr>
        <w:pStyle w:val="Heading3"/>
      </w:pPr>
      <w:r>
        <w:t xml:space="preserve">5.1 Reach by implementing partner</w:t>
      </w:r>
    </w:p>
    <w:p>
      <w:pPr>
        <w:pStyle w:val="FirstParagraph"/>
      </w:pPr>
      <w:r>
        <w:t xml:space="preserve">There are 36 partners that were involved in direct implementation that have reported achievements in first quarter of 2022. These implementing partners corresponded to a total of 15 reporting organisations. The largest reporting organisation, org_2690, had 21 implementing partners. All other reporting organisations had 1 or 2 implementing partners.</w:t>
      </w:r>
    </w:p>
    <w:p>
      <w:pPr>
        <w:pStyle w:val="BodyText"/>
      </w:pPr>
      <w:r>
        <w:t xml:space="preserve">The interactive plot below shows the number of beneficiaries and townships reached by implementing partner.</w:t>
      </w:r>
    </w:p>
    <w:p>
      <w:pPr>
        <w:pStyle w:val="BodyText"/>
      </w:pPr>
    </w:p>
    <w:p>
      <w:pPr>
        <w:pStyle w:val="BodyText"/>
      </w:pPr>
      <w:r>
        <w:drawing>
          <wp:inline>
            <wp:extent cx="5334000" cy="2370666"/>
            <wp:effectExtent b="0" l="0" r="0" t="0"/>
            <wp:docPr descr="" title="" id="90" name="Picture"/>
            <a:graphic>
              <a:graphicData uri="http://schemas.openxmlformats.org/drawingml/2006/picture">
                <pic:pic>
                  <pic:nvPicPr>
                    <pic:cNvPr descr="fsc_q1_2022_northwest_word_files/figure-docx/plotly-partner-scatter-1.png" id="91" name="Picture"/>
                    <pic:cNvPicPr>
                      <a:picLocks noChangeArrowheads="1" noChangeAspect="1"/>
                    </pic:cNvPicPr>
                  </pic:nvPicPr>
                  <pic:blipFill>
                    <a:blip r:embed="rId89"/>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In 2021, it was noted that whilst there was much variation in the numbers of beneficiaries reached by each implementing partner, their geographic footprints were quite limited. This pattern has continued into 2022/Q1. Only 6 partners (17% of the total) have a presence in more than 5 townships. The distribution of partners remains an impediment to the implementation of a countrywide response. And the following steps mentioned in the 2021 report are still very necessary:</w:t>
      </w:r>
    </w:p>
    <w:p>
      <w:pPr>
        <w:numPr>
          <w:ilvl w:val="0"/>
          <w:numId w:val="1002"/>
        </w:numPr>
      </w:pPr>
      <w:r>
        <w:t xml:space="preserve">Incentivise partners to expand their footprints</w:t>
      </w:r>
    </w:p>
    <w:p>
      <w:pPr>
        <w:numPr>
          <w:ilvl w:val="0"/>
          <w:numId w:val="1002"/>
        </w:numPr>
      </w:pPr>
      <w:r>
        <w:t xml:space="preserve">Identify new partners to reach vulnerable persons in areas recently affected by conflict</w:t>
      </w:r>
    </w:p>
    <w:p>
      <w:pPr>
        <w:numPr>
          <w:ilvl w:val="0"/>
          <w:numId w:val="1002"/>
        </w:numPr>
      </w:pPr>
      <w:r>
        <w:t xml:space="preserve">Encourage donors to support expansion of Food Security activities in areas recently affected by conflict (with sufficient support costs)</w:t>
      </w:r>
    </w:p>
    <w:p>
      <w:pPr>
        <w:pStyle w:val="FirstParagraph"/>
      </w:pPr>
    </w:p>
    <w:bookmarkEnd w:id="92"/>
    <w:bookmarkStart w:id="96" w:name="monthly-progress-by-partner"/>
    <w:p>
      <w:pPr>
        <w:pStyle w:val="Heading3"/>
      </w:pPr>
      <w:r>
        <w:t xml:space="preserve">5.2 Monthly progress by partner</w:t>
      </w:r>
    </w:p>
    <w:p>
      <w:pPr>
        <w:pStyle w:val="FirstParagraph"/>
      </w:pPr>
      <w:r>
        <w:drawing>
          <wp:inline>
            <wp:extent cx="5334000" cy="2370666"/>
            <wp:effectExtent b="0" l="0" r="0" t="0"/>
            <wp:docPr descr="" title="" id="94" name="Picture"/>
            <a:graphic>
              <a:graphicData uri="http://schemas.openxmlformats.org/drawingml/2006/picture">
                <pic:pic>
                  <pic:nvPicPr>
                    <pic:cNvPr descr="fsc_q1_2022_northwest_word_files/figure-docx/partner-progress-facet-line-1.png" id="95" name="Picture"/>
                    <pic:cNvPicPr>
                      <a:picLocks noChangeArrowheads="1" noChangeAspect="1"/>
                    </pic:cNvPicPr>
                  </pic:nvPicPr>
                  <pic:blipFill>
                    <a:blip r:embed="rId93"/>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Overall, 13 implementing partners increased the number of beneficiaries reached over their 2021 totals by more than 50%; 29 partners who reported in 2021 also reported in 2022/Q1. 7 new implementing partners reported in 2022. And 28 partners who reported in 2021 but have not yet any achievements in 2022.</w:t>
      </w:r>
    </w:p>
    <w:p>
      <w:pPr>
        <w:pStyle w:val="BodyText"/>
      </w:pPr>
      <w:r>
        <w:rPr>
          <w:rStyle w:val="VerbatimChar"/>
        </w:rPr>
        <w:t xml:space="preserve">summarise()</w:t>
      </w:r>
      <w:r>
        <w:t xml:space="preserve"> </w:t>
      </w:r>
      <w:r>
        <w:t xml:space="preserve">has grouped output by</w:t>
      </w:r>
      <w:r>
        <w:t xml:space="preserve"> </w:t>
      </w:r>
      <w:r>
        <w:t xml:space="preserve">‘</w:t>
      </w:r>
      <w:r>
        <w:t xml:space="preserve">org_code</w:t>
      </w:r>
      <w:r>
        <w:t xml:space="preserve">’</w:t>
      </w:r>
      <w:r>
        <w:t xml:space="preserve">. You can override using the</w:t>
      </w:r>
      <w:r>
        <w:t xml:space="preserve"> </w:t>
      </w:r>
      <w:r>
        <w:rPr>
          <w:rStyle w:val="VerbatimChar"/>
        </w:rPr>
        <w:t xml:space="preserve">.groups</w:t>
      </w:r>
      <w:r>
        <w:t xml:space="preserve"> </w:t>
      </w:r>
      <w:r>
        <w:t xml:space="preserve">argument.</w:t>
      </w:r>
    </w:p>
    <w:p>
      <w:pPr>
        <w:pStyle w:val="TableCaption"/>
      </w:pPr>
      <w:r>
        <w:t xml:space="preserve">Top implementing partners by beneficiaries reached in 2022/Q1</w:t>
      </w:r>
    </w:p>
    <w:tbl>
      <w:tblPr>
        <w:tblStyle w:val="Table"/>
        <w:tblW w:type="pct" w:w="4792"/>
        <w:tblLook w:firstRow="1" w:lastRow="0" w:firstColumn="0" w:lastColumn="0" w:noHBand="0" w:noVBand="0" w:val="0020"/>
        <w:tblCaption w:val="Top implementing partners by beneficiaries reached in 2022/Q1"/>
      </w:tblPr>
      <w:tblGrid>
        <w:gridCol w:w="1210"/>
        <w:gridCol w:w="1210"/>
        <w:gridCol w:w="1320"/>
        <w:gridCol w:w="1210"/>
        <w:gridCol w:w="1320"/>
        <w:gridCol w:w="1320"/>
      </w:tblGrid>
      <w:tr>
        <w:trPr>
          <w:tblHeader w:val="true"/>
        </w:trPr>
        <w:tc>
          <w:tcPr/>
          <w:p>
            <w:pPr>
              <w:pStyle w:val="Compact"/>
              <w:jc w:val="center"/>
            </w:pPr>
            <w:r>
              <w:t xml:space="preserve">org_code</w:t>
            </w:r>
          </w:p>
        </w:tc>
        <w:tc>
          <w:tcPr/>
          <w:p>
            <w:pPr>
              <w:pStyle w:val="Compact"/>
              <w:jc w:val="center"/>
            </w:pPr>
            <w:r>
              <w:t xml:space="preserve">ben_2021</w:t>
            </w:r>
          </w:p>
        </w:tc>
        <w:tc>
          <w:tcPr/>
          <w:p>
            <w:pPr>
              <w:pStyle w:val="Compact"/>
              <w:jc w:val="center"/>
            </w:pPr>
            <w:r>
              <w:t xml:space="preserve">rank_2021</w:t>
            </w:r>
          </w:p>
        </w:tc>
        <w:tc>
          <w:tcPr/>
          <w:p>
            <w:pPr>
              <w:pStyle w:val="Compact"/>
              <w:jc w:val="center"/>
            </w:pPr>
            <w:r>
              <w:t xml:space="preserve">ben_2022</w:t>
            </w:r>
          </w:p>
        </w:tc>
        <w:tc>
          <w:tcPr/>
          <w:p>
            <w:pPr>
              <w:pStyle w:val="Compact"/>
              <w:jc w:val="center"/>
            </w:pPr>
            <w:r>
              <w:t xml:space="preserve">rank_2022</w:t>
            </w:r>
          </w:p>
        </w:tc>
        <w:tc>
          <w:tcPr/>
          <w:p>
            <w:pPr>
              <w:pStyle w:val="Compact"/>
              <w:jc w:val="center"/>
            </w:pPr>
            <w:r>
              <w:t xml:space="preserve">total_ben</w:t>
            </w:r>
          </w:p>
        </w:tc>
      </w:tr>
      <w:tr>
        <w:tc>
          <w:tcPr/>
          <w:p>
            <w:pPr>
              <w:pStyle w:val="Compact"/>
              <w:jc w:val="center"/>
            </w:pPr>
            <w:r>
              <w:t xml:space="preserve">org_8004</w:t>
            </w:r>
          </w:p>
        </w:tc>
        <w:tc>
          <w:tcPr/>
          <w:p>
            <w:pPr>
              <w:pStyle w:val="Compact"/>
              <w:jc w:val="center"/>
            </w:pPr>
            <w:r>
              <w:t xml:space="preserve">73,116</w:t>
            </w:r>
          </w:p>
        </w:tc>
        <w:tc>
          <w:tcPr/>
          <w:p>
            <w:pPr>
              <w:pStyle w:val="Compact"/>
              <w:jc w:val="center"/>
            </w:pPr>
            <w:r>
              <w:t xml:space="preserve">10</w:t>
            </w:r>
          </w:p>
        </w:tc>
        <w:tc>
          <w:tcPr/>
          <w:p>
            <w:pPr>
              <w:pStyle w:val="Compact"/>
              <w:jc w:val="center"/>
            </w:pPr>
            <w:r>
              <w:t xml:space="preserve">83,553</w:t>
            </w:r>
          </w:p>
        </w:tc>
        <w:tc>
          <w:tcPr/>
          <w:p>
            <w:pPr>
              <w:pStyle w:val="Compact"/>
              <w:jc w:val="center"/>
            </w:pPr>
            <w:r>
              <w:t xml:space="preserve">1</w:t>
            </w:r>
          </w:p>
        </w:tc>
        <w:tc>
          <w:tcPr/>
          <w:p>
            <w:pPr>
              <w:pStyle w:val="Compact"/>
              <w:jc w:val="center"/>
            </w:pPr>
            <w:r>
              <w:t xml:space="preserve">156,669</w:t>
            </w:r>
          </w:p>
        </w:tc>
      </w:tr>
      <w:tr>
        <w:tc>
          <w:tcPr/>
          <w:p>
            <w:pPr>
              <w:pStyle w:val="Compact"/>
              <w:jc w:val="center"/>
            </w:pPr>
            <w:r>
              <w:t xml:space="preserve">org_3486</w:t>
            </w:r>
          </w:p>
        </w:tc>
        <w:tc>
          <w:tcPr/>
          <w:p>
            <w:pPr>
              <w:pStyle w:val="Compact"/>
              <w:jc w:val="center"/>
            </w:pPr>
            <w:r>
              <w:t xml:space="preserve">77,301</w:t>
            </w:r>
          </w:p>
        </w:tc>
        <w:tc>
          <w:tcPr/>
          <w:p>
            <w:pPr>
              <w:pStyle w:val="Compact"/>
              <w:jc w:val="center"/>
            </w:pPr>
            <w:r>
              <w:t xml:space="preserve">9</w:t>
            </w:r>
          </w:p>
        </w:tc>
        <w:tc>
          <w:tcPr/>
          <w:p>
            <w:pPr>
              <w:pStyle w:val="Compact"/>
              <w:jc w:val="center"/>
            </w:pPr>
            <w:r>
              <w:t xml:space="preserve">61,257</w:t>
            </w:r>
          </w:p>
        </w:tc>
        <w:tc>
          <w:tcPr/>
          <w:p>
            <w:pPr>
              <w:pStyle w:val="Compact"/>
              <w:jc w:val="center"/>
            </w:pPr>
            <w:r>
              <w:t xml:space="preserve">2</w:t>
            </w:r>
          </w:p>
        </w:tc>
        <w:tc>
          <w:tcPr/>
          <w:p>
            <w:pPr>
              <w:pStyle w:val="Compact"/>
              <w:jc w:val="center"/>
            </w:pPr>
            <w:r>
              <w:t xml:space="preserve">138,558</w:t>
            </w:r>
          </w:p>
        </w:tc>
      </w:tr>
      <w:tr>
        <w:tc>
          <w:tcPr/>
          <w:p>
            <w:pPr>
              <w:pStyle w:val="Compact"/>
              <w:jc w:val="center"/>
            </w:pPr>
            <w:r>
              <w:t xml:space="preserve">org_3280</w:t>
            </w:r>
          </w:p>
        </w:tc>
        <w:tc>
          <w:tcPr/>
          <w:p>
            <w:pPr>
              <w:pStyle w:val="Compact"/>
              <w:jc w:val="center"/>
            </w:pPr>
            <w:r>
              <w:t xml:space="preserve">60,057</w:t>
            </w:r>
          </w:p>
        </w:tc>
        <w:tc>
          <w:tcPr/>
          <w:p>
            <w:pPr>
              <w:pStyle w:val="Compact"/>
              <w:jc w:val="center"/>
            </w:pPr>
            <w:r>
              <w:t xml:space="preserve">12</w:t>
            </w:r>
          </w:p>
        </w:tc>
        <w:tc>
          <w:tcPr/>
          <w:p>
            <w:pPr>
              <w:pStyle w:val="Compact"/>
              <w:jc w:val="center"/>
            </w:pPr>
            <w:r>
              <w:t xml:space="preserve">60,599</w:t>
            </w:r>
          </w:p>
        </w:tc>
        <w:tc>
          <w:tcPr/>
          <w:p>
            <w:pPr>
              <w:pStyle w:val="Compact"/>
              <w:jc w:val="center"/>
            </w:pPr>
            <w:r>
              <w:t xml:space="preserve">3</w:t>
            </w:r>
          </w:p>
        </w:tc>
        <w:tc>
          <w:tcPr/>
          <w:p>
            <w:pPr>
              <w:pStyle w:val="Compact"/>
              <w:jc w:val="center"/>
            </w:pPr>
            <w:r>
              <w:t xml:space="preserve">120,656</w:t>
            </w:r>
          </w:p>
        </w:tc>
      </w:tr>
      <w:tr>
        <w:tc>
          <w:tcPr/>
          <w:p>
            <w:pPr>
              <w:pStyle w:val="Compact"/>
              <w:jc w:val="center"/>
            </w:pPr>
            <w:r>
              <w:t xml:space="preserve">org_2825</w:t>
            </w:r>
          </w:p>
        </w:tc>
        <w:tc>
          <w:tcPr/>
          <w:p>
            <w:pPr>
              <w:pStyle w:val="Compact"/>
              <w:jc w:val="center"/>
            </w:pPr>
            <w:r>
              <w:t xml:space="preserve">49,692</w:t>
            </w:r>
          </w:p>
        </w:tc>
        <w:tc>
          <w:tcPr/>
          <w:p>
            <w:pPr>
              <w:pStyle w:val="Compact"/>
              <w:jc w:val="center"/>
            </w:pPr>
            <w:r>
              <w:t xml:space="preserve">15</w:t>
            </w:r>
          </w:p>
        </w:tc>
        <w:tc>
          <w:tcPr/>
          <w:p>
            <w:pPr>
              <w:pStyle w:val="Compact"/>
              <w:jc w:val="center"/>
            </w:pPr>
            <w:r>
              <w:t xml:space="preserve">39,572</w:t>
            </w:r>
          </w:p>
        </w:tc>
        <w:tc>
          <w:tcPr/>
          <w:p>
            <w:pPr>
              <w:pStyle w:val="Compact"/>
              <w:jc w:val="center"/>
            </w:pPr>
            <w:r>
              <w:t xml:space="preserve">4</w:t>
            </w:r>
          </w:p>
        </w:tc>
        <w:tc>
          <w:tcPr/>
          <w:p>
            <w:pPr>
              <w:pStyle w:val="Compact"/>
              <w:jc w:val="center"/>
            </w:pPr>
            <w:r>
              <w:t xml:space="preserve">89,264</w:t>
            </w:r>
          </w:p>
        </w:tc>
      </w:tr>
      <w:tr>
        <w:tc>
          <w:tcPr/>
          <w:p>
            <w:pPr>
              <w:pStyle w:val="Compact"/>
              <w:jc w:val="center"/>
            </w:pPr>
            <w:r>
              <w:t xml:space="preserve">org_2690</w:t>
            </w:r>
          </w:p>
        </w:tc>
        <w:tc>
          <w:tcPr/>
          <w:p>
            <w:pPr>
              <w:pStyle w:val="Compact"/>
              <w:jc w:val="center"/>
            </w:pPr>
            <w:r>
              <w:t xml:space="preserve">103,611</w:t>
            </w:r>
          </w:p>
        </w:tc>
        <w:tc>
          <w:tcPr/>
          <w:p>
            <w:pPr>
              <w:pStyle w:val="Compact"/>
              <w:jc w:val="center"/>
            </w:pPr>
            <w:r>
              <w:t xml:space="preserve">8</w:t>
            </w:r>
          </w:p>
        </w:tc>
        <w:tc>
          <w:tcPr/>
          <w:p>
            <w:pPr>
              <w:pStyle w:val="Compact"/>
              <w:jc w:val="center"/>
            </w:pPr>
            <w:r>
              <w:t xml:space="preserve">33,121</w:t>
            </w:r>
          </w:p>
        </w:tc>
        <w:tc>
          <w:tcPr/>
          <w:p>
            <w:pPr>
              <w:pStyle w:val="Compact"/>
              <w:jc w:val="center"/>
            </w:pPr>
            <w:r>
              <w:t xml:space="preserve">5</w:t>
            </w:r>
          </w:p>
        </w:tc>
        <w:tc>
          <w:tcPr/>
          <w:p>
            <w:pPr>
              <w:pStyle w:val="Compact"/>
              <w:jc w:val="center"/>
            </w:pPr>
            <w:r>
              <w:t xml:space="preserve">136,732</w:t>
            </w:r>
          </w:p>
        </w:tc>
      </w:tr>
      <w:tr>
        <w:tc>
          <w:tcPr/>
          <w:p>
            <w:pPr>
              <w:pStyle w:val="Compact"/>
              <w:jc w:val="center"/>
            </w:pPr>
            <w:r>
              <w:t xml:space="preserve">org_5677</w:t>
            </w:r>
          </w:p>
        </w:tc>
        <w:tc>
          <w:tcPr/>
          <w:p>
            <w:pPr>
              <w:pStyle w:val="Compact"/>
              <w:jc w:val="center"/>
            </w:pPr>
            <w:r>
              <w:t xml:space="preserve">165,794</w:t>
            </w:r>
          </w:p>
        </w:tc>
        <w:tc>
          <w:tcPr/>
          <w:p>
            <w:pPr>
              <w:pStyle w:val="Compact"/>
              <w:jc w:val="center"/>
            </w:pPr>
            <w:r>
              <w:t xml:space="preserve">4</w:t>
            </w:r>
          </w:p>
        </w:tc>
        <w:tc>
          <w:tcPr/>
          <w:p>
            <w:pPr>
              <w:pStyle w:val="Compact"/>
              <w:jc w:val="center"/>
            </w:pPr>
            <w:r>
              <w:t xml:space="preserve">30,290</w:t>
            </w:r>
          </w:p>
        </w:tc>
        <w:tc>
          <w:tcPr/>
          <w:p>
            <w:pPr>
              <w:pStyle w:val="Compact"/>
              <w:jc w:val="center"/>
            </w:pPr>
            <w:r>
              <w:t xml:space="preserve">6</w:t>
            </w:r>
          </w:p>
        </w:tc>
        <w:tc>
          <w:tcPr/>
          <w:p>
            <w:pPr>
              <w:pStyle w:val="Compact"/>
              <w:jc w:val="center"/>
            </w:pPr>
            <w:r>
              <w:t xml:space="preserve">196,084</w:t>
            </w:r>
          </w:p>
        </w:tc>
      </w:tr>
      <w:tr>
        <w:tc>
          <w:tcPr/>
          <w:p>
            <w:pPr>
              <w:pStyle w:val="Compact"/>
              <w:jc w:val="center"/>
            </w:pPr>
            <w:r>
              <w:t xml:space="preserve">org_5604</w:t>
            </w:r>
          </w:p>
        </w:tc>
        <w:tc>
          <w:tcPr/>
          <w:p>
            <w:pPr>
              <w:pStyle w:val="Compact"/>
              <w:jc w:val="center"/>
            </w:pPr>
            <w:r>
              <w:t xml:space="preserve">40,279</w:t>
            </w:r>
          </w:p>
        </w:tc>
        <w:tc>
          <w:tcPr/>
          <w:p>
            <w:pPr>
              <w:pStyle w:val="Compact"/>
              <w:jc w:val="center"/>
            </w:pPr>
            <w:r>
              <w:t xml:space="preserve">17</w:t>
            </w:r>
          </w:p>
        </w:tc>
        <w:tc>
          <w:tcPr/>
          <w:p>
            <w:pPr>
              <w:pStyle w:val="Compact"/>
              <w:jc w:val="center"/>
            </w:pPr>
            <w:r>
              <w:t xml:space="preserve">24,298</w:t>
            </w:r>
          </w:p>
        </w:tc>
        <w:tc>
          <w:tcPr/>
          <w:p>
            <w:pPr>
              <w:pStyle w:val="Compact"/>
              <w:jc w:val="center"/>
            </w:pPr>
            <w:r>
              <w:t xml:space="preserve">7</w:t>
            </w:r>
          </w:p>
        </w:tc>
        <w:tc>
          <w:tcPr/>
          <w:p>
            <w:pPr>
              <w:pStyle w:val="Compact"/>
              <w:jc w:val="center"/>
            </w:pPr>
            <w:r>
              <w:t xml:space="preserve">64,577</w:t>
            </w:r>
          </w:p>
        </w:tc>
      </w:tr>
      <w:tr>
        <w:tc>
          <w:tcPr/>
          <w:p>
            <w:pPr>
              <w:pStyle w:val="Compact"/>
              <w:jc w:val="center"/>
            </w:pPr>
            <w:r>
              <w:t xml:space="preserve">org_5034</w:t>
            </w:r>
          </w:p>
        </w:tc>
        <w:tc>
          <w:tcPr/>
          <w:p>
            <w:pPr>
              <w:pStyle w:val="Compact"/>
              <w:jc w:val="center"/>
            </w:pPr>
            <w:r>
              <w:t xml:space="preserve">8,651</w:t>
            </w:r>
          </w:p>
        </w:tc>
        <w:tc>
          <w:tcPr/>
          <w:p>
            <w:pPr>
              <w:pStyle w:val="Compact"/>
              <w:jc w:val="center"/>
            </w:pPr>
            <w:r>
              <w:t xml:space="preserve">27</w:t>
            </w:r>
          </w:p>
        </w:tc>
        <w:tc>
          <w:tcPr/>
          <w:p>
            <w:pPr>
              <w:pStyle w:val="Compact"/>
              <w:jc w:val="center"/>
            </w:pPr>
            <w:r>
              <w:t xml:space="preserve">7,708</w:t>
            </w:r>
          </w:p>
        </w:tc>
        <w:tc>
          <w:tcPr/>
          <w:p>
            <w:pPr>
              <w:pStyle w:val="Compact"/>
              <w:jc w:val="center"/>
            </w:pPr>
            <w:r>
              <w:t xml:space="preserve">8</w:t>
            </w:r>
          </w:p>
        </w:tc>
        <w:tc>
          <w:tcPr/>
          <w:p>
            <w:pPr>
              <w:pStyle w:val="Compact"/>
              <w:jc w:val="center"/>
            </w:pPr>
            <w:r>
              <w:t xml:space="preserve">16,359</w:t>
            </w:r>
          </w:p>
        </w:tc>
      </w:tr>
      <w:tr>
        <w:tc>
          <w:tcPr/>
          <w:p>
            <w:pPr>
              <w:pStyle w:val="Compact"/>
              <w:jc w:val="center"/>
            </w:pPr>
            <w:r>
              <w:t xml:space="preserve">org_6130</w:t>
            </w:r>
          </w:p>
        </w:tc>
        <w:tc>
          <w:tcPr/>
          <w:p>
            <w:pPr>
              <w:pStyle w:val="Compact"/>
              <w:jc w:val="center"/>
            </w:pPr>
            <w:r>
              <w:t xml:space="preserve">71,467</w:t>
            </w:r>
          </w:p>
        </w:tc>
        <w:tc>
          <w:tcPr/>
          <w:p>
            <w:pPr>
              <w:pStyle w:val="Compact"/>
              <w:jc w:val="center"/>
            </w:pPr>
            <w:r>
              <w:t xml:space="preserve">11</w:t>
            </w:r>
          </w:p>
        </w:tc>
        <w:tc>
          <w:tcPr/>
          <w:p>
            <w:pPr>
              <w:pStyle w:val="Compact"/>
              <w:jc w:val="center"/>
            </w:pPr>
            <w:r>
              <w:t xml:space="preserve">5,703</w:t>
            </w:r>
          </w:p>
        </w:tc>
        <w:tc>
          <w:tcPr/>
          <w:p>
            <w:pPr>
              <w:pStyle w:val="Compact"/>
              <w:jc w:val="center"/>
            </w:pPr>
            <w:r>
              <w:t xml:space="preserve">9</w:t>
            </w:r>
          </w:p>
        </w:tc>
        <w:tc>
          <w:tcPr/>
          <w:p>
            <w:pPr>
              <w:pStyle w:val="Compact"/>
              <w:jc w:val="center"/>
            </w:pPr>
            <w:r>
              <w:t xml:space="preserve">77,170</w:t>
            </w:r>
          </w:p>
        </w:tc>
      </w:tr>
      <w:tr>
        <w:tc>
          <w:tcPr/>
          <w:p>
            <w:pPr>
              <w:pStyle w:val="Compact"/>
              <w:jc w:val="center"/>
            </w:pPr>
            <w:r>
              <w:t xml:space="preserve">org_2537</w:t>
            </w:r>
          </w:p>
        </w:tc>
        <w:tc>
          <w:tcPr/>
          <w:p>
            <w:pPr>
              <w:pStyle w:val="Compact"/>
              <w:jc w:val="center"/>
            </w:pPr>
            <w:r>
              <w:t xml:space="preserve">6,052</w:t>
            </w:r>
          </w:p>
        </w:tc>
        <w:tc>
          <w:tcPr/>
          <w:p>
            <w:pPr>
              <w:pStyle w:val="Compact"/>
              <w:jc w:val="center"/>
            </w:pPr>
            <w:r>
              <w:t xml:space="preserve">29</w:t>
            </w:r>
          </w:p>
        </w:tc>
        <w:tc>
          <w:tcPr/>
          <w:p>
            <w:pPr>
              <w:pStyle w:val="Compact"/>
              <w:jc w:val="center"/>
            </w:pPr>
            <w:r>
              <w:t xml:space="preserve">3,450</w:t>
            </w:r>
          </w:p>
        </w:tc>
        <w:tc>
          <w:tcPr/>
          <w:p>
            <w:pPr>
              <w:pStyle w:val="Compact"/>
              <w:jc w:val="center"/>
            </w:pPr>
            <w:r>
              <w:t xml:space="preserve">10</w:t>
            </w:r>
          </w:p>
        </w:tc>
        <w:tc>
          <w:tcPr/>
          <w:p>
            <w:pPr>
              <w:pStyle w:val="Compact"/>
              <w:jc w:val="center"/>
            </w:pPr>
            <w:r>
              <w:t xml:space="preserve">9,502</w:t>
            </w:r>
          </w:p>
        </w:tc>
      </w:tr>
      <w:tr>
        <w:tc>
          <w:tcPr/>
          <w:p>
            <w:pPr>
              <w:pStyle w:val="Compact"/>
              <w:jc w:val="center"/>
            </w:pPr>
            <w:r>
              <w:t xml:space="preserve">org_6660</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1,820</w:t>
            </w:r>
          </w:p>
        </w:tc>
        <w:tc>
          <w:tcPr/>
          <w:p>
            <w:pPr>
              <w:pStyle w:val="Compact"/>
              <w:jc w:val="center"/>
            </w:pPr>
            <w:r>
              <w:t xml:space="preserve">11</w:t>
            </w:r>
          </w:p>
        </w:tc>
        <w:tc>
          <w:tcPr/>
          <w:p>
            <w:pPr>
              <w:pStyle w:val="Compact"/>
              <w:jc w:val="center"/>
            </w:pPr>
            <w:r>
              <w:t xml:space="preserve">1,820</w:t>
            </w:r>
          </w:p>
        </w:tc>
      </w:tr>
      <w:tr>
        <w:tc>
          <w:tcPr/>
          <w:p>
            <w:pPr>
              <w:pStyle w:val="Compact"/>
              <w:jc w:val="center"/>
            </w:pPr>
            <w:r>
              <w:t xml:space="preserve">org_9761</w:t>
            </w:r>
          </w:p>
        </w:tc>
        <w:tc>
          <w:tcPr/>
          <w:p>
            <w:pPr>
              <w:pStyle w:val="Compact"/>
              <w:jc w:val="center"/>
            </w:pPr>
            <w:r>
              <w:t xml:space="preserve">15,095</w:t>
            </w:r>
          </w:p>
        </w:tc>
        <w:tc>
          <w:tcPr/>
          <w:p>
            <w:pPr>
              <w:pStyle w:val="Compact"/>
              <w:jc w:val="center"/>
            </w:pPr>
            <w:r>
              <w:t xml:space="preserve">23</w:t>
            </w:r>
          </w:p>
        </w:tc>
        <w:tc>
          <w:tcPr/>
          <w:p>
            <w:pPr>
              <w:pStyle w:val="Compact"/>
              <w:jc w:val="center"/>
            </w:pPr>
            <w:r>
              <w:t xml:space="preserve">1,040</w:t>
            </w:r>
          </w:p>
        </w:tc>
        <w:tc>
          <w:tcPr/>
          <w:p>
            <w:pPr>
              <w:pStyle w:val="Compact"/>
              <w:jc w:val="center"/>
            </w:pPr>
            <w:r>
              <w:t xml:space="preserve">12</w:t>
            </w:r>
          </w:p>
        </w:tc>
        <w:tc>
          <w:tcPr/>
          <w:p>
            <w:pPr>
              <w:pStyle w:val="Compact"/>
              <w:jc w:val="center"/>
            </w:pPr>
            <w:r>
              <w:t xml:space="preserve">16,135</w:t>
            </w:r>
          </w:p>
        </w:tc>
      </w:tr>
      <w:tr>
        <w:tc>
          <w:tcPr/>
          <w:p>
            <w:pPr>
              <w:pStyle w:val="Compact"/>
              <w:jc w:val="center"/>
            </w:pPr>
            <w:r>
              <w:t xml:space="preserve">org_8777</w:t>
            </w:r>
          </w:p>
        </w:tc>
        <w:tc>
          <w:tcPr/>
          <w:p>
            <w:pPr>
              <w:pStyle w:val="Compact"/>
              <w:jc w:val="center"/>
            </w:pPr>
            <w:r>
              <w:t xml:space="preserve">1,075</w:t>
            </w:r>
          </w:p>
        </w:tc>
        <w:tc>
          <w:tcPr/>
          <w:p>
            <w:pPr>
              <w:pStyle w:val="Compact"/>
              <w:jc w:val="center"/>
            </w:pPr>
            <w:r>
              <w:t xml:space="preserve">46</w:t>
            </w:r>
          </w:p>
        </w:tc>
        <w:tc>
          <w:tcPr/>
          <w:p>
            <w:pPr>
              <w:pStyle w:val="Compact"/>
              <w:jc w:val="center"/>
            </w:pPr>
            <w:r>
              <w:t xml:space="preserve">972</w:t>
            </w:r>
          </w:p>
        </w:tc>
        <w:tc>
          <w:tcPr/>
          <w:p>
            <w:pPr>
              <w:pStyle w:val="Compact"/>
              <w:jc w:val="center"/>
            </w:pPr>
            <w:r>
              <w:t xml:space="preserve">13</w:t>
            </w:r>
          </w:p>
        </w:tc>
        <w:tc>
          <w:tcPr/>
          <w:p>
            <w:pPr>
              <w:pStyle w:val="Compact"/>
              <w:jc w:val="center"/>
            </w:pPr>
            <w:r>
              <w:t xml:space="preserve">2,047</w:t>
            </w:r>
          </w:p>
        </w:tc>
      </w:tr>
      <w:tr>
        <w:tc>
          <w:tcPr/>
          <w:p>
            <w:pPr>
              <w:pStyle w:val="Compact"/>
              <w:jc w:val="center"/>
            </w:pPr>
            <w:r>
              <w:t xml:space="preserve">org_1468</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301</w:t>
            </w:r>
          </w:p>
        </w:tc>
        <w:tc>
          <w:tcPr/>
          <w:p>
            <w:pPr>
              <w:pStyle w:val="Compact"/>
              <w:jc w:val="center"/>
            </w:pPr>
            <w:r>
              <w:t xml:space="preserve">14</w:t>
            </w:r>
          </w:p>
        </w:tc>
        <w:tc>
          <w:tcPr/>
          <w:p>
            <w:pPr>
              <w:pStyle w:val="Compact"/>
              <w:jc w:val="center"/>
            </w:pPr>
            <w:r>
              <w:t xml:space="preserve">301</w:t>
            </w:r>
          </w:p>
        </w:tc>
      </w:tr>
      <w:tr>
        <w:tc>
          <w:tcPr/>
          <w:p>
            <w:pPr>
              <w:pStyle w:val="Compact"/>
              <w:jc w:val="center"/>
            </w:pPr>
            <w:r>
              <w:t xml:space="preserve">org_7970</w:t>
            </w:r>
          </w:p>
        </w:tc>
        <w:tc>
          <w:tcPr/>
          <w:p>
            <w:pPr>
              <w:pStyle w:val="Compact"/>
              <w:jc w:val="center"/>
            </w:pPr>
            <w:r>
              <w:t xml:space="preserve">2,580</w:t>
            </w:r>
          </w:p>
        </w:tc>
        <w:tc>
          <w:tcPr/>
          <w:p>
            <w:pPr>
              <w:pStyle w:val="Compact"/>
              <w:jc w:val="center"/>
            </w:pPr>
            <w:r>
              <w:t xml:space="preserve">40</w:t>
            </w:r>
          </w:p>
        </w:tc>
        <w:tc>
          <w:tcPr/>
          <w:p>
            <w:pPr>
              <w:pStyle w:val="Compact"/>
              <w:jc w:val="center"/>
            </w:pPr>
            <w:r>
              <w:t xml:space="preserve">242</w:t>
            </w:r>
          </w:p>
        </w:tc>
        <w:tc>
          <w:tcPr/>
          <w:p>
            <w:pPr>
              <w:pStyle w:val="Compact"/>
              <w:jc w:val="center"/>
            </w:pPr>
            <w:r>
              <w:t xml:space="preserve">15</w:t>
            </w:r>
          </w:p>
        </w:tc>
        <w:tc>
          <w:tcPr/>
          <w:p>
            <w:pPr>
              <w:pStyle w:val="Compact"/>
              <w:jc w:val="center"/>
            </w:pPr>
            <w:r>
              <w:t xml:space="preserve">2,822</w:t>
            </w:r>
          </w:p>
        </w:tc>
      </w:tr>
    </w:tbl>
    <w:p>
      <w:pPr>
        <w:pStyle w:val="BodyText"/>
      </w:pPr>
    </w:p>
    <w:bookmarkEnd w:id="96"/>
    <w:bookmarkStart w:id="97" w:name="donors"/>
    <w:p>
      <w:pPr>
        <w:pStyle w:val="Heading3"/>
      </w:pPr>
      <w:r>
        <w:t xml:space="preserve">5.3 Donors</w:t>
      </w:r>
    </w:p>
    <w:p>
      <w:pPr>
        <w:pStyle w:val="FirstParagraph"/>
      </w:pPr>
      <w:r>
        <w:t xml:space="preserve">As shown by the table below, the majority of beneficiaries reported in the first quarter of 2022/Q1 were reported without any corresponding donor, as in 2021. The data in this column continues of limited utility in analysis.</w:t>
      </w:r>
    </w:p>
    <w:p>
      <w:pPr>
        <w:pStyle w:val="TableCaption"/>
      </w:pPr>
      <w:r>
        <w:t xml:space="preserve">Top donors by benficiaries reached</w:t>
      </w:r>
    </w:p>
    <w:tbl>
      <w:tblPr>
        <w:tblStyle w:val="Table"/>
        <w:tblW w:type="pct" w:w="3819"/>
        <w:tblLook w:firstRow="1" w:lastRow="0" w:firstColumn="0" w:lastColumn="0" w:noHBand="0" w:noVBand="0" w:val="0020"/>
        <w:tblCaption w:val="Top donors by benficiaries reached"/>
      </w:tblPr>
      <w:tblGrid>
        <w:gridCol w:w="2310"/>
        <w:gridCol w:w="1760"/>
        <w:gridCol w:w="1980"/>
      </w:tblGrid>
      <w:tr>
        <w:trPr>
          <w:tblHeader w:val="true"/>
        </w:trPr>
        <w:tc>
          <w:tcPr/>
          <w:p>
            <w:pPr>
              <w:pStyle w:val="Compact"/>
              <w:jc w:val="center"/>
            </w:pPr>
            <w:r>
              <w:t xml:space="preserve">donor</w:t>
            </w:r>
          </w:p>
        </w:tc>
        <w:tc>
          <w:tcPr/>
          <w:p>
            <w:pPr>
              <w:pStyle w:val="Compact"/>
              <w:jc w:val="center"/>
            </w:pPr>
            <w:r>
              <w:t xml:space="preserve">beneficiaries</w:t>
            </w:r>
          </w:p>
        </w:tc>
        <w:tc>
          <w:tcPr/>
          <w:p>
            <w:pPr>
              <w:pStyle w:val="Compact"/>
              <w:jc w:val="center"/>
            </w:pPr>
            <w:r>
              <w:t xml:space="preserve">%_beneficiaries</w:t>
            </w:r>
          </w:p>
        </w:tc>
      </w:tr>
      <w:tr>
        <w:tc>
          <w:tcPr/>
          <w:p>
            <w:pPr>
              <w:pStyle w:val="Compact"/>
              <w:jc w:val="center"/>
            </w:pPr>
            <w:r>
              <w:t xml:space="preserve">No donor specified</w:t>
            </w:r>
          </w:p>
        </w:tc>
        <w:tc>
          <w:tcPr/>
          <w:p>
            <w:pPr>
              <w:pStyle w:val="Compact"/>
              <w:jc w:val="center"/>
            </w:pPr>
            <w:r>
              <w:t xml:space="preserve">354,700</w:t>
            </w:r>
          </w:p>
        </w:tc>
        <w:tc>
          <w:tcPr/>
          <w:p>
            <w:pPr>
              <w:pStyle w:val="Compact"/>
              <w:jc w:val="center"/>
            </w:pPr>
            <w:r>
              <w:t xml:space="preserve">97.43</w:t>
            </w:r>
          </w:p>
        </w:tc>
      </w:tr>
      <w:tr>
        <w:tc>
          <w:tcPr/>
          <w:p>
            <w:pPr>
              <w:pStyle w:val="Compact"/>
              <w:jc w:val="center"/>
            </w:pPr>
            <w:r>
              <w:t xml:space="preserve">CERF</w:t>
            </w:r>
          </w:p>
        </w:tc>
        <w:tc>
          <w:tcPr/>
          <w:p>
            <w:pPr>
              <w:pStyle w:val="Compact"/>
              <w:jc w:val="center"/>
            </w:pPr>
            <w:r>
              <w:t xml:space="preserve">4,131</w:t>
            </w:r>
          </w:p>
        </w:tc>
        <w:tc>
          <w:tcPr/>
          <w:p>
            <w:pPr>
              <w:pStyle w:val="Compact"/>
              <w:jc w:val="center"/>
            </w:pPr>
            <w:r>
              <w:t xml:space="preserve">1.13</w:t>
            </w:r>
          </w:p>
        </w:tc>
      </w:tr>
      <w:tr>
        <w:tc>
          <w:tcPr/>
          <w:p>
            <w:pPr>
              <w:pStyle w:val="Compact"/>
              <w:jc w:val="center"/>
            </w:pPr>
            <w:r>
              <w:t xml:space="preserve">UN Women</w:t>
            </w:r>
          </w:p>
        </w:tc>
        <w:tc>
          <w:tcPr/>
          <w:p>
            <w:pPr>
              <w:pStyle w:val="Compact"/>
              <w:jc w:val="center"/>
            </w:pPr>
            <w:r>
              <w:t xml:space="preserve">2,080</w:t>
            </w:r>
          </w:p>
        </w:tc>
        <w:tc>
          <w:tcPr/>
          <w:p>
            <w:pPr>
              <w:pStyle w:val="Compact"/>
              <w:jc w:val="center"/>
            </w:pPr>
            <w:r>
              <w:t xml:space="preserve">0.57</w:t>
            </w:r>
          </w:p>
        </w:tc>
      </w:tr>
      <w:tr>
        <w:tc>
          <w:tcPr/>
          <w:p>
            <w:pPr>
              <w:pStyle w:val="Compact"/>
              <w:jc w:val="center"/>
            </w:pPr>
            <w:r>
              <w:t xml:space="preserve">ECHO</w:t>
            </w:r>
          </w:p>
        </w:tc>
        <w:tc>
          <w:tcPr/>
          <w:p>
            <w:pPr>
              <w:pStyle w:val="Compact"/>
              <w:jc w:val="center"/>
            </w:pPr>
            <w:r>
              <w:t xml:space="preserve">1,797</w:t>
            </w:r>
          </w:p>
        </w:tc>
        <w:tc>
          <w:tcPr/>
          <w:p>
            <w:pPr>
              <w:pStyle w:val="Compact"/>
              <w:jc w:val="center"/>
            </w:pPr>
            <w:r>
              <w:t xml:space="preserve">0.49</w:t>
            </w:r>
          </w:p>
        </w:tc>
      </w:tr>
      <w:tr>
        <w:tc>
          <w:tcPr/>
          <w:p>
            <w:pPr>
              <w:pStyle w:val="Compact"/>
              <w:jc w:val="center"/>
            </w:pPr>
            <w:r>
              <w:t xml:space="preserve">SIDA</w:t>
            </w:r>
          </w:p>
        </w:tc>
        <w:tc>
          <w:tcPr/>
          <w:p>
            <w:pPr>
              <w:pStyle w:val="Compact"/>
              <w:jc w:val="center"/>
            </w:pPr>
            <w:r>
              <w:t xml:space="preserve">1,040</w:t>
            </w:r>
          </w:p>
        </w:tc>
        <w:tc>
          <w:tcPr/>
          <w:p>
            <w:pPr>
              <w:pStyle w:val="Compact"/>
              <w:jc w:val="center"/>
            </w:pPr>
            <w:r>
              <w:t xml:space="preserve">0.29</w:t>
            </w:r>
          </w:p>
        </w:tc>
      </w:tr>
      <w:tr>
        <w:tc>
          <w:tcPr/>
          <w:p>
            <w:pPr>
              <w:pStyle w:val="Compact"/>
              <w:jc w:val="center"/>
            </w:pPr>
            <w:r>
              <w:t xml:space="preserve">Other donors</w:t>
            </w:r>
          </w:p>
        </w:tc>
        <w:tc>
          <w:tcPr/>
          <w:p>
            <w:pPr>
              <w:pStyle w:val="Compact"/>
              <w:jc w:val="center"/>
            </w:pPr>
            <w:r>
              <w:t xml:space="preserve">296</w:t>
            </w:r>
          </w:p>
        </w:tc>
        <w:tc>
          <w:tcPr/>
          <w:p>
            <w:pPr>
              <w:pStyle w:val="Compact"/>
              <w:jc w:val="center"/>
            </w:pPr>
            <w:r>
              <w:t xml:space="preserve">0.08</w:t>
            </w:r>
          </w:p>
        </w:tc>
      </w:tr>
    </w:tbl>
    <w:p>
      <w:pPr>
        <w:pStyle w:val="BodyText"/>
      </w:pPr>
    </w:p>
    <w:bookmarkEnd w:id="97"/>
    <w:bookmarkEnd w:id="98"/>
    <w:bookmarkStart w:id="111" w:name="comparison-with-targets"/>
    <w:p>
      <w:pPr>
        <w:pStyle w:val="Heading2"/>
      </w:pPr>
      <w:r>
        <w:t xml:space="preserve">6. Comparison with targets</w:t>
      </w:r>
    </w:p>
    <w:bookmarkStart w:id="102" w:name="reached-vs-target-by-township"/>
    <w:p>
      <w:pPr>
        <w:pStyle w:val="Heading3"/>
      </w:pPr>
      <w:r>
        <w:t xml:space="preserve">6.2 Reached vs target by township</w:t>
      </w:r>
    </w:p>
    <w:p>
      <w:pPr>
        <w:pStyle w:val="FirstParagraph"/>
      </w:pPr>
      <w:r>
        <w:t xml:space="preserve">The specifics of each township can be reviewed with the interactive plot below. Each point is a township, with the size indicating the number of beneficiaries. The x-axis indicates the target population by township and the y-axis shows the number of beneficiaries reached in 2022/Q1.</w:t>
      </w:r>
    </w:p>
    <w:p>
      <w:pPr>
        <w:pStyle w:val="BodyText"/>
      </w:pPr>
      <w:r>
        <w:t xml:space="preserve">The red line down the middle represents reaching 100% of the target. Townships above this line have reached more beneficiaries than their target and townships below the line have not met their target yet. The further away a township is from the red line, the further above or below its target it is. Mouse over each of the townships to see more details.</w:t>
      </w:r>
    </w:p>
    <w:p>
      <w:pPr>
        <w:pStyle w:val="BodyText"/>
      </w:pPr>
      <w:r>
        <w:t xml:space="preserve">The 12 townships along the extreme left side of the plot have beneficiaries but do not have targets (their targets have just been coded as</w:t>
      </w:r>
      <w:r>
        <w:t xml:space="preserve"> </w:t>
      </w:r>
      <m:oMath>
        <m:r>
          <m:t>1</m:t>
        </m:r>
      </m:oMath>
      <w:r>
        <w:t xml:space="preserve"> </w:t>
      </w:r>
      <w:r>
        <w:t xml:space="preserve">so that they show up on the plot). 230 townships with targets have not been reached.</w:t>
      </w:r>
    </w:p>
    <w:p>
      <w:pPr>
        <w:pStyle w:val="BodyText"/>
      </w:pPr>
    </w:p>
    <w:p>
      <w:pPr>
        <w:pStyle w:val="BodyText"/>
      </w:pPr>
      <w:r>
        <w:drawing>
          <wp:inline>
            <wp:extent cx="5334000" cy="2370666"/>
            <wp:effectExtent b="0" l="0" r="0" t="0"/>
            <wp:docPr descr="" title="" id="100" name="Picture"/>
            <a:graphic>
              <a:graphicData uri="http://schemas.openxmlformats.org/drawingml/2006/picture">
                <pic:pic>
                  <pic:nvPicPr>
                    <pic:cNvPr descr="fsc_q1_2022_northwest_word_files/figure-docx/plotly-tsp-comparison-reached-target-1.png" id="101" name="Picture"/>
                    <pic:cNvPicPr>
                      <a:picLocks noChangeArrowheads="1" noChangeAspect="1"/>
                    </pic:cNvPicPr>
                  </pic:nvPicPr>
                  <pic:blipFill>
                    <a:blip r:embed="rId99"/>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bookmarkEnd w:id="102"/>
    <w:bookmarkStart w:id="106" w:name="Xf6202bbef52470b1db916a6197bcfb79df86d8d"/>
    <w:p>
      <w:pPr>
        <w:pStyle w:val="Heading3"/>
      </w:pPr>
      <w:r>
        <w:t xml:space="preserve">6.2 Map of beneficiaries reached in 2022/Q1 vs target</w:t>
      </w:r>
    </w:p>
    <w:p>
      <w:pPr>
        <w:pStyle w:val="FirstParagraph"/>
      </w:pPr>
      <w:r>
        <w:drawing>
          <wp:inline>
            <wp:extent cx="5334000" cy="5334000"/>
            <wp:effectExtent b="0" l="0" r="0" t="0"/>
            <wp:docPr descr="" title="" id="104" name="Picture"/>
            <a:graphic>
              <a:graphicData uri="http://schemas.openxmlformats.org/drawingml/2006/picture">
                <pic:pic>
                  <pic:nvPicPr>
                    <pic:cNvPr descr="fsc_q1_2022_northwest_word_files/figure-docx/maps-ben-target-1.png" id="105" name="Picture"/>
                    <pic:cNvPicPr>
                      <a:picLocks noChangeArrowheads="1" noChangeAspect="1"/>
                    </pic:cNvPicPr>
                  </pic:nvPicPr>
                  <pic:blipFill>
                    <a:blip r:embed="rId103"/>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p>
    <w:p>
      <w:pPr>
        <w:pStyle w:val="BodyText"/>
      </w:pPr>
      <w:r>
        <w:t xml:space="preserve">With the important exceptions of Yangon and the Southeast, beneficiaries are concentrated in the peripheral and border regions of the union, where humanitarian actors have traditionally been present. As mentioned in previous reports, this is not consistent with the current patterns of needs and vulnerability.</w:t>
      </w:r>
    </w:p>
    <w:p>
      <w:pPr>
        <w:pStyle w:val="BodyText"/>
      </w:pPr>
    </w:p>
    <w:bookmarkEnd w:id="106"/>
    <w:bookmarkStart w:id="110" w:name="interactive-reference-table"/>
    <w:p>
      <w:pPr>
        <w:pStyle w:val="Heading3"/>
      </w:pPr>
      <w:r>
        <w:t xml:space="preserve">6.3 Interactive reference table</w:t>
      </w:r>
    </w:p>
    <w:p>
      <w:pPr>
        <w:pStyle w:val="FirstParagraph"/>
      </w:pPr>
      <w:r>
        <w:t xml:space="preserve">There was an overallocation of resources in these relatively few areas in 2021 and this has continued in the first quarter of 2022. In the interactive table below, is a list of townships sorted by the gap between the targeted population and beneficiaries reached in 2022. Any of the columns can be sort; the search bars above each column can also assist in filtering.</w:t>
      </w:r>
    </w:p>
    <w:p>
      <w:pPr>
        <w:pStyle w:val="BodyText"/>
      </w:pPr>
    </w:p>
    <w:p>
      <w:pPr>
        <w:pStyle w:val="BodyText"/>
      </w:pPr>
      <w:r>
        <w:drawing>
          <wp:inline>
            <wp:extent cx="4233333" cy="2683933"/>
            <wp:effectExtent b="0" l="0" r="0" t="0"/>
            <wp:docPr descr="" title="" id="108" name="Picture"/>
            <a:graphic>
              <a:graphicData uri="http://schemas.openxmlformats.org/drawingml/2006/picture">
                <pic:pic>
                  <pic:nvPicPr>
                    <pic:cNvPr descr="fsc_q1_2022_northwest_word_files/figure-docx/unnamed-chunk-9-1.png" id="109" name="Picture"/>
                    <pic:cNvPicPr>
                      <a:picLocks noChangeArrowheads="1" noChangeAspect="1"/>
                    </pic:cNvPicPr>
                  </pic:nvPicPr>
                  <pic:blipFill>
                    <a:blip r:embed="rId107"/>
                    <a:stretch>
                      <a:fillRect/>
                    </a:stretch>
                  </pic:blipFill>
                  <pic:spPr bwMode="auto">
                    <a:xfrm>
                      <a:off x="0" y="0"/>
                      <a:ext cx="4233333" cy="2683933"/>
                    </a:xfrm>
                    <a:prstGeom prst="rect">
                      <a:avLst/>
                    </a:prstGeom>
                    <a:noFill/>
                    <a:ln w="9525">
                      <a:noFill/>
                      <a:headEnd/>
                      <a:tailEnd/>
                    </a:ln>
                  </pic:spPr>
                </pic:pic>
              </a:graphicData>
            </a:graphic>
          </wp:inline>
        </w:drawing>
      </w:r>
    </w:p>
    <w:bookmarkEnd w:id="110"/>
    <w:bookmarkEnd w:id="11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1" Target="media/rId71.png" /><Relationship Type="http://schemas.openxmlformats.org/officeDocument/2006/relationships/image" Id="rId41" Target="media/rId41.png" /><Relationship Type="http://schemas.openxmlformats.org/officeDocument/2006/relationships/image" Id="rId24" Target="media/rId24.png" /><Relationship Type="http://schemas.openxmlformats.org/officeDocument/2006/relationships/image" Id="rId61" Target="media/rId61.png" /><Relationship Type="http://schemas.openxmlformats.org/officeDocument/2006/relationships/image" Id="rId48" Target="media/rId48.png" /><Relationship Type="http://schemas.openxmlformats.org/officeDocument/2006/relationships/image" Id="rId45" Target="media/rId45.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103" Target="media/rId103.png" /><Relationship Type="http://schemas.openxmlformats.org/officeDocument/2006/relationships/image" Id="rId57" Target="media/rId57.png" /><Relationship Type="http://schemas.openxmlformats.org/officeDocument/2006/relationships/image" Id="rId93" Target="media/rId93.png" /><Relationship Type="http://schemas.openxmlformats.org/officeDocument/2006/relationships/image" Id="rId68" Target="media/rId68.png" /><Relationship Type="http://schemas.openxmlformats.org/officeDocument/2006/relationships/image" Id="rId89" Target="media/rId89.png" /><Relationship Type="http://schemas.openxmlformats.org/officeDocument/2006/relationships/image" Id="rId64" Target="media/rId64.png" /><Relationship Type="http://schemas.openxmlformats.org/officeDocument/2006/relationships/image" Id="rId99" Target="media/rId99.png" /><Relationship Type="http://schemas.openxmlformats.org/officeDocument/2006/relationships/image" Id="rId37" Target="media/rId37.png" /><Relationship Type="http://schemas.openxmlformats.org/officeDocument/2006/relationships/image" Id="rId76" Target="media/rId76.png" /><Relationship Type="http://schemas.openxmlformats.org/officeDocument/2006/relationships/image" Id="rId81" Target="media/rId81.png" /><Relationship Type="http://schemas.openxmlformats.org/officeDocument/2006/relationships/image" Id="rId84" Target="media/rId84.png" /><Relationship Type="http://schemas.openxmlformats.org/officeDocument/2006/relationships/image" Id="rId107" Target="media/rId107.png" /><Relationship Type="http://schemas.openxmlformats.org/officeDocument/2006/relationships/image" Id="rId53" Target="media/rId53.png" /><Relationship Type="http://schemas.openxmlformats.org/officeDocument/2006/relationships/hyperlink" Id="rId20" Target="https://www.dropbox.com/s/11kv6cvnbvx9hbe/information_sharing_protocol_220323.pdf?dl=0" TargetMode="External" /><Relationship Type="http://schemas.openxmlformats.org/officeDocument/2006/relationships/hyperlink" Id="rId21" Target="https://www.dropbox.com/s/lqwvo7k80s1xnjj/SE%20partner%20data%20protection_final_220323%20translation.pdf?dl=0" TargetMode="External" /></Relationships>
</file>

<file path=word/_rels/footnotes.xml.rels><?xml version="1.0" encoding="UTF-8"?><Relationships xmlns="http://schemas.openxmlformats.org/package/2006/relationships"><Relationship Type="http://schemas.openxmlformats.org/officeDocument/2006/relationships/hyperlink" Id="rId20" Target="https://www.dropbox.com/s/11kv6cvnbvx9hbe/information_sharing_protocol_220323.pdf?dl=0" TargetMode="External" /><Relationship Type="http://schemas.openxmlformats.org/officeDocument/2006/relationships/hyperlink" Id="rId21" Target="https://www.dropbox.com/s/lqwvo7k80s1xnjj/SE%20partner%20data%20protection_final_220323%20translation.pdf?dl=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Snapshot report on the 5Ws</dc:title>
  <dc:creator>Myanmar Food Security Cluster</dc:creator>
  <cp:keywords/>
  <dcterms:created xsi:type="dcterms:W3CDTF">2022-05-12T10:30:29Z</dcterms:created>
  <dcterms:modified xsi:type="dcterms:W3CDTF">2022-05-12T10:30:29Z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2022-05-06</vt:lpwstr>
  </property>
  <property fmtid="{D5CDD505-2E9C-101B-9397-08002B2CF9AE}" pid="4" name="output">
    <vt:lpwstr>word_document</vt:lpwstr>
  </property>
  <property fmtid="{D5CDD505-2E9C-101B-9397-08002B2CF9AE}" pid="5" name="subtitle">
    <vt:lpwstr>First quarter 2022</vt:lpwstr>
  </property>
</Properties>
</file>