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3.png" ContentType="image/png"/>
  <Override PartName="/word/media/rId24.png" ContentType="image/png"/>
  <Override PartName="/word/media/rId43.png" ContentType="image/png"/>
  <Override PartName="/word/media/rId36.png" ContentType="image/png"/>
  <Override PartName="/word/media/rId35.png" ContentType="image/png"/>
  <Override PartName="/word/media/rId27.png" ContentType="image/png"/>
  <Override PartName="/word/media/rId28.png" ContentType="image/png"/>
  <Override PartName="/word/media/rId65.png" ContentType="image/png"/>
  <Override PartName="/word/media/rId41.png" ContentType="image/png"/>
  <Override PartName="/word/media/rId59.png" ContentType="image/png"/>
  <Override PartName="/word/media/rId46.png" ContentType="image/png"/>
  <Override PartName="/word/media/rId57.png" ContentType="image/png"/>
  <Override PartName="/word/media/rId44.png" ContentType="image/png"/>
  <Override PartName="/word/media/rId63.png" ContentType="image/png"/>
  <Override PartName="/word/media/rId31.png" ContentType="image/png"/>
  <Override PartName="/word/media/rId50.png" ContentType="image/png"/>
  <Override PartName="/word/media/rId53.png" ContentType="image/png"/>
  <Override PartName="/word/media/rId54.png" ContentType="image/png"/>
  <Override PartName="/word/media/rId6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Snapshot</w:t>
      </w:r>
      <w:r>
        <w:t xml:space="preserve"> </w:t>
      </w:r>
      <w:r>
        <w:t xml:space="preserve">report</w:t>
      </w:r>
      <w:r>
        <w:t xml:space="preserve"> </w:t>
      </w:r>
      <w:r>
        <w:t xml:space="preserve">on</w:t>
      </w:r>
      <w:r>
        <w:t xml:space="preserve"> </w:t>
      </w:r>
      <w:r>
        <w:t xml:space="preserve">the</w:t>
      </w:r>
      <w:r>
        <w:t xml:space="preserve"> </w:t>
      </w:r>
      <w:r>
        <w:t xml:space="preserve">5Ws</w:t>
      </w:r>
    </w:p>
    <w:p>
      <w:pPr>
        <w:pStyle w:val="Subtitle"/>
      </w:pPr>
      <w:r>
        <w:t xml:space="preserve">First</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2022-05-06</w:t>
      </w:r>
    </w:p>
    <w:bookmarkStart w:id="23" w:name="summary-of-achievements"/>
    <w:p>
      <w:pPr>
        <w:pStyle w:val="Heading2"/>
      </w:pPr>
      <w:r>
        <w:t xml:space="preserve">Summary of achievements</w:t>
      </w:r>
    </w:p>
    <w:p>
      <w:pPr>
        <w:pStyle w:val="FirstParagraph"/>
      </w:pPr>
      <w:r>
        <w:t xml:space="preserve">Beneficiaries of humanitarian action formed 99.84% of the 129,235 beneficiaries in the first quarter of 2022. The remainder were reached through development interventions.</w:t>
      </w:r>
    </w:p>
    <w:p>
      <w:pPr>
        <w:pStyle w:val="BodyText"/>
      </w:pPr>
      <w:r>
        <w:t xml:space="preserve">To recall, the Food Security Cluster’s strategic objectives for 2022 are:</w:t>
      </w:r>
    </w:p>
    <w:p>
      <w:pPr>
        <w:numPr>
          <w:ilvl w:val="0"/>
          <w:numId w:val="1001"/>
        </w:numPr>
        <w:pStyle w:val="Compact"/>
      </w:pPr>
      <w:r>
        <w:t xml:space="preserve">SO1: IDPs have equitable access to sufficient, safe and nutritious food (either in-kind or through food assistance)</w:t>
      </w:r>
    </w:p>
    <w:p>
      <w:pPr>
        <w:numPr>
          <w:ilvl w:val="0"/>
          <w:numId w:val="1001"/>
        </w:numPr>
        <w:pStyle w:val="Compact"/>
      </w:pPr>
      <w:r>
        <w:t xml:space="preserve">SO2: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w:t>
      </w:r>
    </w:p>
    <w:p>
      <w:pPr>
        <w:pStyle w:val="TableCaption"/>
      </w:pPr>
      <w:r>
        <w:t xml:space="preserve">2022/Q1 beneficiaries by strategic objective</w:t>
      </w:r>
    </w:p>
    <w:tbl>
      <w:tblPr>
        <w:tblStyle w:val="Table"/>
        <w:tblW w:type="pct" w:w="3542"/>
        <w:tblLook w:firstRow="1" w:lastRow="0" w:firstColumn="0" w:lastColumn="0" w:noHBand="0" w:noVBand="0" w:val="0020"/>
        <w:tblCaption w:val="2022/Q1 beneficiaries by strategic objective"/>
      </w:tblPr>
      <w:tblGrid>
        <w:gridCol w:w="1320"/>
        <w:gridCol w:w="1650"/>
        <w:gridCol w:w="1540"/>
        <w:gridCol w:w="1100"/>
      </w:tblGrid>
      <w:tr>
        <w:trPr>
          <w:tblHeader w:val="true"/>
        </w:trPr>
        <w:tc>
          <w:tcPr/>
          <w:p>
            <w:pPr>
              <w:pStyle w:val="Compact"/>
              <w:jc w:val="center"/>
            </w:pPr>
            <w:r>
              <w:t xml:space="preserve">strat_obj</w:t>
            </w:r>
          </w:p>
        </w:tc>
        <w:tc>
          <w:tcPr/>
          <w:p>
            <w:pPr>
              <w:pStyle w:val="Compact"/>
              <w:jc w:val="center"/>
            </w:pPr>
            <w:r>
              <w:t xml:space="preserve">Humanitarian</w:t>
            </w:r>
          </w:p>
        </w:tc>
        <w:tc>
          <w:tcPr/>
          <w:p>
            <w:pPr>
              <w:pStyle w:val="Compact"/>
              <w:jc w:val="center"/>
            </w:pPr>
            <w:r>
              <w:t xml:space="preserve">Development</w:t>
            </w:r>
          </w:p>
        </w:tc>
        <w:tc>
          <w:tcPr/>
          <w:p>
            <w:pPr>
              <w:pStyle w:val="Compact"/>
              <w:jc w:val="center"/>
            </w:pPr>
            <w:r>
              <w:t xml:space="preserve">Total</w:t>
            </w:r>
          </w:p>
        </w:tc>
      </w:tr>
      <w:tr>
        <w:tc>
          <w:tcPr/>
          <w:p>
            <w:pPr>
              <w:pStyle w:val="Compact"/>
              <w:jc w:val="center"/>
            </w:pPr>
            <w:r>
              <w:t xml:space="preserve">SO_1</w:t>
            </w:r>
          </w:p>
        </w:tc>
        <w:tc>
          <w:tcPr/>
          <w:p>
            <w:pPr>
              <w:pStyle w:val="Compact"/>
              <w:jc w:val="center"/>
            </w:pPr>
            <w:r>
              <w:t xml:space="preserve">98,106</w:t>
            </w:r>
          </w:p>
        </w:tc>
        <w:tc>
          <w:tcPr/>
          <w:p>
            <w:pPr>
              <w:pStyle w:val="Compact"/>
              <w:jc w:val="center"/>
            </w:pPr>
            <w:r>
              <w:t xml:space="preserve">0</w:t>
            </w:r>
          </w:p>
        </w:tc>
        <w:tc>
          <w:tcPr/>
          <w:p>
            <w:pPr>
              <w:pStyle w:val="Compact"/>
              <w:jc w:val="center"/>
            </w:pPr>
            <w:r>
              <w:t xml:space="preserve">98,106</w:t>
            </w:r>
          </w:p>
        </w:tc>
      </w:tr>
      <w:tr>
        <w:tc>
          <w:tcPr/>
          <w:p>
            <w:pPr>
              <w:pStyle w:val="Compact"/>
              <w:jc w:val="center"/>
            </w:pPr>
            <w:r>
              <w:t xml:space="preserve">SO_3</w:t>
            </w:r>
          </w:p>
        </w:tc>
        <w:tc>
          <w:tcPr/>
          <w:p>
            <w:pPr>
              <w:pStyle w:val="Compact"/>
              <w:jc w:val="center"/>
            </w:pPr>
            <w:r>
              <w:t xml:space="preserve">30,926</w:t>
            </w:r>
          </w:p>
        </w:tc>
        <w:tc>
          <w:tcPr/>
          <w:p>
            <w:pPr>
              <w:pStyle w:val="Compact"/>
              <w:jc w:val="center"/>
            </w:pPr>
            <w:r>
              <w:t xml:space="preserve">203</w:t>
            </w:r>
          </w:p>
        </w:tc>
        <w:tc>
          <w:tcPr/>
          <w:p>
            <w:pPr>
              <w:pStyle w:val="Compact"/>
              <w:jc w:val="center"/>
            </w:pPr>
            <w:r>
              <w:t xml:space="preserve">31,129</w:t>
            </w:r>
          </w:p>
        </w:tc>
      </w:tr>
      <w:tr>
        <w:tc>
          <w:tcPr/>
          <w:p>
            <w:pPr>
              <w:pStyle w:val="Compact"/>
              <w:jc w:val="center"/>
            </w:pPr>
            <w:r>
              <w:t xml:space="preserve">Total</w:t>
            </w:r>
          </w:p>
        </w:tc>
        <w:tc>
          <w:tcPr/>
          <w:p>
            <w:pPr>
              <w:pStyle w:val="Compact"/>
              <w:jc w:val="center"/>
            </w:pPr>
            <w:r>
              <w:t xml:space="preserve">129,032</w:t>
            </w:r>
          </w:p>
        </w:tc>
        <w:tc>
          <w:tcPr/>
          <w:p>
            <w:pPr>
              <w:pStyle w:val="Compact"/>
              <w:jc w:val="center"/>
            </w:pPr>
            <w:r>
              <w:t xml:space="preserve">203</w:t>
            </w:r>
          </w:p>
        </w:tc>
        <w:tc>
          <w:tcPr/>
          <w:p>
            <w:pPr>
              <w:pStyle w:val="Compact"/>
              <w:jc w:val="center"/>
            </w:pPr>
            <w:r>
              <w:t xml:space="preserve">129,235</w:t>
            </w:r>
          </w:p>
        </w:tc>
      </w:tr>
    </w:tbl>
    <w:p>
      <w:pPr>
        <w:pStyle w:val="BodyText"/>
      </w:pPr>
    </w:p>
    <w:p>
      <w:pPr>
        <w:pStyle w:val="BodyText"/>
      </w:pPr>
      <w:r>
        <w:t xml:space="preserve">In terms of activities, the number of beneficiaries reached is heavily skewed towards food distributions. More than 53% of beneficiaries in 2022/Q1 have been reached by this activity.</w:t>
      </w:r>
    </w:p>
    <w:p>
      <w:pPr>
        <w:pStyle w:val="TableCaption"/>
      </w:pPr>
      <w:r>
        <w:t xml:space="preserve">Breakdown of beneficiaries by activity in 2022/Q1</w:t>
      </w:r>
    </w:p>
    <w:tbl>
      <w:tblPr>
        <w:tblStyle w:val="Table"/>
        <w:tblW w:type="pct" w:w="5000"/>
        <w:tblLook w:firstRow="1" w:lastRow="0" w:firstColumn="0" w:lastColumn="0" w:noHBand="0" w:noVBand="0" w:val="0020"/>
        <w:tblCaption w:val="Breakdown of beneficiaries by activity in 2022/Q1"/>
      </w:tblPr>
      <w:tblGrid>
        <w:gridCol w:w="3053"/>
        <w:gridCol w:w="1049"/>
        <w:gridCol w:w="1049"/>
        <w:gridCol w:w="1049"/>
        <w:gridCol w:w="858"/>
        <w:gridCol w:w="858"/>
      </w:tblGrid>
      <w:tr>
        <w:trPr>
          <w:tblHeader w:val="true"/>
        </w:trPr>
        <w:tc>
          <w:tcPr/>
          <w:p>
            <w:pPr>
              <w:pStyle w:val="Compact"/>
              <w:jc w:val="center"/>
            </w:pPr>
            <w:r>
              <w:t xml:space="preserve">activity</w:t>
            </w:r>
          </w:p>
        </w:tc>
        <w:tc>
          <w:tcPr/>
          <w:p>
            <w:pPr>
              <w:pStyle w:val="Compact"/>
              <w:jc w:val="center"/>
            </w:pPr>
            <w:r>
              <w:t xml:space="preserve">ben_SO_1</w:t>
            </w:r>
          </w:p>
        </w:tc>
        <w:tc>
          <w:tcPr/>
          <w:p>
            <w:pPr>
              <w:pStyle w:val="Compact"/>
              <w:jc w:val="center"/>
            </w:pPr>
            <w:r>
              <w:t xml:space="preserve">ben_SO_3</w:t>
            </w:r>
          </w:p>
        </w:tc>
        <w:tc>
          <w:tcPr/>
          <w:p>
            <w:pPr>
              <w:pStyle w:val="Compact"/>
              <w:jc w:val="center"/>
            </w:pPr>
            <w:r>
              <w:t xml:space="preserve">ben_SO_2</w:t>
            </w:r>
          </w:p>
        </w:tc>
        <w:tc>
          <w:tcPr/>
          <w:p>
            <w:pPr>
              <w:pStyle w:val="Compact"/>
              <w:jc w:val="center"/>
            </w:pPr>
            <w:r>
              <w:t xml:space="preserve">Total</w:t>
            </w:r>
          </w:p>
        </w:tc>
        <w:tc>
          <w:tcPr/>
          <w:p>
            <w:pPr>
              <w:pStyle w:val="Compact"/>
              <w:jc w:val="center"/>
            </w:pPr>
            <w:r>
              <w:t xml:space="preserve">%_ben</w:t>
            </w:r>
          </w:p>
        </w:tc>
      </w:tr>
      <w:tr>
        <w:tc>
          <w:tcPr/>
          <w:p>
            <w:pPr>
              <w:pStyle w:val="Compact"/>
              <w:jc w:val="center"/>
            </w:pPr>
            <w:r>
              <w:t xml:space="preserve">food distribution</w:t>
            </w:r>
          </w:p>
        </w:tc>
        <w:tc>
          <w:tcPr/>
          <w:p>
            <w:pPr>
              <w:pStyle w:val="Compact"/>
              <w:jc w:val="center"/>
            </w:pPr>
            <w:r>
              <w:t xml:space="preserve">69,206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69,206</w:t>
            </w:r>
          </w:p>
        </w:tc>
        <w:tc>
          <w:tcPr/>
          <w:p>
            <w:pPr>
              <w:pStyle w:val="Compact"/>
              <w:jc w:val="center"/>
            </w:pPr>
            <w:r>
              <w:t xml:space="preserve">53.55</w:t>
            </w:r>
          </w:p>
        </w:tc>
      </w:tr>
      <w:tr>
        <w:tc>
          <w:tcPr/>
          <w:p>
            <w:pPr>
              <w:pStyle w:val="Compact"/>
              <w:jc w:val="center"/>
            </w:pPr>
            <w:r>
              <w:t xml:space="preserve">crop, vegetable and seed kits</w:t>
            </w:r>
          </w:p>
        </w:tc>
        <w:tc>
          <w:tcPr/>
          <w:p>
            <w:pPr>
              <w:pStyle w:val="Compact"/>
              <w:jc w:val="center"/>
            </w:pPr>
            <w:r>
              <w:t xml:space="preserve">0</w:t>
            </w:r>
          </w:p>
        </w:tc>
        <w:tc>
          <w:tcPr/>
          <w:p>
            <w:pPr>
              <w:pStyle w:val="Compact"/>
              <w:jc w:val="center"/>
            </w:pPr>
            <w:r>
              <w:t xml:space="preserve">29,026</w:t>
            </w:r>
          </w:p>
        </w:tc>
        <w:tc>
          <w:tcPr/>
          <w:p>
            <w:pPr>
              <w:pStyle w:val="Compact"/>
              <w:jc w:val="center"/>
            </w:pPr>
            <w:r>
              <w:t xml:space="preserve">0</w:t>
            </w:r>
          </w:p>
        </w:tc>
        <w:tc>
          <w:tcPr/>
          <w:p>
            <w:pPr>
              <w:pStyle w:val="Compact"/>
              <w:jc w:val="center"/>
            </w:pPr>
            <w:r>
              <w:t xml:space="preserve">29,026</w:t>
            </w:r>
          </w:p>
        </w:tc>
        <w:tc>
          <w:tcPr/>
          <w:p>
            <w:pPr>
              <w:pStyle w:val="Compact"/>
              <w:jc w:val="center"/>
            </w:pPr>
            <w:r>
              <w:t xml:space="preserve">22.46</w:t>
            </w:r>
          </w:p>
        </w:tc>
      </w:tr>
      <w:tr>
        <w:tc>
          <w:tcPr/>
          <w:p>
            <w:pPr>
              <w:pStyle w:val="Compact"/>
              <w:jc w:val="center"/>
            </w:pPr>
            <w:r>
              <w:t xml:space="preserve">multi-purpose cash transfer</w:t>
            </w:r>
          </w:p>
        </w:tc>
        <w:tc>
          <w:tcPr/>
          <w:p>
            <w:pPr>
              <w:pStyle w:val="Compact"/>
              <w:jc w:val="center"/>
            </w:pPr>
            <w:r>
              <w:t xml:space="preserve">28,900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28,900</w:t>
            </w:r>
          </w:p>
        </w:tc>
        <w:tc>
          <w:tcPr/>
          <w:p>
            <w:pPr>
              <w:pStyle w:val="Compact"/>
              <w:jc w:val="center"/>
            </w:pPr>
            <w:r>
              <w:t xml:space="preserve">22.36</w:t>
            </w:r>
          </w:p>
        </w:tc>
      </w:tr>
      <w:tr>
        <w:tc>
          <w:tcPr/>
          <w:p>
            <w:pPr>
              <w:pStyle w:val="Compact"/>
              <w:jc w:val="center"/>
            </w:pPr>
            <w:r>
              <w:t xml:space="preserve">IGA and small grants</w:t>
            </w:r>
          </w:p>
        </w:tc>
        <w:tc>
          <w:tcPr/>
          <w:p>
            <w:pPr>
              <w:pStyle w:val="Compact"/>
              <w:jc w:val="center"/>
            </w:pPr>
            <w:r>
              <w:t xml:space="preserve">0</w:t>
            </w:r>
          </w:p>
        </w:tc>
        <w:tc>
          <w:tcPr/>
          <w:p>
            <w:pPr>
              <w:pStyle w:val="Compact"/>
              <w:jc w:val="center"/>
            </w:pPr>
            <w:r>
              <w:t xml:space="preserve">1,900</w:t>
            </w:r>
          </w:p>
        </w:tc>
        <w:tc>
          <w:tcPr/>
          <w:p>
            <w:pPr>
              <w:pStyle w:val="Compact"/>
              <w:jc w:val="center"/>
            </w:pPr>
            <w:r>
              <w:t xml:space="preserve">0</w:t>
            </w:r>
          </w:p>
        </w:tc>
        <w:tc>
          <w:tcPr/>
          <w:p>
            <w:pPr>
              <w:pStyle w:val="Compact"/>
              <w:jc w:val="center"/>
            </w:pPr>
            <w:r>
              <w:t xml:space="preserve">1,900</w:t>
            </w:r>
          </w:p>
        </w:tc>
        <w:tc>
          <w:tcPr/>
          <w:p>
            <w:pPr>
              <w:pStyle w:val="Compact"/>
              <w:jc w:val="center"/>
            </w:pPr>
            <w:r>
              <w:t xml:space="preserve">1.47</w:t>
            </w:r>
          </w:p>
        </w:tc>
      </w:tr>
      <w:tr>
        <w:tc>
          <w:tcPr/>
          <w:p>
            <w:pPr>
              <w:pStyle w:val="Compact"/>
              <w:jc w:val="center"/>
            </w:pPr>
            <w:r>
              <w:t xml:space="preserve">vocational training</w:t>
            </w:r>
          </w:p>
        </w:tc>
        <w:tc>
          <w:tcPr/>
          <w:p>
            <w:pPr>
              <w:pStyle w:val="Compact"/>
              <w:jc w:val="center"/>
            </w:pPr>
            <w:r>
              <w:t xml:space="preserve">0</w:t>
            </w:r>
          </w:p>
        </w:tc>
        <w:tc>
          <w:tcPr/>
          <w:p>
            <w:pPr>
              <w:pStyle w:val="Compact"/>
              <w:jc w:val="center"/>
            </w:pPr>
            <w:r>
              <w:t xml:space="preserve">203</w:t>
            </w:r>
          </w:p>
        </w:tc>
        <w:tc>
          <w:tcPr/>
          <w:p>
            <w:pPr>
              <w:pStyle w:val="Compact"/>
              <w:jc w:val="center"/>
            </w:pPr>
            <w:r>
              <w:t xml:space="preserve">0</w:t>
            </w:r>
          </w:p>
        </w:tc>
        <w:tc>
          <w:tcPr/>
          <w:p>
            <w:pPr>
              <w:pStyle w:val="Compact"/>
              <w:jc w:val="center"/>
            </w:pPr>
            <w:r>
              <w:t xml:space="preserve">203</w:t>
            </w:r>
          </w:p>
        </w:tc>
        <w:tc>
          <w:tcPr/>
          <w:p>
            <w:pPr>
              <w:pStyle w:val="Compact"/>
              <w:jc w:val="center"/>
            </w:pPr>
            <w:r>
              <w:t xml:space="preserve">0.16</w:t>
            </w:r>
          </w:p>
        </w:tc>
      </w:tr>
    </w:tbl>
    <w:p>
      <w:pPr>
        <w:pStyle w:val="BodyText"/>
      </w:pPr>
    </w:p>
    <w:p>
      <w:pPr>
        <w:pStyle w:val="BodyText"/>
      </w:pPr>
      <w:r>
        <w:t xml:space="preserve">31% of beneficiaries were reached by activities where nutrition was mainstreamed. This is highly encouraging. As the year progresses, it will be important to collect more details about how exactly nutrition has been mainstreamed so that coordination with the Nutrition Cluster may be improved.</w:t>
      </w:r>
    </w:p>
    <w:p>
      <w:pPr>
        <w:pStyle w:val="TableCaption"/>
      </w:pPr>
      <w:r>
        <w:t xml:space="preserve">Breakdown of beneficiaries by status of nutrition mainstreaming</w:t>
      </w:r>
    </w:p>
    <w:tbl>
      <w:tblPr>
        <w:tblStyle w:val="Table"/>
        <w:tblW w:type="pct" w:w="5000"/>
        <w:tblLook w:firstRow="1" w:lastRow="0" w:firstColumn="0" w:lastColumn="0" w:noHBand="0" w:noVBand="0" w:val="0020"/>
        <w:tblCaption w:val="Breakdown of beneficiaries by status of nutrition mainstreaming"/>
      </w:tblPr>
      <w:tblGrid>
        <w:gridCol w:w="3280"/>
        <w:gridCol w:w="720"/>
        <w:gridCol w:w="720"/>
        <w:gridCol w:w="1760"/>
        <w:gridCol w:w="1440"/>
      </w:tblGrid>
      <w:tr>
        <w:trPr>
          <w:tblHeader w:val="true"/>
        </w:trPr>
        <w:tc>
          <w:tcPr/>
          <w:p>
            <w:pPr>
              <w:pStyle w:val="Compact"/>
              <w:jc w:val="center"/>
            </w:pPr>
            <w:r>
              <w:t xml:space="preserve">was_nutrition_mainstreamed_in_activity</w:t>
            </w:r>
          </w:p>
        </w:tc>
        <w:tc>
          <w:tcPr/>
          <w:p>
            <w:pPr>
              <w:pStyle w:val="Compact"/>
              <w:jc w:val="center"/>
            </w:pPr>
            <w:r>
              <w:t xml:space="preserve">SO_1</w:t>
            </w:r>
          </w:p>
        </w:tc>
        <w:tc>
          <w:tcPr/>
          <w:p>
            <w:pPr>
              <w:pStyle w:val="Compact"/>
              <w:jc w:val="center"/>
            </w:pPr>
            <w:r>
              <w:t xml:space="preserve">SO_3</w:t>
            </w:r>
          </w:p>
        </w:tc>
        <w:tc>
          <w:tcPr/>
          <w:p>
            <w:pPr>
              <w:pStyle w:val="Compact"/>
              <w:jc w:val="center"/>
            </w:pPr>
            <w:r>
              <w:t xml:space="preserve">total_beneficiaries</w:t>
            </w:r>
          </w:p>
        </w:tc>
        <w:tc>
          <w:tcPr/>
          <w:p>
            <w:pPr>
              <w:pStyle w:val="Compact"/>
              <w:jc w:val="center"/>
            </w:pPr>
            <w:r>
              <w:t xml:space="preserve">%_beneficiaries</w:t>
            </w:r>
          </w:p>
        </w:tc>
      </w:tr>
      <w:tr>
        <w:tc>
          <w:tcPr/>
          <w:p>
            <w:pPr>
              <w:pStyle w:val="Compact"/>
              <w:jc w:val="center"/>
            </w:pPr>
            <w:r>
              <w:t xml:space="preserve">Yes</w:t>
            </w:r>
          </w:p>
        </w:tc>
        <w:tc>
          <w:tcPr/>
          <w:p>
            <w:pPr>
              <w:pStyle w:val="Compact"/>
              <w:jc w:val="center"/>
            </w:pPr>
            <w:r>
              <w:t xml:space="preserve">10,516</w:t>
            </w:r>
          </w:p>
        </w:tc>
        <w:tc>
          <w:tcPr/>
          <w:p>
            <w:pPr>
              <w:pStyle w:val="Compact"/>
              <w:jc w:val="center"/>
            </w:pPr>
            <w:r>
              <w:t xml:space="preserve">29,229</w:t>
            </w:r>
          </w:p>
        </w:tc>
        <w:tc>
          <w:tcPr/>
          <w:p>
            <w:pPr>
              <w:pStyle w:val="Compact"/>
              <w:jc w:val="center"/>
            </w:pPr>
            <w:r>
              <w:t xml:space="preserve">39,745</w:t>
            </w:r>
          </w:p>
        </w:tc>
        <w:tc>
          <w:tcPr/>
          <w:p>
            <w:pPr>
              <w:pStyle w:val="Compact"/>
              <w:jc w:val="center"/>
            </w:pPr>
            <w:r>
              <w:t xml:space="preserve">30.75</w:t>
            </w:r>
          </w:p>
        </w:tc>
      </w:tr>
      <w:tr>
        <w:tc>
          <w:tcPr/>
          <w:p>
            <w:pPr>
              <w:pStyle w:val="Compact"/>
              <w:jc w:val="center"/>
            </w:pPr>
            <w:r>
              <w:t xml:space="preserve">No</w:t>
            </w:r>
          </w:p>
        </w:tc>
        <w:tc>
          <w:tcPr/>
          <w:p>
            <w:pPr>
              <w:pStyle w:val="Compact"/>
              <w:jc w:val="center"/>
            </w:pPr>
            <w:r>
              <w:t xml:space="preserve">87,590</w:t>
            </w:r>
          </w:p>
        </w:tc>
        <w:tc>
          <w:tcPr/>
          <w:p>
            <w:pPr>
              <w:pStyle w:val="Compact"/>
              <w:jc w:val="center"/>
            </w:pPr>
            <w:r>
              <w:t xml:space="preserve">1,900</w:t>
            </w:r>
          </w:p>
        </w:tc>
        <w:tc>
          <w:tcPr/>
          <w:p>
            <w:pPr>
              <w:pStyle w:val="Compact"/>
              <w:jc w:val="center"/>
            </w:pPr>
            <w:r>
              <w:t xml:space="preserve">89,490</w:t>
            </w:r>
          </w:p>
        </w:tc>
        <w:tc>
          <w:tcPr/>
          <w:p>
            <w:pPr>
              <w:pStyle w:val="Compact"/>
              <w:jc w:val="center"/>
            </w:pPr>
            <w:r>
              <w:t xml:space="preserve">69.25</w:t>
            </w:r>
          </w:p>
        </w:tc>
      </w:tr>
    </w:tbl>
    <w:p>
      <w:pPr>
        <w:pStyle w:val="BodyText"/>
      </w:pPr>
    </w:p>
    <w:bookmarkStart w:id="22" w:name="Xa17596d91779a3f048cd50eb0e631e094803824"/>
    <w:p>
      <w:pPr>
        <w:pStyle w:val="Heading3"/>
      </w:pPr>
      <w:r>
        <w:t xml:space="preserve">Implementation of Information Sharing Protocols</w:t>
      </w:r>
    </w:p>
    <w:p>
      <w:pPr>
        <w:pStyle w:val="FirstParagraph"/>
      </w:pPr>
      <w:r>
        <w:t xml:space="preserve">The newly approved ICCG Information Sharing Protocols have been implemented in this report to support the safe, ethical and effective management of data within Myanmar. This implementation is most evident in the use of partner pseudonymisation in this report. Partner names have been replaced by tokens in this report. These tokens are stored in a secure translation table on OCHA servers outside of Myanmar, where they may not be requisitioned by authorities. For more information, please read the full text of the protocols in either</w:t>
      </w:r>
      <w:r>
        <w:t xml:space="preserve"> </w:t>
      </w:r>
      <w:hyperlink r:id="rId20">
        <w:r>
          <w:rPr>
            <w:rStyle w:val="Hyperlink"/>
          </w:rPr>
          <w:t xml:space="preserve">English</w:t>
        </w:r>
      </w:hyperlink>
      <w:r>
        <w:t xml:space="preserve"> </w:t>
      </w:r>
      <w:r>
        <w:t xml:space="preserve">or</w:t>
      </w:r>
      <w:r>
        <w:t xml:space="preserve"> </w:t>
      </w:r>
      <w:hyperlink r:id="rId21">
        <w:r>
          <w:rPr>
            <w:rStyle w:val="Hyperlink"/>
          </w:rPr>
          <w:t xml:space="preserve">Myanmar</w:t>
        </w:r>
      </w:hyperlink>
      <w:r>
        <w:t xml:space="preserve">.</w:t>
      </w:r>
    </w:p>
    <w:p>
      <w:pPr>
        <w:pStyle w:val="BodyText"/>
      </w:pPr>
    </w:p>
    <w:bookmarkEnd w:id="22"/>
    <w:bookmarkEnd w:id="23"/>
    <w:bookmarkStart w:id="30" w:name="geographies"/>
    <w:p>
      <w:pPr>
        <w:pStyle w:val="Heading2"/>
      </w:pPr>
      <w:r>
        <w:t xml:space="preserve">1. Geographies</w:t>
      </w:r>
    </w:p>
    <w:bookmarkStart w:id="25" w:name="statewise-breakdowns"/>
    <w:p>
      <w:pPr>
        <w:pStyle w:val="Heading3"/>
      </w:pPr>
      <w:r>
        <w:t xml:space="preserve">1.1 Statewise breakdowns</w:t>
      </w:r>
    </w:p>
    <w:p>
      <w:pPr>
        <w:pStyle w:val="FirstParagraph"/>
      </w:pPr>
      <w:r>
        <w:t xml:space="preserve">As in 2021, the number of beneficiaries reached has been heavily biased towards relatively few areas, which is not appropriate for a unionwide response. A total of 19 townships have been reached across 4 states/regions.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barplot-state-region-1.png" id="0"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outlines the number of beneficiaries reached by state/region in both 2021 and 2022/Q1. In 2021, the number of beneficiaries reached was lowest in Tanintharyi region, similarly more pronounced in 2022/Q1.</w:t>
      </w:r>
    </w:p>
    <w:p>
      <w:pPr>
        <w:pStyle w:val="BodyText"/>
      </w:pPr>
    </w:p>
    <w:p>
      <w:pPr>
        <w:pStyle w:val="TableCaption"/>
      </w:pPr>
      <w:r>
        <w:t xml:space="preserve">Skew in Q1 2022 geographic reach, comparison with 2021 data</w:t>
      </w:r>
    </w:p>
    <w:tbl>
      <w:tblPr>
        <w:tblStyle w:val="Table"/>
        <w:tblW w:type="pct" w:w="5000"/>
        <w:tblLook w:firstRow="1" w:lastRow="0" w:firstColumn="0" w:lastColumn="0" w:noHBand="0" w:noVBand="0" w:val="0020"/>
        <w:tblCaption w:val="Skew in Q1 2022 geographic reach, comparison with 2021 data"/>
      </w:tblPr>
      <w:tblGrid>
        <w:gridCol w:w="1036"/>
        <w:gridCol w:w="1554"/>
        <w:gridCol w:w="962"/>
        <w:gridCol w:w="1554"/>
        <w:gridCol w:w="962"/>
        <w:gridCol w:w="666"/>
        <w:gridCol w:w="1184"/>
      </w:tblGrid>
      <w:tr>
        <w:trPr>
          <w:tblHeader w:val="true"/>
        </w:trPr>
        <w:tc>
          <w:tcPr/>
          <w:p>
            <w:pPr>
              <w:pStyle w:val="Compact"/>
              <w:jc w:val="center"/>
            </w:pPr>
            <w:r>
              <w:t xml:space="preserve">State</w:t>
            </w:r>
          </w:p>
        </w:tc>
        <w:tc>
          <w:tcPr/>
          <w:p>
            <w:pPr>
              <w:pStyle w:val="Compact"/>
              <w:jc w:val="center"/>
            </w:pPr>
            <w:r>
              <w:t xml:space="preserve">Beneficiaries_2021</w:t>
            </w:r>
          </w:p>
        </w:tc>
        <w:tc>
          <w:tcPr/>
          <w:p>
            <w:pPr>
              <w:pStyle w:val="Compact"/>
              <w:jc w:val="center"/>
            </w:pPr>
            <w:r>
              <w:t xml:space="preserve">%_ben_2021</w:t>
            </w:r>
          </w:p>
        </w:tc>
        <w:tc>
          <w:tcPr/>
          <w:p>
            <w:pPr>
              <w:pStyle w:val="Compact"/>
              <w:jc w:val="center"/>
            </w:pPr>
            <w:r>
              <w:t xml:space="preserve">Beneficiaries_2022</w:t>
            </w:r>
          </w:p>
        </w:tc>
        <w:tc>
          <w:tcPr/>
          <w:p>
            <w:pPr>
              <w:pStyle w:val="Compact"/>
              <w:jc w:val="center"/>
            </w:pPr>
            <w:r>
              <w:t xml:space="preserve">%_ben_2022</w:t>
            </w:r>
          </w:p>
        </w:tc>
        <w:tc>
          <w:tcPr/>
          <w:p>
            <w:pPr>
              <w:pStyle w:val="Compact"/>
              <w:jc w:val="center"/>
            </w:pPr>
            <w:r>
              <w:t xml:space="preserve">Target</w:t>
            </w:r>
          </w:p>
        </w:tc>
        <w:tc>
          <w:tcPr/>
          <w:p>
            <w:pPr>
              <w:pStyle w:val="Compact"/>
              <w:jc w:val="center"/>
            </w:pPr>
            <w:r>
              <w:t xml:space="preserve">%_target_2022</w:t>
            </w:r>
          </w:p>
        </w:tc>
      </w:tr>
      <w:tr>
        <w:tc>
          <w:tcPr/>
          <w:p>
            <w:pPr>
              <w:pStyle w:val="Compact"/>
              <w:jc w:val="center"/>
            </w:pPr>
            <w:r>
              <w:t xml:space="preserve">Kayah</w:t>
            </w:r>
          </w:p>
        </w:tc>
        <w:tc>
          <w:tcPr/>
          <w:p>
            <w:pPr>
              <w:pStyle w:val="Compact"/>
              <w:jc w:val="center"/>
            </w:pPr>
            <w:r>
              <w:t xml:space="preserve">17,746</w:t>
            </w:r>
          </w:p>
        </w:tc>
        <w:tc>
          <w:tcPr/>
          <w:p>
            <w:pPr>
              <w:pStyle w:val="Compact"/>
              <w:jc w:val="center"/>
            </w:pPr>
            <w:r>
              <w:t xml:space="preserve">12.81</w:t>
            </w:r>
          </w:p>
        </w:tc>
        <w:tc>
          <w:tcPr/>
          <w:p>
            <w:pPr>
              <w:pStyle w:val="Compact"/>
              <w:jc w:val="center"/>
            </w:pPr>
            <w:r>
              <w:t xml:space="preserve">48,951</w:t>
            </w:r>
          </w:p>
        </w:tc>
        <w:tc>
          <w:tcPr/>
          <w:p>
            <w:pPr>
              <w:pStyle w:val="Compact"/>
              <w:jc w:val="center"/>
            </w:pPr>
            <w:r>
              <w:t xml:space="preserve">37.88</w:t>
            </w:r>
          </w:p>
        </w:tc>
        <w:tc>
          <w:tcPr/>
          <w:p>
            <w:pPr>
              <w:pStyle w:val="Compact"/>
              <w:jc w:val="center"/>
            </w:pPr>
            <w:r>
              <w:t xml:space="preserve">64,400</w:t>
            </w:r>
          </w:p>
        </w:tc>
        <w:tc>
          <w:tcPr/>
          <w:p>
            <w:pPr>
              <w:pStyle w:val="Compact"/>
              <w:jc w:val="center"/>
            </w:pPr>
            <w:r>
              <w:t xml:space="preserve">76.01</w:t>
            </w:r>
          </w:p>
        </w:tc>
      </w:tr>
      <w:tr>
        <w:tc>
          <w:tcPr/>
          <w:p>
            <w:pPr>
              <w:pStyle w:val="Compact"/>
              <w:jc w:val="center"/>
            </w:pPr>
            <w:r>
              <w:t xml:space="preserve">Kayin</w:t>
            </w:r>
          </w:p>
        </w:tc>
        <w:tc>
          <w:tcPr/>
          <w:p>
            <w:pPr>
              <w:pStyle w:val="Compact"/>
              <w:jc w:val="center"/>
            </w:pPr>
            <w:r>
              <w:t xml:space="preserve">68,108</w:t>
            </w:r>
          </w:p>
        </w:tc>
        <w:tc>
          <w:tcPr/>
          <w:p>
            <w:pPr>
              <w:pStyle w:val="Compact"/>
              <w:jc w:val="center"/>
            </w:pPr>
            <w:r>
              <w:t xml:space="preserve">49.17</w:t>
            </w:r>
          </w:p>
        </w:tc>
        <w:tc>
          <w:tcPr/>
          <w:p>
            <w:pPr>
              <w:pStyle w:val="Compact"/>
              <w:jc w:val="center"/>
            </w:pPr>
            <w:r>
              <w:t xml:space="preserve">48,698</w:t>
            </w:r>
          </w:p>
        </w:tc>
        <w:tc>
          <w:tcPr/>
          <w:p>
            <w:pPr>
              <w:pStyle w:val="Compact"/>
              <w:jc w:val="center"/>
            </w:pPr>
            <w:r>
              <w:t xml:space="preserve">37.68</w:t>
            </w:r>
          </w:p>
        </w:tc>
        <w:tc>
          <w:tcPr/>
          <w:p>
            <w:pPr>
              <w:pStyle w:val="Compact"/>
              <w:jc w:val="center"/>
            </w:pPr>
            <w:r>
              <w:t xml:space="preserve">96,320</w:t>
            </w:r>
          </w:p>
        </w:tc>
        <w:tc>
          <w:tcPr/>
          <w:p>
            <w:pPr>
              <w:pStyle w:val="Compact"/>
              <w:jc w:val="center"/>
            </w:pPr>
            <w:r>
              <w:t xml:space="preserve">50.56</w:t>
            </w:r>
          </w:p>
        </w:tc>
      </w:tr>
      <w:tr>
        <w:tc>
          <w:tcPr/>
          <w:p>
            <w:pPr>
              <w:pStyle w:val="Compact"/>
              <w:jc w:val="center"/>
            </w:pPr>
            <w:r>
              <w:t xml:space="preserve">Mon</w:t>
            </w:r>
          </w:p>
        </w:tc>
        <w:tc>
          <w:tcPr/>
          <w:p>
            <w:pPr>
              <w:pStyle w:val="Compact"/>
              <w:jc w:val="center"/>
            </w:pPr>
            <w:r>
              <w:t xml:space="preserve">48,181</w:t>
            </w:r>
          </w:p>
        </w:tc>
        <w:tc>
          <w:tcPr/>
          <w:p>
            <w:pPr>
              <w:pStyle w:val="Compact"/>
              <w:jc w:val="center"/>
            </w:pPr>
            <w:r>
              <w:t xml:space="preserve">34.78</w:t>
            </w:r>
          </w:p>
        </w:tc>
        <w:tc>
          <w:tcPr/>
          <w:p>
            <w:pPr>
              <w:pStyle w:val="Compact"/>
              <w:jc w:val="center"/>
            </w:pPr>
            <w:r>
              <w:t xml:space="preserve">31,191</w:t>
            </w:r>
          </w:p>
        </w:tc>
        <w:tc>
          <w:tcPr/>
          <w:p>
            <w:pPr>
              <w:pStyle w:val="Compact"/>
              <w:jc w:val="center"/>
            </w:pPr>
            <w:r>
              <w:t xml:space="preserve">24.14</w:t>
            </w:r>
          </w:p>
        </w:tc>
        <w:tc>
          <w:tcPr/>
          <w:p>
            <w:pPr>
              <w:pStyle w:val="Compact"/>
              <w:jc w:val="center"/>
            </w:pPr>
            <w:r>
              <w:t xml:space="preserve">35,000</w:t>
            </w:r>
          </w:p>
        </w:tc>
        <w:tc>
          <w:tcPr/>
          <w:p>
            <w:pPr>
              <w:pStyle w:val="Compact"/>
              <w:jc w:val="center"/>
            </w:pPr>
            <w:r>
              <w:t xml:space="preserve">89.12</w:t>
            </w:r>
          </w:p>
        </w:tc>
      </w:tr>
      <w:tr>
        <w:tc>
          <w:tcPr/>
          <w:p>
            <w:pPr>
              <w:pStyle w:val="Compact"/>
              <w:jc w:val="center"/>
            </w:pPr>
            <w:r>
              <w:t xml:space="preserve">Tanintharyi</w:t>
            </w:r>
          </w:p>
        </w:tc>
        <w:tc>
          <w:tcPr/>
          <w:p>
            <w:pPr>
              <w:pStyle w:val="Compact"/>
              <w:jc w:val="center"/>
            </w:pPr>
            <w:r>
              <w:t xml:space="preserve">4,476</w:t>
            </w:r>
          </w:p>
        </w:tc>
        <w:tc>
          <w:tcPr/>
          <w:p>
            <w:pPr>
              <w:pStyle w:val="Compact"/>
              <w:jc w:val="center"/>
            </w:pPr>
            <w:r>
              <w:t xml:space="preserve">3.23</w:t>
            </w:r>
          </w:p>
        </w:tc>
        <w:tc>
          <w:tcPr/>
          <w:p>
            <w:pPr>
              <w:pStyle w:val="Compact"/>
              <w:jc w:val="center"/>
            </w:pPr>
            <w:r>
              <w:t xml:space="preserve">395</w:t>
            </w:r>
          </w:p>
        </w:tc>
        <w:tc>
          <w:tcPr/>
          <w:p>
            <w:pPr>
              <w:pStyle w:val="Compact"/>
              <w:jc w:val="center"/>
            </w:pPr>
            <w:r>
              <w:t xml:space="preserve">0.31</w:t>
            </w:r>
          </w:p>
        </w:tc>
        <w:tc>
          <w:tcPr/>
          <w:p>
            <w:pPr>
              <w:pStyle w:val="Compact"/>
              <w:jc w:val="center"/>
            </w:pPr>
            <w:r>
              <w:t xml:space="preserve">54,410</w:t>
            </w:r>
          </w:p>
        </w:tc>
        <w:tc>
          <w:tcPr/>
          <w:p>
            <w:pPr>
              <w:pStyle w:val="Compact"/>
              <w:jc w:val="center"/>
            </w:pPr>
            <w:r>
              <w:t xml:space="preserve">0.73</w:t>
            </w:r>
          </w:p>
        </w:tc>
      </w:tr>
    </w:tbl>
    <w:p>
      <w:pPr>
        <w:pStyle w:val="BodyText"/>
      </w:pPr>
    </w:p>
    <w:bookmarkEnd w:id="25"/>
    <w:bookmarkStart w:id="26" w:name="township-level-breakdowns"/>
    <w:p>
      <w:pPr>
        <w:pStyle w:val="Heading3"/>
      </w:pPr>
      <w:r>
        <w:t xml:space="preserve">1.2 Township-level breakdowns</w:t>
      </w:r>
    </w:p>
    <w:p>
      <w:pPr>
        <w:pStyle w:val="FirstParagraph"/>
      </w:pPr>
      <w:r>
        <w:t xml:space="preserve">Just 4 townships (listed in the table below) contained 63% of all beneficiaries. Reached 4 townships in Mon State which were not targeted in HRP 2022. Only few number of beneficiaries were reached in Loikaw and Ye townships which had a large number of target.</w:t>
      </w:r>
    </w:p>
    <w:p>
      <w:pPr>
        <w:pStyle w:val="TableCaption"/>
      </w:pPr>
      <w:r>
        <w:t xml:space="preserve">Townships reached by number of beneficiaries</w:t>
      </w:r>
    </w:p>
    <w:tbl>
      <w:tblPr>
        <w:tblStyle w:val="Table"/>
        <w:tblW w:type="pct" w:w="5000"/>
        <w:tblLook w:firstRow="1" w:lastRow="0" w:firstColumn="0" w:lastColumn="0" w:noHBand="0" w:noVBand="0" w:val="0020"/>
        <w:tblCaption w:val="Townships reached by number of beneficiaries"/>
      </w:tblPr>
      <w:tblGrid>
        <w:gridCol w:w="1320"/>
        <w:gridCol w:w="1414"/>
        <w:gridCol w:w="848"/>
        <w:gridCol w:w="1508"/>
        <w:gridCol w:w="1697"/>
        <w:gridCol w:w="1131"/>
      </w:tblGrid>
      <w:tr>
        <w:trPr>
          <w:tblHeader w:val="true"/>
        </w:trPr>
        <w:tc>
          <w:tcPr/>
          <w:p>
            <w:pPr>
              <w:pStyle w:val="Compact"/>
              <w:jc w:val="center"/>
            </w:pPr>
            <w:r>
              <w:t xml:space="preserve">state</w:t>
            </w:r>
          </w:p>
        </w:tc>
        <w:tc>
          <w:tcPr/>
          <w:p>
            <w:pPr>
              <w:pStyle w:val="Compact"/>
              <w:jc w:val="center"/>
            </w:pPr>
            <w:r>
              <w:t xml:space="preserve">township</w:t>
            </w:r>
          </w:p>
        </w:tc>
        <w:tc>
          <w:tcPr/>
          <w:p>
            <w:pPr>
              <w:pStyle w:val="Compact"/>
              <w:jc w:val="center"/>
            </w:pPr>
            <w:r>
              <w:t xml:space="preserve">target</w:t>
            </w:r>
          </w:p>
        </w:tc>
        <w:tc>
          <w:tcPr/>
          <w:p>
            <w:pPr>
              <w:pStyle w:val="Compact"/>
              <w:jc w:val="center"/>
            </w:pPr>
            <w:r>
              <w:t xml:space="preserve">beneficiaries</w:t>
            </w:r>
          </w:p>
        </w:tc>
        <w:tc>
          <w:tcPr/>
          <w:p>
            <w:pPr>
              <w:pStyle w:val="Compact"/>
              <w:jc w:val="center"/>
            </w:pPr>
            <w:r>
              <w:t xml:space="preserve">%_beneficiaries</w:t>
            </w:r>
          </w:p>
        </w:tc>
        <w:tc>
          <w:tcPr/>
          <w:p>
            <w:pPr>
              <w:pStyle w:val="Compact"/>
              <w:jc w:val="center"/>
            </w:pPr>
            <w:r>
              <w:t xml:space="preserve">%_reached</w:t>
            </w:r>
          </w:p>
        </w:tc>
      </w:tr>
      <w:tr>
        <w:tc>
          <w:tcPr/>
          <w:p>
            <w:pPr>
              <w:pStyle w:val="Compact"/>
              <w:jc w:val="center"/>
            </w:pPr>
            <w:r>
              <w:t xml:space="preserve">Kayah</w:t>
            </w:r>
          </w:p>
        </w:tc>
        <w:tc>
          <w:tcPr/>
          <w:p>
            <w:pPr>
              <w:pStyle w:val="Compact"/>
              <w:jc w:val="center"/>
            </w:pPr>
            <w:r>
              <w:t xml:space="preserve">Hpruso</w:t>
            </w:r>
          </w:p>
        </w:tc>
        <w:tc>
          <w:tcPr/>
          <w:p>
            <w:pPr>
              <w:pStyle w:val="Compact"/>
              <w:jc w:val="center"/>
            </w:pPr>
            <w:r>
              <w:t xml:space="preserve">4,000</w:t>
            </w:r>
          </w:p>
        </w:tc>
        <w:tc>
          <w:tcPr/>
          <w:p>
            <w:pPr>
              <w:pStyle w:val="Compact"/>
              <w:jc w:val="center"/>
            </w:pPr>
            <w:r>
              <w:t xml:space="preserve">30,215</w:t>
            </w:r>
          </w:p>
        </w:tc>
        <w:tc>
          <w:tcPr/>
          <w:p>
            <w:pPr>
              <w:pStyle w:val="Compact"/>
              <w:jc w:val="center"/>
            </w:pPr>
            <w:r>
              <w:t xml:space="preserve">23.38</w:t>
            </w:r>
          </w:p>
        </w:tc>
        <w:tc>
          <w:tcPr/>
          <w:p>
            <w:pPr>
              <w:pStyle w:val="Compact"/>
              <w:jc w:val="center"/>
            </w:pPr>
            <w:r>
              <w:t xml:space="preserve">755.4</w:t>
            </w:r>
          </w:p>
        </w:tc>
      </w:tr>
      <w:tr>
        <w:tc>
          <w:tcPr/>
          <w:p>
            <w:pPr>
              <w:pStyle w:val="Compact"/>
              <w:jc w:val="center"/>
            </w:pPr>
            <w:r>
              <w:t xml:space="preserve">Kayin</w:t>
            </w:r>
          </w:p>
        </w:tc>
        <w:tc>
          <w:tcPr/>
          <w:p>
            <w:pPr>
              <w:pStyle w:val="Compact"/>
              <w:jc w:val="center"/>
            </w:pPr>
            <w:r>
              <w:t xml:space="preserve">Myawaddy</w:t>
            </w:r>
          </w:p>
        </w:tc>
        <w:tc>
          <w:tcPr/>
          <w:p>
            <w:pPr>
              <w:pStyle w:val="Compact"/>
              <w:jc w:val="center"/>
            </w:pPr>
            <w:r>
              <w:t xml:space="preserve">5,000</w:t>
            </w:r>
          </w:p>
        </w:tc>
        <w:tc>
          <w:tcPr/>
          <w:p>
            <w:pPr>
              <w:pStyle w:val="Compact"/>
              <w:jc w:val="center"/>
            </w:pPr>
            <w:r>
              <w:t xml:space="preserve">20,843</w:t>
            </w:r>
          </w:p>
        </w:tc>
        <w:tc>
          <w:tcPr/>
          <w:p>
            <w:pPr>
              <w:pStyle w:val="Compact"/>
              <w:jc w:val="center"/>
            </w:pPr>
            <w:r>
              <w:t xml:space="preserve">16.13</w:t>
            </w:r>
          </w:p>
        </w:tc>
        <w:tc>
          <w:tcPr/>
          <w:p>
            <w:pPr>
              <w:pStyle w:val="Compact"/>
              <w:jc w:val="center"/>
            </w:pPr>
            <w:r>
              <w:t xml:space="preserve">416.9</w:t>
            </w:r>
          </w:p>
        </w:tc>
      </w:tr>
      <w:tr>
        <w:tc>
          <w:tcPr/>
          <w:p>
            <w:pPr>
              <w:pStyle w:val="Compact"/>
              <w:jc w:val="center"/>
            </w:pPr>
            <w:r>
              <w:t xml:space="preserve">Kayah</w:t>
            </w:r>
          </w:p>
        </w:tc>
        <w:tc>
          <w:tcPr/>
          <w:p>
            <w:pPr>
              <w:pStyle w:val="Compact"/>
              <w:jc w:val="center"/>
            </w:pPr>
            <w:r>
              <w:t xml:space="preserve">Demoso</w:t>
            </w:r>
          </w:p>
        </w:tc>
        <w:tc>
          <w:tcPr/>
          <w:p>
            <w:pPr>
              <w:pStyle w:val="Compact"/>
              <w:jc w:val="center"/>
            </w:pPr>
            <w:r>
              <w:t xml:space="preserve">25,000</w:t>
            </w:r>
          </w:p>
        </w:tc>
        <w:tc>
          <w:tcPr/>
          <w:p>
            <w:pPr>
              <w:pStyle w:val="Compact"/>
              <w:jc w:val="center"/>
            </w:pPr>
            <w:r>
              <w:t xml:space="preserve">16,315</w:t>
            </w:r>
          </w:p>
        </w:tc>
        <w:tc>
          <w:tcPr/>
          <w:p>
            <w:pPr>
              <w:pStyle w:val="Compact"/>
              <w:jc w:val="center"/>
            </w:pPr>
            <w:r>
              <w:t xml:space="preserve">12.62</w:t>
            </w:r>
          </w:p>
        </w:tc>
        <w:tc>
          <w:tcPr/>
          <w:p>
            <w:pPr>
              <w:pStyle w:val="Compact"/>
              <w:jc w:val="center"/>
            </w:pPr>
            <w:r>
              <w:t xml:space="preserve">65.26</w:t>
            </w:r>
          </w:p>
        </w:tc>
      </w:tr>
      <w:tr>
        <w:tc>
          <w:tcPr/>
          <w:p>
            <w:pPr>
              <w:pStyle w:val="Compact"/>
              <w:jc w:val="center"/>
            </w:pPr>
            <w:r>
              <w:t xml:space="preserve">Kayin</w:t>
            </w:r>
          </w:p>
        </w:tc>
        <w:tc>
          <w:tcPr/>
          <w:p>
            <w:pPr>
              <w:pStyle w:val="Compact"/>
              <w:jc w:val="center"/>
            </w:pPr>
            <w:r>
              <w:t xml:space="preserve">Hpapun</w:t>
            </w:r>
          </w:p>
        </w:tc>
        <w:tc>
          <w:tcPr/>
          <w:p>
            <w:pPr>
              <w:pStyle w:val="Compact"/>
              <w:jc w:val="center"/>
            </w:pPr>
            <w:r>
              <w:t xml:space="preserve">44,320</w:t>
            </w:r>
          </w:p>
        </w:tc>
        <w:tc>
          <w:tcPr/>
          <w:p>
            <w:pPr>
              <w:pStyle w:val="Compact"/>
              <w:jc w:val="center"/>
            </w:pPr>
            <w:r>
              <w:t xml:space="preserve">14,444</w:t>
            </w:r>
          </w:p>
        </w:tc>
        <w:tc>
          <w:tcPr/>
          <w:p>
            <w:pPr>
              <w:pStyle w:val="Compact"/>
              <w:jc w:val="center"/>
            </w:pPr>
            <w:r>
              <w:t xml:space="preserve">11.18</w:t>
            </w:r>
          </w:p>
        </w:tc>
        <w:tc>
          <w:tcPr/>
          <w:p>
            <w:pPr>
              <w:pStyle w:val="Compact"/>
              <w:jc w:val="center"/>
            </w:pPr>
            <w:r>
              <w:t xml:space="preserve">32.59</w:t>
            </w:r>
          </w:p>
        </w:tc>
      </w:tr>
      <w:tr>
        <w:tc>
          <w:tcPr/>
          <w:p>
            <w:pPr>
              <w:pStyle w:val="Compact"/>
              <w:jc w:val="center"/>
            </w:pPr>
            <w:r>
              <w:t xml:space="preserve">Mon</w:t>
            </w:r>
          </w:p>
        </w:tc>
        <w:tc>
          <w:tcPr/>
          <w:p>
            <w:pPr>
              <w:pStyle w:val="Compact"/>
              <w:jc w:val="center"/>
            </w:pPr>
            <w:r>
              <w:t xml:space="preserve">Kyaikto</w:t>
            </w:r>
          </w:p>
        </w:tc>
        <w:tc>
          <w:tcPr/>
          <w:p>
            <w:pPr>
              <w:pStyle w:val="Compact"/>
              <w:jc w:val="center"/>
            </w:pPr>
            <w:r>
              <w:t xml:space="preserve">10,000</w:t>
            </w:r>
          </w:p>
        </w:tc>
        <w:tc>
          <w:tcPr/>
          <w:p>
            <w:pPr>
              <w:pStyle w:val="Compact"/>
              <w:jc w:val="center"/>
            </w:pPr>
            <w:r>
              <w:t xml:space="preserve">8,284</w:t>
            </w:r>
          </w:p>
        </w:tc>
        <w:tc>
          <w:tcPr/>
          <w:p>
            <w:pPr>
              <w:pStyle w:val="Compact"/>
              <w:jc w:val="center"/>
            </w:pPr>
            <w:r>
              <w:t xml:space="preserve">6.41</w:t>
            </w:r>
          </w:p>
        </w:tc>
        <w:tc>
          <w:tcPr/>
          <w:p>
            <w:pPr>
              <w:pStyle w:val="Compact"/>
              <w:jc w:val="center"/>
            </w:pPr>
            <w:r>
              <w:t xml:space="preserve">82.84</w:t>
            </w:r>
          </w:p>
        </w:tc>
      </w:tr>
      <w:tr>
        <w:tc>
          <w:tcPr/>
          <w:p>
            <w:pPr>
              <w:pStyle w:val="Compact"/>
              <w:jc w:val="center"/>
            </w:pPr>
            <w:r>
              <w:t xml:space="preserve">Kayin</w:t>
            </w:r>
          </w:p>
        </w:tc>
        <w:tc>
          <w:tcPr/>
          <w:p>
            <w:pPr>
              <w:pStyle w:val="Compact"/>
              <w:jc w:val="center"/>
            </w:pPr>
            <w:r>
              <w:t xml:space="preserve">Hlaingbwe</w:t>
            </w:r>
          </w:p>
        </w:tc>
        <w:tc>
          <w:tcPr/>
          <w:p>
            <w:pPr>
              <w:pStyle w:val="Compact"/>
              <w:jc w:val="center"/>
            </w:pPr>
            <w:r>
              <w:t xml:space="preserve">15,000</w:t>
            </w:r>
          </w:p>
        </w:tc>
        <w:tc>
          <w:tcPr/>
          <w:p>
            <w:pPr>
              <w:pStyle w:val="Compact"/>
              <w:jc w:val="center"/>
            </w:pPr>
            <w:r>
              <w:t xml:space="preserve">7,778</w:t>
            </w:r>
          </w:p>
        </w:tc>
        <w:tc>
          <w:tcPr/>
          <w:p>
            <w:pPr>
              <w:pStyle w:val="Compact"/>
              <w:jc w:val="center"/>
            </w:pPr>
            <w:r>
              <w:t xml:space="preserve">6.02</w:t>
            </w:r>
          </w:p>
        </w:tc>
        <w:tc>
          <w:tcPr/>
          <w:p>
            <w:pPr>
              <w:pStyle w:val="Compact"/>
              <w:jc w:val="center"/>
            </w:pPr>
            <w:r>
              <w:t xml:space="preserve">51.85</w:t>
            </w:r>
          </w:p>
        </w:tc>
      </w:tr>
      <w:tr>
        <w:tc>
          <w:tcPr/>
          <w:p>
            <w:pPr>
              <w:pStyle w:val="Compact"/>
              <w:jc w:val="center"/>
            </w:pPr>
            <w:r>
              <w:t xml:space="preserve">Mon</w:t>
            </w:r>
          </w:p>
        </w:tc>
        <w:tc>
          <w:tcPr/>
          <w:p>
            <w:pPr>
              <w:pStyle w:val="Compact"/>
              <w:jc w:val="center"/>
            </w:pPr>
            <w:r>
              <w:t xml:space="preserve">Chaungzon</w:t>
            </w:r>
          </w:p>
        </w:tc>
        <w:tc>
          <w:tcPr/>
          <w:p>
            <w:pPr>
              <w:pStyle w:val="Compact"/>
              <w:jc w:val="center"/>
            </w:pPr>
            <w:r>
              <w:t xml:space="preserve">0</w:t>
            </w:r>
          </w:p>
        </w:tc>
        <w:tc>
          <w:tcPr/>
          <w:p>
            <w:pPr>
              <w:pStyle w:val="Compact"/>
              <w:jc w:val="center"/>
            </w:pPr>
            <w:r>
              <w:t xml:space="preserve">7,181</w:t>
            </w:r>
          </w:p>
        </w:tc>
        <w:tc>
          <w:tcPr/>
          <w:p>
            <w:pPr>
              <w:pStyle w:val="Compact"/>
              <w:jc w:val="center"/>
            </w:pPr>
            <w:r>
              <w:t xml:space="preserve">5.56</w:t>
            </w:r>
          </w:p>
        </w:tc>
        <w:tc>
          <w:tcPr/>
          <w:p>
            <w:pPr>
              <w:pStyle w:val="Compact"/>
              <w:jc w:val="center"/>
            </w:pPr>
            <w:r>
              <w:t xml:space="preserve">100</w:t>
            </w:r>
          </w:p>
        </w:tc>
      </w:tr>
      <w:tr>
        <w:tc>
          <w:tcPr/>
          <w:p>
            <w:pPr>
              <w:pStyle w:val="Compact"/>
              <w:jc w:val="center"/>
            </w:pPr>
            <w:r>
              <w:t xml:space="preserve">Mon</w:t>
            </w:r>
          </w:p>
        </w:tc>
        <w:tc>
          <w:tcPr/>
          <w:p>
            <w:pPr>
              <w:pStyle w:val="Compact"/>
              <w:jc w:val="center"/>
            </w:pPr>
            <w:r>
              <w:t xml:space="preserve">Bilin</w:t>
            </w:r>
          </w:p>
        </w:tc>
        <w:tc>
          <w:tcPr/>
          <w:p>
            <w:pPr>
              <w:pStyle w:val="Compact"/>
              <w:jc w:val="center"/>
            </w:pPr>
            <w:r>
              <w:t xml:space="preserve">5,000</w:t>
            </w:r>
          </w:p>
        </w:tc>
        <w:tc>
          <w:tcPr/>
          <w:p>
            <w:pPr>
              <w:pStyle w:val="Compact"/>
              <w:jc w:val="center"/>
            </w:pPr>
            <w:r>
              <w:t xml:space="preserve">6,031</w:t>
            </w:r>
          </w:p>
        </w:tc>
        <w:tc>
          <w:tcPr/>
          <w:p>
            <w:pPr>
              <w:pStyle w:val="Compact"/>
              <w:jc w:val="center"/>
            </w:pPr>
            <w:r>
              <w:t xml:space="preserve">4.67</w:t>
            </w:r>
          </w:p>
        </w:tc>
        <w:tc>
          <w:tcPr/>
          <w:p>
            <w:pPr>
              <w:pStyle w:val="Compact"/>
              <w:jc w:val="center"/>
            </w:pPr>
            <w:r>
              <w:t xml:space="preserve">120.6</w:t>
            </w:r>
          </w:p>
        </w:tc>
      </w:tr>
      <w:tr>
        <w:tc>
          <w:tcPr/>
          <w:p>
            <w:pPr>
              <w:pStyle w:val="Compact"/>
              <w:jc w:val="center"/>
            </w:pPr>
            <w:r>
              <w:t xml:space="preserve">Mon</w:t>
            </w:r>
          </w:p>
        </w:tc>
        <w:tc>
          <w:tcPr/>
          <w:p>
            <w:pPr>
              <w:pStyle w:val="Compact"/>
              <w:jc w:val="center"/>
            </w:pPr>
            <w:r>
              <w:t xml:space="preserve">Paung</w:t>
            </w:r>
          </w:p>
        </w:tc>
        <w:tc>
          <w:tcPr/>
          <w:p>
            <w:pPr>
              <w:pStyle w:val="Compact"/>
              <w:jc w:val="center"/>
            </w:pPr>
            <w:r>
              <w:t xml:space="preserve">0</w:t>
            </w:r>
          </w:p>
        </w:tc>
        <w:tc>
          <w:tcPr/>
          <w:p>
            <w:pPr>
              <w:pStyle w:val="Compact"/>
              <w:jc w:val="center"/>
            </w:pPr>
            <w:r>
              <w:t xml:space="preserve">4,254</w:t>
            </w:r>
          </w:p>
        </w:tc>
        <w:tc>
          <w:tcPr/>
          <w:p>
            <w:pPr>
              <w:pStyle w:val="Compact"/>
              <w:jc w:val="center"/>
            </w:pPr>
            <w:r>
              <w:t xml:space="preserve">3.29</w:t>
            </w:r>
          </w:p>
        </w:tc>
        <w:tc>
          <w:tcPr/>
          <w:p>
            <w:pPr>
              <w:pStyle w:val="Compact"/>
              <w:jc w:val="center"/>
            </w:pPr>
            <w:r>
              <w:t xml:space="preserve">100</w:t>
            </w:r>
          </w:p>
        </w:tc>
      </w:tr>
      <w:tr>
        <w:tc>
          <w:tcPr/>
          <w:p>
            <w:pPr>
              <w:pStyle w:val="Compact"/>
              <w:jc w:val="center"/>
            </w:pPr>
            <w:r>
              <w:t xml:space="preserve">Kayin</w:t>
            </w:r>
          </w:p>
        </w:tc>
        <w:tc>
          <w:tcPr/>
          <w:p>
            <w:pPr>
              <w:pStyle w:val="Compact"/>
              <w:jc w:val="center"/>
            </w:pPr>
            <w:r>
              <w:t xml:space="preserve">Thandaunggyi</w:t>
            </w:r>
          </w:p>
        </w:tc>
        <w:tc>
          <w:tcPr/>
          <w:p>
            <w:pPr>
              <w:pStyle w:val="Compact"/>
              <w:jc w:val="center"/>
            </w:pPr>
            <w:r>
              <w:t xml:space="preserve">7,000</w:t>
            </w:r>
          </w:p>
        </w:tc>
        <w:tc>
          <w:tcPr/>
          <w:p>
            <w:pPr>
              <w:pStyle w:val="Compact"/>
              <w:jc w:val="center"/>
            </w:pPr>
            <w:r>
              <w:t xml:space="preserve">2,811</w:t>
            </w:r>
          </w:p>
        </w:tc>
        <w:tc>
          <w:tcPr/>
          <w:p>
            <w:pPr>
              <w:pStyle w:val="Compact"/>
              <w:jc w:val="center"/>
            </w:pPr>
            <w:r>
              <w:t xml:space="preserve">2.18</w:t>
            </w:r>
          </w:p>
        </w:tc>
        <w:tc>
          <w:tcPr/>
          <w:p>
            <w:pPr>
              <w:pStyle w:val="Compact"/>
              <w:jc w:val="center"/>
            </w:pPr>
            <w:r>
              <w:t xml:space="preserve">40.16</w:t>
            </w:r>
          </w:p>
        </w:tc>
      </w:tr>
      <w:tr>
        <w:tc>
          <w:tcPr/>
          <w:p>
            <w:pPr>
              <w:pStyle w:val="Compact"/>
              <w:jc w:val="center"/>
            </w:pPr>
            <w:r>
              <w:t xml:space="preserve">Mon</w:t>
            </w:r>
          </w:p>
        </w:tc>
        <w:tc>
          <w:tcPr/>
          <w:p>
            <w:pPr>
              <w:pStyle w:val="Compact"/>
              <w:jc w:val="center"/>
            </w:pPr>
            <w:r>
              <w:t xml:space="preserve">Mawlamyine</w:t>
            </w:r>
          </w:p>
        </w:tc>
        <w:tc>
          <w:tcPr/>
          <w:p>
            <w:pPr>
              <w:pStyle w:val="Compact"/>
              <w:jc w:val="center"/>
            </w:pPr>
            <w:r>
              <w:t xml:space="preserve">0</w:t>
            </w:r>
          </w:p>
        </w:tc>
        <w:tc>
          <w:tcPr/>
          <w:p>
            <w:pPr>
              <w:pStyle w:val="Compact"/>
              <w:jc w:val="center"/>
            </w:pPr>
            <w:r>
              <w:t xml:space="preserve">2,691</w:t>
            </w:r>
          </w:p>
        </w:tc>
        <w:tc>
          <w:tcPr/>
          <w:p>
            <w:pPr>
              <w:pStyle w:val="Compact"/>
              <w:jc w:val="center"/>
            </w:pPr>
            <w:r>
              <w:t xml:space="preserve">2.08</w:t>
            </w:r>
          </w:p>
        </w:tc>
        <w:tc>
          <w:tcPr/>
          <w:p>
            <w:pPr>
              <w:pStyle w:val="Compact"/>
              <w:jc w:val="center"/>
            </w:pPr>
            <w:r>
              <w:t xml:space="preserve">100</w:t>
            </w:r>
          </w:p>
        </w:tc>
      </w:tr>
      <w:tr>
        <w:tc>
          <w:tcPr/>
          <w:p>
            <w:pPr>
              <w:pStyle w:val="Compact"/>
              <w:jc w:val="center"/>
            </w:pPr>
            <w:r>
              <w:t xml:space="preserve">Mon</w:t>
            </w:r>
          </w:p>
        </w:tc>
        <w:tc>
          <w:tcPr/>
          <w:p>
            <w:pPr>
              <w:pStyle w:val="Compact"/>
              <w:jc w:val="center"/>
            </w:pPr>
            <w:r>
              <w:t xml:space="preserve">Kyaikmaraw</w:t>
            </w:r>
          </w:p>
        </w:tc>
        <w:tc>
          <w:tcPr/>
          <w:p>
            <w:pPr>
              <w:pStyle w:val="Compact"/>
              <w:jc w:val="center"/>
            </w:pPr>
            <w:r>
              <w:t xml:space="preserve">0</w:t>
            </w:r>
          </w:p>
        </w:tc>
        <w:tc>
          <w:tcPr/>
          <w:p>
            <w:pPr>
              <w:pStyle w:val="Compact"/>
              <w:jc w:val="center"/>
            </w:pPr>
            <w:r>
              <w:t xml:space="preserve">2,570</w:t>
            </w:r>
          </w:p>
        </w:tc>
        <w:tc>
          <w:tcPr/>
          <w:p>
            <w:pPr>
              <w:pStyle w:val="Compact"/>
              <w:jc w:val="center"/>
            </w:pPr>
            <w:r>
              <w:t xml:space="preserve">1.99</w:t>
            </w:r>
          </w:p>
        </w:tc>
        <w:tc>
          <w:tcPr/>
          <w:p>
            <w:pPr>
              <w:pStyle w:val="Compact"/>
              <w:jc w:val="center"/>
            </w:pPr>
            <w:r>
              <w:t xml:space="preserve">100</w:t>
            </w:r>
          </w:p>
        </w:tc>
      </w:tr>
      <w:tr>
        <w:tc>
          <w:tcPr/>
          <w:p>
            <w:pPr>
              <w:pStyle w:val="Compact"/>
              <w:jc w:val="center"/>
            </w:pPr>
            <w:r>
              <w:t xml:space="preserve">Kayah</w:t>
            </w:r>
          </w:p>
        </w:tc>
        <w:tc>
          <w:tcPr/>
          <w:p>
            <w:pPr>
              <w:pStyle w:val="Compact"/>
              <w:jc w:val="center"/>
            </w:pPr>
            <w:r>
              <w:t xml:space="preserve">Shadaw</w:t>
            </w:r>
          </w:p>
        </w:tc>
        <w:tc>
          <w:tcPr/>
          <w:p>
            <w:pPr>
              <w:pStyle w:val="Compact"/>
              <w:jc w:val="center"/>
            </w:pPr>
            <w:r>
              <w:t xml:space="preserve">500</w:t>
            </w:r>
          </w:p>
        </w:tc>
        <w:tc>
          <w:tcPr/>
          <w:p>
            <w:pPr>
              <w:pStyle w:val="Compact"/>
              <w:jc w:val="center"/>
            </w:pPr>
            <w:r>
              <w:t xml:space="preserve">1,606</w:t>
            </w:r>
          </w:p>
        </w:tc>
        <w:tc>
          <w:tcPr/>
          <w:p>
            <w:pPr>
              <w:pStyle w:val="Compact"/>
              <w:jc w:val="center"/>
            </w:pPr>
            <w:r>
              <w:t xml:space="preserve">1.24</w:t>
            </w:r>
          </w:p>
        </w:tc>
        <w:tc>
          <w:tcPr/>
          <w:p>
            <w:pPr>
              <w:pStyle w:val="Compact"/>
              <w:jc w:val="center"/>
            </w:pPr>
            <w:r>
              <w:t xml:space="preserve">321.2</w:t>
            </w:r>
          </w:p>
        </w:tc>
      </w:tr>
      <w:tr>
        <w:tc>
          <w:tcPr/>
          <w:p>
            <w:pPr>
              <w:pStyle w:val="Compact"/>
              <w:jc w:val="center"/>
            </w:pPr>
            <w:r>
              <w:t xml:space="preserve">Kayin</w:t>
            </w:r>
          </w:p>
        </w:tc>
        <w:tc>
          <w:tcPr/>
          <w:p>
            <w:pPr>
              <w:pStyle w:val="Compact"/>
              <w:jc w:val="center"/>
            </w:pPr>
            <w:r>
              <w:t xml:space="preserve">Kawkareik</w:t>
            </w:r>
          </w:p>
        </w:tc>
        <w:tc>
          <w:tcPr/>
          <w:p>
            <w:pPr>
              <w:pStyle w:val="Compact"/>
              <w:jc w:val="center"/>
            </w:pPr>
            <w:r>
              <w:t xml:space="preserve">5,000</w:t>
            </w:r>
          </w:p>
        </w:tc>
        <w:tc>
          <w:tcPr/>
          <w:p>
            <w:pPr>
              <w:pStyle w:val="Compact"/>
              <w:jc w:val="center"/>
            </w:pPr>
            <w:r>
              <w:t xml:space="preserve">1,432</w:t>
            </w:r>
          </w:p>
        </w:tc>
        <w:tc>
          <w:tcPr/>
          <w:p>
            <w:pPr>
              <w:pStyle w:val="Compact"/>
              <w:jc w:val="center"/>
            </w:pPr>
            <w:r>
              <w:t xml:space="preserve">1.11</w:t>
            </w:r>
          </w:p>
        </w:tc>
        <w:tc>
          <w:tcPr/>
          <w:p>
            <w:pPr>
              <w:pStyle w:val="Compact"/>
              <w:jc w:val="center"/>
            </w:pPr>
            <w:r>
              <w:t xml:space="preserve">28.64</w:t>
            </w:r>
          </w:p>
        </w:tc>
      </w:tr>
      <w:tr>
        <w:tc>
          <w:tcPr/>
          <w:p>
            <w:pPr>
              <w:pStyle w:val="Compact"/>
              <w:jc w:val="center"/>
            </w:pPr>
            <w:r>
              <w:t xml:space="preserve">Kayin</w:t>
            </w:r>
          </w:p>
        </w:tc>
        <w:tc>
          <w:tcPr/>
          <w:p>
            <w:pPr>
              <w:pStyle w:val="Compact"/>
              <w:jc w:val="center"/>
            </w:pPr>
            <w:r>
              <w:t xml:space="preserve">Kyainseikgyi</w:t>
            </w:r>
          </w:p>
        </w:tc>
        <w:tc>
          <w:tcPr/>
          <w:p>
            <w:pPr>
              <w:pStyle w:val="Compact"/>
              <w:jc w:val="center"/>
            </w:pPr>
            <w:r>
              <w:t xml:space="preserve">5,000</w:t>
            </w:r>
          </w:p>
        </w:tc>
        <w:tc>
          <w:tcPr/>
          <w:p>
            <w:pPr>
              <w:pStyle w:val="Compact"/>
              <w:jc w:val="center"/>
            </w:pPr>
            <w:r>
              <w:t xml:space="preserve">1,390</w:t>
            </w:r>
          </w:p>
        </w:tc>
        <w:tc>
          <w:tcPr/>
          <w:p>
            <w:pPr>
              <w:pStyle w:val="Compact"/>
              <w:jc w:val="center"/>
            </w:pPr>
            <w:r>
              <w:t xml:space="preserve">1.08</w:t>
            </w:r>
          </w:p>
        </w:tc>
        <w:tc>
          <w:tcPr/>
          <w:p>
            <w:pPr>
              <w:pStyle w:val="Compact"/>
              <w:jc w:val="center"/>
            </w:pPr>
            <w:r>
              <w:t xml:space="preserve">27.8</w:t>
            </w:r>
          </w:p>
        </w:tc>
      </w:tr>
      <w:tr>
        <w:tc>
          <w:tcPr/>
          <w:p>
            <w:pPr>
              <w:pStyle w:val="Compact"/>
              <w:jc w:val="center"/>
            </w:pPr>
            <w:r>
              <w:t xml:space="preserve">Kayah</w:t>
            </w:r>
          </w:p>
        </w:tc>
        <w:tc>
          <w:tcPr/>
          <w:p>
            <w:pPr>
              <w:pStyle w:val="Compact"/>
              <w:jc w:val="center"/>
            </w:pPr>
            <w:r>
              <w:t xml:space="preserve">Loikaw</w:t>
            </w:r>
          </w:p>
        </w:tc>
        <w:tc>
          <w:tcPr/>
          <w:p>
            <w:pPr>
              <w:pStyle w:val="Compact"/>
              <w:jc w:val="center"/>
            </w:pPr>
            <w:r>
              <w:t xml:space="preserve">25,000</w:t>
            </w:r>
          </w:p>
        </w:tc>
        <w:tc>
          <w:tcPr/>
          <w:p>
            <w:pPr>
              <w:pStyle w:val="Compact"/>
              <w:jc w:val="center"/>
            </w:pPr>
            <w:r>
              <w:t xml:space="preserve">815</w:t>
            </w:r>
          </w:p>
        </w:tc>
        <w:tc>
          <w:tcPr/>
          <w:p>
            <w:pPr>
              <w:pStyle w:val="Compact"/>
              <w:jc w:val="center"/>
            </w:pPr>
            <w:r>
              <w:t xml:space="preserve">0.63</w:t>
            </w:r>
          </w:p>
        </w:tc>
        <w:tc>
          <w:tcPr/>
          <w:p>
            <w:pPr>
              <w:pStyle w:val="Compact"/>
              <w:jc w:val="center"/>
            </w:pPr>
            <w:r>
              <w:t xml:space="preserve">3.26</w:t>
            </w:r>
          </w:p>
        </w:tc>
      </w:tr>
      <w:tr>
        <w:tc>
          <w:tcPr/>
          <w:p>
            <w:pPr>
              <w:pStyle w:val="Compact"/>
              <w:jc w:val="center"/>
            </w:pPr>
            <w:r>
              <w:t xml:space="preserve">Tanintharyi</w:t>
            </w:r>
          </w:p>
        </w:tc>
        <w:tc>
          <w:tcPr/>
          <w:p>
            <w:pPr>
              <w:pStyle w:val="Compact"/>
              <w:jc w:val="center"/>
            </w:pPr>
            <w:r>
              <w:t xml:space="preserve">Dawei</w:t>
            </w:r>
          </w:p>
        </w:tc>
        <w:tc>
          <w:tcPr/>
          <w:p>
            <w:pPr>
              <w:pStyle w:val="Compact"/>
              <w:jc w:val="center"/>
            </w:pPr>
            <w:r>
              <w:t xml:space="preserve">5,667</w:t>
            </w:r>
          </w:p>
        </w:tc>
        <w:tc>
          <w:tcPr/>
          <w:p>
            <w:pPr>
              <w:pStyle w:val="Compact"/>
              <w:jc w:val="center"/>
            </w:pPr>
            <w:r>
              <w:t xml:space="preserve">314</w:t>
            </w:r>
          </w:p>
        </w:tc>
        <w:tc>
          <w:tcPr/>
          <w:p>
            <w:pPr>
              <w:pStyle w:val="Compact"/>
              <w:jc w:val="center"/>
            </w:pPr>
            <w:r>
              <w:t xml:space="preserve">0.24</w:t>
            </w:r>
          </w:p>
        </w:tc>
        <w:tc>
          <w:tcPr/>
          <w:p>
            <w:pPr>
              <w:pStyle w:val="Compact"/>
              <w:jc w:val="center"/>
            </w:pPr>
            <w:r>
              <w:t xml:space="preserve">5.54</w:t>
            </w:r>
          </w:p>
        </w:tc>
      </w:tr>
      <w:tr>
        <w:tc>
          <w:tcPr/>
          <w:p>
            <w:pPr>
              <w:pStyle w:val="Compact"/>
              <w:jc w:val="center"/>
            </w:pPr>
            <w:r>
              <w:t xml:space="preserve">Mon</w:t>
            </w:r>
          </w:p>
        </w:tc>
        <w:tc>
          <w:tcPr/>
          <w:p>
            <w:pPr>
              <w:pStyle w:val="Compact"/>
              <w:jc w:val="center"/>
            </w:pPr>
            <w:r>
              <w:t xml:space="preserve">Ye</w:t>
            </w:r>
          </w:p>
        </w:tc>
        <w:tc>
          <w:tcPr/>
          <w:p>
            <w:pPr>
              <w:pStyle w:val="Compact"/>
              <w:jc w:val="center"/>
            </w:pPr>
            <w:r>
              <w:t xml:space="preserve">10,000</w:t>
            </w:r>
          </w:p>
        </w:tc>
        <w:tc>
          <w:tcPr/>
          <w:p>
            <w:pPr>
              <w:pStyle w:val="Compact"/>
              <w:jc w:val="center"/>
            </w:pPr>
            <w:r>
              <w:t xml:space="preserve">180</w:t>
            </w:r>
          </w:p>
        </w:tc>
        <w:tc>
          <w:tcPr/>
          <w:p>
            <w:pPr>
              <w:pStyle w:val="Compact"/>
              <w:jc w:val="center"/>
            </w:pPr>
            <w:r>
              <w:t xml:space="preserve">0.14</w:t>
            </w:r>
          </w:p>
        </w:tc>
        <w:tc>
          <w:tcPr/>
          <w:p>
            <w:pPr>
              <w:pStyle w:val="Compact"/>
              <w:jc w:val="center"/>
            </w:pPr>
            <w:r>
              <w:t xml:space="preserve">1.8</w:t>
            </w:r>
          </w:p>
        </w:tc>
      </w:tr>
      <w:tr>
        <w:tc>
          <w:tcPr/>
          <w:p>
            <w:pPr>
              <w:pStyle w:val="Compact"/>
              <w:jc w:val="center"/>
            </w:pPr>
            <w:r>
              <w:t xml:space="preserve">Tanintharyi</w:t>
            </w:r>
          </w:p>
        </w:tc>
        <w:tc>
          <w:tcPr/>
          <w:p>
            <w:pPr>
              <w:pStyle w:val="Compact"/>
              <w:jc w:val="center"/>
            </w:pPr>
            <w:r>
              <w:t xml:space="preserve">Yebyu</w:t>
            </w:r>
          </w:p>
        </w:tc>
        <w:tc>
          <w:tcPr/>
          <w:p>
            <w:pPr>
              <w:pStyle w:val="Compact"/>
              <w:jc w:val="center"/>
            </w:pPr>
            <w:r>
              <w:t xml:space="preserve">4,751</w:t>
            </w:r>
          </w:p>
        </w:tc>
        <w:tc>
          <w:tcPr/>
          <w:p>
            <w:pPr>
              <w:pStyle w:val="Compact"/>
              <w:jc w:val="center"/>
            </w:pPr>
            <w:r>
              <w:t xml:space="preserve">81</w:t>
            </w:r>
          </w:p>
        </w:tc>
        <w:tc>
          <w:tcPr/>
          <w:p>
            <w:pPr>
              <w:pStyle w:val="Compact"/>
              <w:jc w:val="center"/>
            </w:pPr>
            <w:r>
              <w:t xml:space="preserve">0.06</w:t>
            </w:r>
          </w:p>
        </w:tc>
        <w:tc>
          <w:tcPr/>
          <w:p>
            <w:pPr>
              <w:pStyle w:val="Compact"/>
              <w:jc w:val="center"/>
            </w:pPr>
            <w:r>
              <w:t xml:space="preserve">1.7</w:t>
            </w:r>
          </w:p>
        </w:tc>
      </w:tr>
    </w:tbl>
    <w:p>
      <w:pPr>
        <w:pStyle w:val="BodyText"/>
      </w:pPr>
    </w:p>
    <w:bookmarkEnd w:id="26"/>
    <w:bookmarkStart w:id="29" w:name="locations"/>
    <w:p>
      <w:pPr>
        <w:pStyle w:val="Heading3"/>
      </w:pPr>
      <w:r>
        <w:t xml:space="preserve">1.3 Locations</w:t>
      </w:r>
    </w:p>
    <w:p>
      <w:pPr>
        <w:pStyle w:val="FirstParagraph"/>
      </w:pPr>
      <w:r>
        <w:t xml:space="preserve">A location refers to either an village, ward, IDP site or industrial zone.</w:t>
      </w:r>
    </w:p>
    <w:p>
      <w:pPr>
        <w:pStyle w:val="BodyText"/>
      </w:pPr>
      <w:r>
        <w:t xml:space="preserve">This first plot below is a histogram of location, by number of beneficiaries. The vast majority of locations have only one activity occurring within them. This is something to be monitored over the course of the year, as it is assumed that a range of activities are required to comprehensively meet the food security and livelihoods needs of targeted communities. As it currently stands, the response is very broad, with little depth.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facet-locations-activities-1.png" id="0"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second plot of locations is faceted by the number of partners – this helps us check for potential overlaps. There are quite a large number of locations with 2 partners in them. Locations with multiple partners were from Rakhine, Kachin and Shan (North).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histogram-locations-by-partner-1.png" id="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greatest number of beneficiaries came from rural villages and camp/IDP Sites. This runs counter to vulnerability patterns identified by in both the IFPRI Household Welfare Survey and the FAO-WFP Food Security Survey. Both surveys found that rural households were less food secure and less resilient than urban ones.</w:t>
      </w:r>
      <w:r>
        <w:t xml:space="preserve"> </w:t>
      </w:r>
    </w:p>
    <w:p>
      <w:pPr>
        <w:pStyle w:val="TableCaption"/>
      </w:pPr>
      <w:r>
        <w:t xml:space="preserve">Breakdown of locations and beneficiaries</w:t>
      </w:r>
    </w:p>
    <w:tbl>
      <w:tblPr>
        <w:tblStyle w:val="Table"/>
        <w:tblW w:type="pct" w:w="5000"/>
        <w:tblLook w:firstRow="1" w:lastRow="0" w:firstColumn="0" w:lastColumn="0" w:noHBand="0" w:noVBand="0" w:val="0020"/>
        <w:tblCaption w:val="Breakdown of locations and beneficiaries"/>
      </w:tblPr>
      <w:tblGrid>
        <w:gridCol w:w="1618"/>
        <w:gridCol w:w="1362"/>
        <w:gridCol w:w="1021"/>
        <w:gridCol w:w="1362"/>
        <w:gridCol w:w="936"/>
        <w:gridCol w:w="1618"/>
      </w:tblGrid>
      <w:tr>
        <w:trPr>
          <w:tblHeader w:val="true"/>
        </w:trPr>
        <w:tc>
          <w:tcPr/>
          <w:p>
            <w:pPr>
              <w:pStyle w:val="Compact"/>
              <w:jc w:val="center"/>
            </w:pPr>
            <w:r>
              <w:t xml:space="preserve">rural_or_urban</w:t>
            </w:r>
          </w:p>
        </w:tc>
        <w:tc>
          <w:tcPr/>
          <w:p>
            <w:pPr>
              <w:pStyle w:val="Compact"/>
              <w:jc w:val="center"/>
            </w:pPr>
            <w:r>
              <w:t xml:space="preserve">location_type</w:t>
            </w:r>
          </w:p>
        </w:tc>
        <w:tc>
          <w:tcPr/>
          <w:p>
            <w:pPr>
              <w:pStyle w:val="Compact"/>
              <w:jc w:val="center"/>
            </w:pPr>
            <w:r>
              <w:t xml:space="preserve">locations</w:t>
            </w:r>
          </w:p>
        </w:tc>
        <w:tc>
          <w:tcPr/>
          <w:p>
            <w:pPr>
              <w:pStyle w:val="Compact"/>
              <w:jc w:val="center"/>
            </w:pPr>
            <w:r>
              <w:t xml:space="preserve">beneficiaries</w:t>
            </w:r>
          </w:p>
        </w:tc>
        <w:tc>
          <w:tcPr/>
          <w:p>
            <w:pPr>
              <w:pStyle w:val="Compact"/>
              <w:jc w:val="center"/>
            </w:pPr>
            <w:r>
              <w:t xml:space="preserve">%_of_ben</w:t>
            </w:r>
          </w:p>
        </w:tc>
        <w:tc>
          <w:tcPr/>
          <w:p>
            <w:pPr>
              <w:pStyle w:val="Compact"/>
              <w:jc w:val="center"/>
            </w:pPr>
            <w:r>
              <w:t xml:space="preserve">ben_per_location</w:t>
            </w:r>
          </w:p>
        </w:tc>
      </w:tr>
      <w:tr>
        <w:tc>
          <w:tcPr/>
          <w:p>
            <w:pPr>
              <w:pStyle w:val="Compact"/>
              <w:jc w:val="center"/>
            </w:pPr>
            <w:r>
              <w:t xml:space="preserve">Rural</w:t>
            </w:r>
          </w:p>
        </w:tc>
        <w:tc>
          <w:tcPr/>
          <w:p>
            <w:pPr>
              <w:pStyle w:val="Compact"/>
              <w:jc w:val="center"/>
            </w:pPr>
            <w:r>
              <w:t xml:space="preserve">Camp/IDP site</w:t>
            </w:r>
          </w:p>
        </w:tc>
        <w:tc>
          <w:tcPr/>
          <w:p>
            <w:pPr>
              <w:pStyle w:val="Compact"/>
              <w:jc w:val="center"/>
            </w:pPr>
            <w:r>
              <w:t xml:space="preserve">52</w:t>
            </w:r>
          </w:p>
        </w:tc>
        <w:tc>
          <w:tcPr/>
          <w:p>
            <w:pPr>
              <w:pStyle w:val="Compact"/>
              <w:jc w:val="center"/>
            </w:pPr>
            <w:r>
              <w:t xml:space="preserve">28,603</w:t>
            </w:r>
          </w:p>
        </w:tc>
        <w:tc>
          <w:tcPr/>
          <w:p>
            <w:pPr>
              <w:pStyle w:val="Compact"/>
              <w:jc w:val="center"/>
            </w:pPr>
            <w:r>
              <w:t xml:space="preserve">22.24</w:t>
            </w:r>
          </w:p>
        </w:tc>
        <w:tc>
          <w:tcPr/>
          <w:p>
            <w:pPr>
              <w:pStyle w:val="Compact"/>
              <w:jc w:val="center"/>
            </w:pPr>
            <w:r>
              <w:t xml:space="preserve">550</w:t>
            </w:r>
          </w:p>
        </w:tc>
      </w:tr>
      <w:tr>
        <w:tc>
          <w:tcPr/>
          <w:p>
            <w:pPr>
              <w:pStyle w:val="Compact"/>
              <w:jc w:val="center"/>
            </w:pPr>
            <w:r>
              <w:t xml:space="preserve">Rural</w:t>
            </w:r>
          </w:p>
        </w:tc>
        <w:tc>
          <w:tcPr/>
          <w:p>
            <w:pPr>
              <w:pStyle w:val="Compact"/>
              <w:jc w:val="center"/>
            </w:pPr>
            <w:r>
              <w:t xml:space="preserve">Village</w:t>
            </w:r>
          </w:p>
        </w:tc>
        <w:tc>
          <w:tcPr/>
          <w:p>
            <w:pPr>
              <w:pStyle w:val="Compact"/>
              <w:jc w:val="center"/>
            </w:pPr>
            <w:r>
              <w:t xml:space="preserve">155</w:t>
            </w:r>
          </w:p>
        </w:tc>
        <w:tc>
          <w:tcPr/>
          <w:p>
            <w:pPr>
              <w:pStyle w:val="Compact"/>
              <w:jc w:val="center"/>
            </w:pPr>
            <w:r>
              <w:t xml:space="preserve">99,825</w:t>
            </w:r>
          </w:p>
        </w:tc>
        <w:tc>
          <w:tcPr/>
          <w:p>
            <w:pPr>
              <w:pStyle w:val="Compact"/>
              <w:jc w:val="center"/>
            </w:pPr>
            <w:r>
              <w:t xml:space="preserve">77.62</w:t>
            </w:r>
          </w:p>
        </w:tc>
        <w:tc>
          <w:tcPr/>
          <w:p>
            <w:pPr>
              <w:pStyle w:val="Compact"/>
              <w:jc w:val="center"/>
            </w:pPr>
            <w:r>
              <w:t xml:space="preserve">644</w:t>
            </w:r>
          </w:p>
        </w:tc>
      </w:tr>
      <w:tr>
        <w:tc>
          <w:tcPr/>
          <w:p>
            <w:pPr>
              <w:pStyle w:val="Compact"/>
              <w:jc w:val="center"/>
            </w:pPr>
            <w:r>
              <w:t xml:space="preserve">Urban/Peri-Urban</w:t>
            </w:r>
          </w:p>
        </w:tc>
        <w:tc>
          <w:tcPr/>
          <w:p>
            <w:pPr>
              <w:pStyle w:val="Compact"/>
              <w:jc w:val="center"/>
            </w:pPr>
            <w:r>
              <w:t xml:space="preserve">Camp/IDP site</w:t>
            </w:r>
          </w:p>
        </w:tc>
        <w:tc>
          <w:tcPr/>
          <w:p>
            <w:pPr>
              <w:pStyle w:val="Compact"/>
              <w:jc w:val="center"/>
            </w:pPr>
            <w:r>
              <w:t xml:space="preserve">1</w:t>
            </w:r>
          </w:p>
        </w:tc>
        <w:tc>
          <w:tcPr/>
          <w:p>
            <w:pPr>
              <w:pStyle w:val="Compact"/>
              <w:jc w:val="center"/>
            </w:pPr>
            <w:r>
              <w:t xml:space="preserve">104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Urban/Peri-Urban</w:t>
            </w:r>
          </w:p>
        </w:tc>
        <w:tc>
          <w:tcPr/>
          <w:p>
            <w:pPr>
              <w:pStyle w:val="Compact"/>
              <w:jc w:val="center"/>
            </w:pPr>
            <w:r>
              <w:t xml:space="preserve">Village</w:t>
            </w:r>
          </w:p>
        </w:tc>
        <w:tc>
          <w:tcPr/>
          <w:p>
            <w:pPr>
              <w:pStyle w:val="Compact"/>
              <w:jc w:val="center"/>
            </w:pPr>
            <w:r>
              <w:t xml:space="preserve">1</w:t>
            </w:r>
          </w:p>
        </w:tc>
        <w:tc>
          <w:tcPr/>
          <w:p>
            <w:pPr>
              <w:pStyle w:val="Compact"/>
              <w:jc w:val="center"/>
            </w:pPr>
            <w:r>
              <w:t xml:space="preserve">81</w:t>
            </w:r>
          </w:p>
        </w:tc>
        <w:tc>
          <w:tcPr/>
          <w:p>
            <w:pPr>
              <w:pStyle w:val="Compact"/>
              <w:jc w:val="center"/>
            </w:pPr>
            <w:r>
              <w:t xml:space="preserve">0.06</w:t>
            </w:r>
          </w:p>
        </w:tc>
        <w:tc>
          <w:tcPr/>
          <w:p>
            <w:pPr>
              <w:pStyle w:val="Compact"/>
              <w:jc w:val="center"/>
            </w:pPr>
            <w:r>
              <w:t xml:space="preserve">81</w:t>
            </w:r>
          </w:p>
        </w:tc>
      </w:tr>
    </w:tbl>
    <w:p>
      <w:pPr>
        <w:pStyle w:val="BodyText"/>
      </w:pPr>
    </w:p>
    <w:bookmarkEnd w:id="29"/>
    <w:bookmarkEnd w:id="30"/>
    <w:bookmarkStart w:id="38" w:name="activities"/>
    <w:p>
      <w:pPr>
        <w:pStyle w:val="Heading2"/>
      </w:pPr>
      <w:r>
        <w:t xml:space="preserve">2. Activities</w:t>
      </w:r>
    </w:p>
    <w:bookmarkStart w:id="32" w:name="progress-by-activity"/>
    <w:p>
      <w:pPr>
        <w:pStyle w:val="Heading3"/>
      </w:pPr>
      <w:r>
        <w:t xml:space="preserve">2.1 Progress by activity</w:t>
      </w:r>
    </w:p>
    <w:p>
      <w:pPr>
        <w:pStyle w:val="FirstParagraph"/>
      </w:pPr>
      <w:r>
        <w:t xml:space="preserve">The first grey line below shows the the approval of the IERP in June 2021 and the second red line shows the start of 2022.</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progress-facet-lineplot-1.png" id="0" name="Picture"/>
                    <pic:cNvPicPr>
                      <a:picLocks noChangeArrowheads="1" noChangeAspect="1"/>
                    </pic:cNvPicPr>
                  </pic:nvPicPr>
                  <pic:blipFill>
                    <a:blip r:embed="rId3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FFS and farmer training, and food cash for work/assets activities have not been implemented in 2022/Q1. Income-generating activities, which were very few in 2021, started to increase in 2022/Q1. Food distributions (in-kind and CBT/CVA) continued to be the largest activity from 2021 into 2022/Q1. Multi-purpose cash transfers was new activity that was not present in 2021.</w:t>
      </w:r>
    </w:p>
    <w:p>
      <w:pPr>
        <w:pStyle w:val="BodyText"/>
      </w:pPr>
    </w:p>
    <w:bookmarkEnd w:id="32"/>
    <w:bookmarkStart w:id="34" w:name="agricultural-and-livelihoods-activities"/>
    <w:p>
      <w:pPr>
        <w:pStyle w:val="Heading3"/>
      </w:pPr>
      <w:r>
        <w:t xml:space="preserve">2.2 Agricultural and livelihoods activities</w:t>
      </w:r>
    </w:p>
    <w:p>
      <w:pPr>
        <w:pStyle w:val="FirstParagraph"/>
      </w:pPr>
      <w:r>
        <w:t xml:space="preserve">24% of all beneficiary frequencies pertained to agricultural activities. As mentioned earlier, the vast majority of beneficiaries in Q1 2022 were related to food distributions.</w:t>
      </w:r>
    </w:p>
    <w:p>
      <w:pPr>
        <w:pStyle w:val="BodyText"/>
      </w:pPr>
    </w:p>
    <w:p>
      <w:pPr>
        <w:pStyle w:val="TableCaption"/>
      </w:pPr>
      <w:r>
        <w:t xml:space="preserve">Beneficiary frequencies reached by agricultural and non-agricultrural activities</w:t>
      </w:r>
    </w:p>
    <w:tbl>
      <w:tblPr>
        <w:tblStyle w:val="Table"/>
        <w:tblW w:type="pct" w:w="5000"/>
        <w:tblLook w:firstRow="1" w:lastRow="0" w:firstColumn="0" w:lastColumn="0" w:noHBand="0" w:noVBand="0" w:val="0020"/>
        <w:tblCaption w:val="Beneficiary frequencies reached by agricultural and non-agricultrural activities"/>
      </w:tblPr>
      <w:tblGrid>
        <w:gridCol w:w="2112"/>
        <w:gridCol w:w="1408"/>
        <w:gridCol w:w="1584"/>
        <w:gridCol w:w="704"/>
        <w:gridCol w:w="1056"/>
        <w:gridCol w:w="1056"/>
      </w:tblGrid>
      <w:tr>
        <w:trPr>
          <w:tblHeader w:val="true"/>
        </w:trPr>
        <w:tc>
          <w:tcPr/>
          <w:p>
            <w:pPr>
              <w:pStyle w:val="Compact"/>
              <w:jc w:val="center"/>
            </w:pPr>
            <w:r>
              <w:t xml:space="preserve">agricultural_activity</w:t>
            </w:r>
          </w:p>
        </w:tc>
        <w:tc>
          <w:tcPr/>
          <w:p>
            <w:pPr>
              <w:pStyle w:val="Compact"/>
              <w:jc w:val="center"/>
            </w:pPr>
            <w:r>
              <w:t xml:space="preserve">beneficiaries</w:t>
            </w:r>
          </w:p>
        </w:tc>
        <w:tc>
          <w:tcPr/>
          <w:p>
            <w:pPr>
              <w:pStyle w:val="Compact"/>
              <w:jc w:val="center"/>
            </w:pPr>
            <w:r>
              <w:t xml:space="preserve">%_beneficiaries</w:t>
            </w:r>
          </w:p>
        </w:tc>
        <w:tc>
          <w:tcPr/>
          <w:p>
            <w:pPr>
              <w:pStyle w:val="Compact"/>
              <w:jc w:val="center"/>
            </w:pPr>
            <w:r>
              <w:t xml:space="preserve">state</w:t>
            </w:r>
          </w:p>
        </w:tc>
        <w:tc>
          <w:tcPr/>
          <w:p>
            <w:pPr>
              <w:pStyle w:val="Compact"/>
              <w:jc w:val="center"/>
            </w:pPr>
            <w:r>
              <w:t xml:space="preserve">townships</w:t>
            </w:r>
          </w:p>
        </w:tc>
        <w:tc>
          <w:tcPr/>
          <w:p>
            <w:pPr>
              <w:pStyle w:val="Compact"/>
              <w:jc w:val="center"/>
            </w:pPr>
            <w:r>
              <w:t xml:space="preserve">partners</w:t>
            </w:r>
          </w:p>
        </w:tc>
      </w:tr>
      <w:tr>
        <w:tc>
          <w:tcPr/>
          <w:p>
            <w:pPr>
              <w:pStyle w:val="Compact"/>
              <w:jc w:val="center"/>
            </w:pPr>
            <w:r>
              <w:t xml:space="preserve">no</w:t>
            </w:r>
          </w:p>
        </w:tc>
        <w:tc>
          <w:tcPr/>
          <w:p>
            <w:pPr>
              <w:pStyle w:val="Compact"/>
              <w:jc w:val="center"/>
            </w:pPr>
            <w:r>
              <w:t xml:space="preserve">98,309</w:t>
            </w:r>
          </w:p>
        </w:tc>
        <w:tc>
          <w:tcPr/>
          <w:p>
            <w:pPr>
              <w:pStyle w:val="Compact"/>
              <w:jc w:val="center"/>
            </w:pPr>
            <w:r>
              <w:t xml:space="preserve">76.07</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3</w:t>
            </w:r>
          </w:p>
        </w:tc>
      </w:tr>
      <w:tr>
        <w:tc>
          <w:tcPr/>
          <w:p>
            <w:pPr>
              <w:pStyle w:val="Compact"/>
              <w:jc w:val="center"/>
            </w:pPr>
            <w:r>
              <w:t xml:space="preserve">yes</w:t>
            </w:r>
          </w:p>
        </w:tc>
        <w:tc>
          <w:tcPr/>
          <w:p>
            <w:pPr>
              <w:pStyle w:val="Compact"/>
              <w:jc w:val="center"/>
            </w:pPr>
            <w:r>
              <w:t xml:space="preserve">30,926</w:t>
            </w:r>
          </w:p>
        </w:tc>
        <w:tc>
          <w:tcPr/>
          <w:p>
            <w:pPr>
              <w:pStyle w:val="Compact"/>
              <w:jc w:val="center"/>
            </w:pPr>
            <w:r>
              <w:t xml:space="preserve">23.93</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2</w:t>
            </w:r>
          </w:p>
        </w:tc>
      </w:tr>
    </w:tbl>
    <w:p>
      <w:pPr>
        <w:pStyle w:val="BodyText"/>
      </w:pPr>
    </w:p>
    <w:p>
      <w:pPr>
        <w:pStyle w:val="BodyText"/>
      </w:pPr>
      <w:r>
        <w:t xml:space="preserve">Crop, vegetable and seed kits formed the largest group of agricultural activities and reached 5,729 households (for a full breakdown by agricultural activity, please refer to the plot below).</w:t>
      </w:r>
    </w:p>
    <w:p>
      <w:pPr>
        <w:pStyle w:val="BodyText"/>
      </w:pPr>
      <w:r>
        <w:t xml:space="preserve">It will be important to review the results from the second quarter in order to see if this pattern changes and agricultural household receive sufficient assistance prior to the main rice planting season which begins in May 2022. Still, the results are not encouraging and agricultural activities have had a very limited reach.</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barplot-ag-activities-1.png" id="0"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34"/>
    <w:bookmarkStart w:id="37" w:name="delivery-modalities"/>
    <w:p>
      <w:pPr>
        <w:pStyle w:val="Heading3"/>
      </w:pPr>
      <w:r>
        <w:t xml:space="preserve">2.3 Delivery modalities</w:t>
      </w:r>
    </w:p>
    <w:p>
      <w:pPr>
        <w:pStyle w:val="FirstParagraph"/>
      </w:pPr>
      <w:r>
        <w:t xml:space="preserve">The plots below, faceted by delivery modality, show the breakdown of activities by delivery modality. All activities corresponded to only one type of delivery modality.</w:t>
      </w:r>
    </w:p>
    <w:p>
      <w:pPr>
        <w:pStyle w:val="TableCaption"/>
      </w:pPr>
      <w:r>
        <w:t xml:space="preserve">Percentage of beneficiaries reached by activity and delivery modality</w:t>
      </w:r>
    </w:p>
    <w:tbl>
      <w:tblPr>
        <w:tblStyle w:val="Table"/>
        <w:tblW w:type="pct" w:w="5000"/>
        <w:tblLook w:firstRow="1" w:lastRow="0" w:firstColumn="0" w:lastColumn="0" w:noHBand="0" w:noVBand="0" w:val="0020"/>
        <w:tblCaption w:val="Percentage of beneficiaries reached by activity and delivery modality"/>
      </w:tblPr>
      <w:tblGrid>
        <w:gridCol w:w="2913"/>
        <w:gridCol w:w="910"/>
        <w:gridCol w:w="910"/>
        <w:gridCol w:w="1729"/>
        <w:gridCol w:w="1456"/>
      </w:tblGrid>
      <w:tr>
        <w:trPr>
          <w:tblHeader w:val="true"/>
        </w:trPr>
        <w:tc>
          <w:tcPr/>
          <w:p>
            <w:pPr>
              <w:pStyle w:val="Compact"/>
              <w:jc w:val="center"/>
            </w:pPr>
            <w:r>
              <w:t xml:space="preserve">Activity</w:t>
            </w:r>
          </w:p>
        </w:tc>
        <w:tc>
          <w:tcPr/>
          <w:p>
            <w:pPr>
              <w:pStyle w:val="Compact"/>
              <w:jc w:val="center"/>
            </w:pPr>
            <w:r>
              <w:t xml:space="preserve">In-kind</w:t>
            </w:r>
          </w:p>
        </w:tc>
        <w:tc>
          <w:tcPr/>
          <w:p>
            <w:pPr>
              <w:pStyle w:val="Compact"/>
              <w:jc w:val="center"/>
            </w:pPr>
            <w:r>
              <w:t xml:space="preserve">CBT/CVA</w:t>
            </w:r>
          </w:p>
        </w:tc>
        <w:tc>
          <w:tcPr/>
          <w:p>
            <w:pPr>
              <w:pStyle w:val="Compact"/>
              <w:jc w:val="center"/>
            </w:pPr>
            <w:r>
              <w:t xml:space="preserve">Service delivery</w:t>
            </w:r>
          </w:p>
        </w:tc>
        <w:tc>
          <w:tcPr/>
          <w:p>
            <w:pPr>
              <w:pStyle w:val="Compact"/>
              <w:jc w:val="center"/>
            </w:pPr>
            <w:r>
              <w:t xml:space="preserve">Beneficiaries</w:t>
            </w:r>
          </w:p>
        </w:tc>
      </w:tr>
      <w:tr>
        <w:tc>
          <w:tcPr/>
          <w:p>
            <w:pPr>
              <w:pStyle w:val="Compact"/>
              <w:jc w:val="center"/>
            </w:pPr>
            <w:r>
              <w:t xml:space="preserve">food distribution</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69,206</w:t>
            </w:r>
          </w:p>
        </w:tc>
      </w:tr>
      <w:tr>
        <w:tc>
          <w:tcPr/>
          <w:p>
            <w:pPr>
              <w:pStyle w:val="Compact"/>
              <w:jc w:val="center"/>
            </w:pPr>
            <w:r>
              <w:t xml:space="preserve">crop, vegetable and seed kits</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29,026</w:t>
            </w:r>
          </w:p>
        </w:tc>
      </w:tr>
      <w:tr>
        <w:tc>
          <w:tcPr/>
          <w:p>
            <w:pPr>
              <w:pStyle w:val="Compact"/>
              <w:jc w:val="center"/>
            </w:pPr>
            <w:r>
              <w:t xml:space="preserve">multi-purpose cash transfer</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28,900</w:t>
            </w:r>
          </w:p>
        </w:tc>
      </w:tr>
      <w:tr>
        <w:tc>
          <w:tcPr/>
          <w:p>
            <w:pPr>
              <w:pStyle w:val="Compact"/>
              <w:jc w:val="center"/>
            </w:pPr>
            <w:r>
              <w:t xml:space="preserve">IGA and small grants</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NA</w:t>
            </w:r>
          </w:p>
        </w:tc>
        <w:tc>
          <w:tcPr/>
          <w:p>
            <w:pPr>
              <w:pStyle w:val="Compact"/>
              <w:jc w:val="center"/>
            </w:pPr>
            <w:r>
              <w:t xml:space="preserve">1,638</w:t>
            </w:r>
          </w:p>
        </w:tc>
      </w:tr>
      <w:tr>
        <w:tc>
          <w:tcPr/>
          <w:p>
            <w:pPr>
              <w:pStyle w:val="Compact"/>
              <w:jc w:val="center"/>
            </w:pPr>
            <w:r>
              <w:t xml:space="preserve">vocational training</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100.0%</w:t>
            </w:r>
          </w:p>
        </w:tc>
        <w:tc>
          <w:tcPr/>
          <w:p>
            <w:pPr>
              <w:pStyle w:val="Compact"/>
              <w:jc w:val="center"/>
            </w:pPr>
            <w:r>
              <w:t xml:space="preserve">203</w:t>
            </w:r>
          </w:p>
        </w:tc>
      </w:tr>
    </w:tbl>
    <w:p>
      <w:pPr>
        <w:pStyle w:val="BodyText"/>
      </w:pPr>
    </w:p>
    <w:p>
      <w:pPr>
        <w:pStyle w:val="BodyText"/>
      </w:pPr>
      <w:r>
        <w:t xml:space="preserve">Both villages and IDP/Camp sites were predominated by in-kind distributions whilst only villages were targeted with cash-based interventions.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facet-location-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This would perhaps imply that partners believe that markets were more accessible from villages than camp/IDP sites. Other alternative assumptions include donor preferences and logistical challenges in bringing in-kind goods to villages. This remains a question to be explored by the broader Food Security Cluster.</w:t>
      </w:r>
    </w:p>
    <w:p>
      <w:pPr>
        <w:pStyle w:val="BodyText"/>
      </w:pPr>
      <w:r>
        <w:t xml:space="preserve">Below is a breakdown of percentage of beneficiaries reached by the different delivery modalities, by state.</w:t>
      </w: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delivery-modalities-stacked-bar-1.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37"/>
    <w:bookmarkEnd w:id="38"/>
    <w:bookmarkStart w:id="49" w:name="cash-based-programming"/>
    <w:p>
      <w:pPr>
        <w:pStyle w:val="Heading2"/>
      </w:pPr>
      <w:r>
        <w:t xml:space="preserve">3. Cash-based programming</w:t>
      </w:r>
    </w:p>
    <w:bookmarkStart w:id="40" w:name="cash-transfer-values-per-household"/>
    <w:p>
      <w:pPr>
        <w:pStyle w:val="Heading3"/>
      </w:pPr>
      <w:r>
        <w:t xml:space="preserve">3.1 Cash transfer values per household</w:t>
      </w:r>
    </w:p>
    <w:p>
      <w:pPr>
        <w:pStyle w:val="FirstParagraph"/>
      </w:pPr>
      <w:r>
        <w:drawing>
          <wp:inline>
            <wp:extent cx="5334000" cy="3556000"/>
            <wp:effectExtent b="0" l="0" r="0" t="0"/>
            <wp:docPr descr="" title="" id="1" name="Picture"/>
            <a:graphic>
              <a:graphicData uri="http://schemas.openxmlformats.org/drawingml/2006/picture">
                <pic:pic>
                  <pic:nvPicPr>
                    <pic:cNvPr descr="fsc_q1_2022_southeast_word_files/figure-docx/usd-hhd-bin-barplot-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86% of households received greater than USD 90/month per transfer. This aligns fairly well with 100% of the Minimum Expenditure Basket for food expenditures (USD 104.56/household/month). It should be noted, however that the value of the Minimum Expenditure Basket (calculated for 2021) needs to be revised as the Food Security Cluster anticipates 40% inflation in 2022.</w:t>
      </w:r>
    </w:p>
    <w:p>
      <w:pPr>
        <w:pStyle w:val="BodyText"/>
      </w:pPr>
      <w:r>
        <w:t xml:space="preserve">The table below shows the average USD values per transfer per household by and total transfer values per activity in the first quarter of 2022.</w:t>
      </w:r>
    </w:p>
    <w:p>
      <w:pPr>
        <w:pStyle w:val="TableCaption"/>
      </w:pPr>
      <w:r>
        <w:t xml:space="preserve">Only households which were reached by cash, hybrid or voucher modalities are included</w:t>
      </w:r>
    </w:p>
    <w:tbl>
      <w:tblPr>
        <w:tblStyle w:val="Table"/>
        <w:tblW w:type="pct" w:w="5000"/>
        <w:tblLook w:firstRow="1" w:lastRow="0" w:firstColumn="0" w:lastColumn="0" w:noHBand="0" w:noVBand="0" w:val="0020"/>
        <w:tblCaption w:val="Only households which were reached by cash, hybrid or voucher modalities are included"/>
      </w:tblPr>
      <w:tblGrid>
        <w:gridCol w:w="2731"/>
        <w:gridCol w:w="1638"/>
        <w:gridCol w:w="1638"/>
        <w:gridCol w:w="1911"/>
      </w:tblGrid>
      <w:tr>
        <w:trPr>
          <w:tblHeader w:val="true"/>
        </w:trPr>
        <w:tc>
          <w:tcPr/>
          <w:p>
            <w:pPr>
              <w:pStyle w:val="Compact"/>
              <w:jc w:val="center"/>
            </w:pPr>
            <w:r>
              <w:t xml:space="preserve">activity</w:t>
            </w:r>
          </w:p>
        </w:tc>
        <w:tc>
          <w:tcPr/>
          <w:p>
            <w:pPr>
              <w:pStyle w:val="Compact"/>
              <w:jc w:val="center"/>
            </w:pPr>
            <w:r>
              <w:t xml:space="preserve">hhd_frequencies</w:t>
            </w:r>
          </w:p>
        </w:tc>
        <w:tc>
          <w:tcPr/>
          <w:p>
            <w:pPr>
              <w:pStyle w:val="Compact"/>
              <w:jc w:val="center"/>
            </w:pPr>
            <w:r>
              <w:t xml:space="preserve">total_value_usd</w:t>
            </w:r>
          </w:p>
        </w:tc>
        <w:tc>
          <w:tcPr/>
          <w:p>
            <w:pPr>
              <w:pStyle w:val="Compact"/>
              <w:jc w:val="center"/>
            </w:pPr>
            <w:r>
              <w:t xml:space="preserve">avg_transfer_value</w:t>
            </w:r>
          </w:p>
        </w:tc>
      </w:tr>
      <w:tr>
        <w:tc>
          <w:tcPr/>
          <w:p>
            <w:pPr>
              <w:pStyle w:val="Compact"/>
              <w:jc w:val="center"/>
            </w:pPr>
            <w:r>
              <w:t xml:space="preserve">multi-purpose cash transfer</w:t>
            </w:r>
          </w:p>
        </w:tc>
        <w:tc>
          <w:tcPr/>
          <w:p>
            <w:pPr>
              <w:pStyle w:val="Compact"/>
              <w:jc w:val="center"/>
            </w:pPr>
            <w:r>
              <w:t xml:space="preserve">5,110</w:t>
            </w:r>
          </w:p>
        </w:tc>
        <w:tc>
          <w:tcPr/>
          <w:p>
            <w:pPr>
              <w:pStyle w:val="Compact"/>
              <w:jc w:val="center"/>
            </w:pPr>
            <w:r>
              <w:t xml:space="preserve">454,046</w:t>
            </w:r>
          </w:p>
        </w:tc>
        <w:tc>
          <w:tcPr/>
          <w:p>
            <w:pPr>
              <w:pStyle w:val="Compact"/>
              <w:jc w:val="center"/>
            </w:pPr>
            <w:r>
              <w:t xml:space="preserve">88.85</w:t>
            </w:r>
          </w:p>
        </w:tc>
      </w:tr>
      <w:tr>
        <w:tc>
          <w:tcPr/>
          <w:p>
            <w:pPr>
              <w:pStyle w:val="Compact"/>
              <w:jc w:val="center"/>
            </w:pPr>
            <w:r>
              <w:t xml:space="preserve">IGA and small grants</w:t>
            </w:r>
          </w:p>
        </w:tc>
        <w:tc>
          <w:tcPr/>
          <w:p>
            <w:pPr>
              <w:pStyle w:val="Compact"/>
              <w:jc w:val="center"/>
            </w:pPr>
            <w:r>
              <w:t xml:space="preserve">303</w:t>
            </w:r>
          </w:p>
        </w:tc>
        <w:tc>
          <w:tcPr/>
          <w:p>
            <w:pPr>
              <w:pStyle w:val="Compact"/>
              <w:jc w:val="center"/>
            </w:pPr>
            <w:r>
              <w:t xml:space="preserve">20,473</w:t>
            </w:r>
          </w:p>
        </w:tc>
        <w:tc>
          <w:tcPr/>
          <w:p>
            <w:pPr>
              <w:pStyle w:val="Compact"/>
              <w:jc w:val="center"/>
            </w:pPr>
            <w:r>
              <w:t xml:space="preserve">67.57</w:t>
            </w:r>
          </w:p>
        </w:tc>
      </w:tr>
    </w:tbl>
    <w:p>
      <w:pPr>
        <w:pStyle w:val="BodyText"/>
      </w:pPr>
    </w:p>
    <w:bookmarkEnd w:id="40"/>
    <w:bookmarkStart w:id="42" w:name="Xd77fc4f8916bba1c5d2ed7e3ee2be03e921980d"/>
    <w:p>
      <w:pPr>
        <w:pStyle w:val="Heading3"/>
      </w:pPr>
      <w:r>
        <w:t xml:space="preserve">3.2 Cash transfer values by implementing partner</w:t>
      </w:r>
    </w:p>
    <w:p>
      <w:pPr>
        <w:pStyle w:val="FirstParagraph"/>
      </w:pPr>
      <w:r>
        <w:t xml:space="preserve">The plots below show average cash transfer values by activity of the partners who reached the most beneficiaries.</w:t>
      </w:r>
    </w:p>
    <w:p>
      <w:pPr>
        <w:pStyle w:val="BodyText"/>
      </w:pPr>
      <w:r>
        <w:t xml:space="preserve">The x-axis shows the average value per person or per household, depending on the activity and the colour indicates the number of beneficiaries reached.</w:t>
      </w:r>
    </w:p>
    <w:p>
      <w:pPr>
        <w:pStyle w:val="BodyText"/>
      </w:pPr>
    </w:p>
    <w:p>
      <w:pPr>
        <w:pStyle w:val="BodyText"/>
      </w:pPr>
      <w:r>
        <w:drawing>
          <wp:inline>
            <wp:extent cx="5334000" cy="3852333"/>
            <wp:effectExtent b="0" l="0" r="0" t="0"/>
            <wp:docPr descr="" title="" id="1" name="Picture"/>
            <a:graphic>
              <a:graphicData uri="http://schemas.openxmlformats.org/drawingml/2006/picture">
                <pic:pic>
                  <pic:nvPicPr>
                    <pic:cNvPr descr="fsc_q1_2022_southeast_word_files/figure-docx/partner-cash-values-1.png" id="0" name="Picture"/>
                    <pic:cNvPicPr>
                      <a:picLocks noChangeArrowheads="1" noChangeAspect="1"/>
                    </pic:cNvPicPr>
                  </pic:nvPicPr>
                  <pic:blipFill>
                    <a:blip r:embed="rId41"/>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42"/>
    <w:bookmarkStart w:id="45" w:name="cash-transfer-values-per-person"/>
    <w:p>
      <w:pPr>
        <w:pStyle w:val="Heading3"/>
      </w:pPr>
      <w:r>
        <w:t xml:space="preserve">3.3 Cash transfer values per person</w:t>
      </w:r>
    </w:p>
    <w:p>
      <w:pPr>
        <w:pStyle w:val="FirstParagraph"/>
      </w:pPr>
      <w:r>
        <w:t xml:space="preserve">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boxplot-activity-usd-per-person-1.png" id="0" name="Picture"/>
                    <pic:cNvPicPr>
                      <a:picLocks noChangeArrowheads="1" noChangeAspect="1"/>
                    </pic:cNvPicPr>
                  </pic:nvPicPr>
                  <pic:blipFill>
                    <a:blip r:embed="rId4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Additionally, each of the bubbles indicate an individual distribution, with their position along the x-axis showing the USD per person value of the distribution and the size of each bubble indicates the number of beneficiaries reached.</w:t>
      </w:r>
    </w:p>
    <w:p>
      <w:pPr>
        <w:pStyle w:val="BodyText"/>
      </w:pPr>
      <w:r>
        <w:t xml:space="preserve">Despite being the activity which reached the most beneficiaries, crop and vegetable kit distributions and IGA small grants have the tightest ranges of transfer values, though, as will be explored further in the plot below and in the next section, there are substantial outliers.</w:t>
      </w:r>
    </w:p>
    <w:p>
      <w:pPr>
        <w:pStyle w:val="BodyText"/>
      </w:pPr>
      <w:r>
        <w:t xml:space="preserve">In the interactive scatterplot below, the x-axis indicates the number of beneficiaries reached and the y-axis indicates the per person value of each transfer. Each point is a distribution and the size of each point indicates the number of beneficiaries reached. More details about each distribution can be seen by hovering your cursor over each point.</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plotly-transfer-value-scatter-1.png" id="0"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Food distributions and multi-purpose cash transfers had the largest dispersions in the values of their transfers. For food distributions, there are two clusters largely below USD 5/person in Myawaddy in Kayin and Hpruso in Kayah and for multi-purpose cash transfer, above USD 60 per person distributed in Tanintharyi Region.</w:t>
      </w:r>
    </w:p>
    <w:p>
      <w:pPr>
        <w:pStyle w:val="BodyText"/>
      </w:pPr>
      <w:r>
        <w:t xml:space="preserve">As mentioned, food distributions had the vast majority of distributions falling just below USD 10/person. However, it has outlying values that reached very large groups of beneficiaries. This will be explored in the next section.</w:t>
      </w:r>
    </w:p>
    <w:p>
      <w:pPr>
        <w:pStyle w:val="BodyText"/>
      </w:pPr>
    </w:p>
    <w:bookmarkEnd w:id="45"/>
    <w:bookmarkStart w:id="48" w:name="a-closer-look-at-food-distributions"/>
    <w:p>
      <w:pPr>
        <w:pStyle w:val="Heading3"/>
      </w:pPr>
      <w:r>
        <w:t xml:space="preserve">3.4 A closer look at food distributions</w:t>
      </w:r>
    </w:p>
    <w:p>
      <w:pPr>
        <w:pStyle w:val="FirstParagraph"/>
      </w:pPr>
      <w:r>
        <w:t xml:space="preserve">The interactive plot below breaks down the range of USD per person cash transfer values by state. Similar to the plot above, each point is a distribution and more details about each distribution can be seen by hovering your mouse over each point.</w:t>
      </w:r>
    </w:p>
    <w:p>
      <w:pPr>
        <w:pStyle w:val="BodyText"/>
      </w:pPr>
      <w:r>
        <w:t xml:space="preserve">The red line indicates 50% of the monthly expenditure basket (MEB) for food (divided by 5 to get the figure per person). The vast majority of transfers fall below this value.</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plotly-food-dist-range-1.png" id="0" name="Picture"/>
                    <pic:cNvPicPr>
                      <a:picLocks noChangeArrowheads="1" noChangeAspect="1"/>
                    </pic:cNvPicPr>
                  </pic:nvPicPr>
                  <pic:blipFill>
                    <a:blip r:embed="rId4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Kayah notably have several extreme outliers much higher than the average for that state. However, Kayin has a very large number of beneficiaries who received less the USD 1/person. There were no food distributions in Mon state.</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w:t>
      </w:r>
    </w:p>
    <w:p>
      <w:pPr>
        <w:pStyle w:val="BodyText"/>
      </w:pPr>
      <w:r>
        <w:t xml:space="preserve">Overall, 5.89% of food distribution beneficiaries have received at least 100% of the MEB and 17.83% have received at least 50% of the MEB.</w:t>
      </w:r>
    </w:p>
    <w:p>
      <w:pPr>
        <w:pStyle w:val="TableCaption"/>
      </w:pPr>
      <w:r>
        <w:t xml:space="preserve">Monthly cash-based transfer values by percentage of MEB received</w:t>
      </w:r>
      <w:r>
        <w:t xml:space="preserve"> </w:t>
      </w:r>
    </w:p>
    <w:tbl>
      <w:tblPr>
        <w:tblStyle w:val="Table"/>
        <w:tblW w:type="pct" w:w="5000"/>
        <w:tblLook w:firstRow="1" w:lastRow="0" w:firstColumn="0" w:lastColumn="0" w:noHBand="0" w:noVBand="0" w:val="0020"/>
        <w:tblCaption w:val="Monthly cash-based transfer values by percentage of MEB received  "/>
      </w:tblPr>
      <w:tblGrid>
        <w:gridCol w:w="1748"/>
        <w:gridCol w:w="1645"/>
        <w:gridCol w:w="1645"/>
        <w:gridCol w:w="1645"/>
        <w:gridCol w:w="1234"/>
      </w:tblGrid>
      <w:tr>
        <w:trPr>
          <w:tblHeader w:val="true"/>
        </w:trPr>
        <w:tc>
          <w:tcPr/>
          <w:p>
            <w:pPr>
              <w:pStyle w:val="Compact"/>
              <w:jc w:val="center"/>
            </w:pPr>
            <w:r>
              <w:t xml:space="preserve">usd_person_bin</w:t>
            </w:r>
          </w:p>
        </w:tc>
        <w:tc>
          <w:tcPr/>
          <w:p>
            <w:pPr>
              <w:pStyle w:val="Compact"/>
              <w:jc w:val="center"/>
            </w:pPr>
            <w:r>
              <w:t xml:space="preserve">avg_pc_of_meb</w:t>
            </w:r>
          </w:p>
        </w:tc>
        <w:tc>
          <w:tcPr/>
          <w:p>
            <w:pPr>
              <w:pStyle w:val="Compact"/>
              <w:jc w:val="center"/>
            </w:pPr>
            <w:r>
              <w:t xml:space="preserve">avg_usd_month</w:t>
            </w:r>
          </w:p>
        </w:tc>
        <w:tc>
          <w:tcPr/>
          <w:p>
            <w:pPr>
              <w:pStyle w:val="Compact"/>
              <w:jc w:val="center"/>
            </w:pPr>
            <w:r>
              <w:t xml:space="preserve">beneficiaries</w:t>
            </w:r>
          </w:p>
        </w:tc>
        <w:tc>
          <w:tcPr/>
          <w:p>
            <w:pPr>
              <w:pStyle w:val="Compact"/>
              <w:jc w:val="center"/>
            </w:pPr>
            <w:r>
              <w:t xml:space="preserve">pc_of_ben</w:t>
            </w:r>
          </w:p>
        </w:tc>
      </w:tr>
      <w:tr>
        <w:tc>
          <w:tcPr/>
          <w:p>
            <w:pPr>
              <w:pStyle w:val="Compact"/>
              <w:jc w:val="center"/>
            </w:pPr>
            <w:r>
              <w:t xml:space="preserve">&lt;$2</w:t>
            </w:r>
          </w:p>
        </w:tc>
        <w:tc>
          <w:tcPr/>
          <w:p>
            <w:pPr>
              <w:pStyle w:val="Compact"/>
              <w:jc w:val="center"/>
            </w:pPr>
            <w:r>
              <w:t xml:space="preserve">1.65</w:t>
            </w:r>
          </w:p>
        </w:tc>
        <w:tc>
          <w:tcPr/>
          <w:p>
            <w:pPr>
              <w:pStyle w:val="Compact"/>
              <w:jc w:val="center"/>
            </w:pPr>
            <w:r>
              <w:t xml:space="preserve">0.38</w:t>
            </w:r>
          </w:p>
        </w:tc>
        <w:tc>
          <w:tcPr/>
          <w:p>
            <w:pPr>
              <w:pStyle w:val="Compact"/>
              <w:jc w:val="center"/>
            </w:pPr>
            <w:r>
              <w:t xml:space="preserve">20,843</w:t>
            </w:r>
          </w:p>
        </w:tc>
        <w:tc>
          <w:tcPr/>
          <w:p>
            <w:pPr>
              <w:pStyle w:val="Compact"/>
              <w:jc w:val="center"/>
            </w:pPr>
            <w:r>
              <w:t xml:space="preserve">37.36</w:t>
            </w:r>
          </w:p>
        </w:tc>
      </w:tr>
      <w:tr>
        <w:tc>
          <w:tcPr/>
          <w:p>
            <w:pPr>
              <w:pStyle w:val="Compact"/>
              <w:jc w:val="center"/>
            </w:pPr>
            <w:r>
              <w:t xml:space="preserve">&gt;=$2_&lt;$4</w:t>
            </w:r>
          </w:p>
        </w:tc>
        <w:tc>
          <w:tcPr/>
          <w:p>
            <w:pPr>
              <w:pStyle w:val="Compact"/>
              <w:jc w:val="center"/>
            </w:pPr>
            <w:r>
              <w:t xml:space="preserve">10.56</w:t>
            </w:r>
          </w:p>
        </w:tc>
        <w:tc>
          <w:tcPr/>
          <w:p>
            <w:pPr>
              <w:pStyle w:val="Compact"/>
              <w:jc w:val="center"/>
            </w:pPr>
            <w:r>
              <w:t xml:space="preserve">2.42</w:t>
            </w:r>
          </w:p>
        </w:tc>
        <w:tc>
          <w:tcPr/>
          <w:p>
            <w:pPr>
              <w:pStyle w:val="Compact"/>
              <w:jc w:val="center"/>
            </w:pPr>
            <w:r>
              <w:t xml:space="preserve">25,000</w:t>
            </w:r>
          </w:p>
        </w:tc>
        <w:tc>
          <w:tcPr/>
          <w:p>
            <w:pPr>
              <w:pStyle w:val="Compact"/>
              <w:jc w:val="center"/>
            </w:pPr>
            <w:r>
              <w:t xml:space="preserve">44.81</w:t>
            </w:r>
          </w:p>
        </w:tc>
      </w:tr>
      <w:tr>
        <w:tc>
          <w:tcPr/>
          <w:p>
            <w:pPr>
              <w:pStyle w:val="Compact"/>
              <w:jc w:val="center"/>
            </w:pPr>
            <w:r>
              <w:t xml:space="preserve">&gt;=$16_&lt;$18</w:t>
            </w:r>
          </w:p>
        </w:tc>
        <w:tc>
          <w:tcPr/>
          <w:p>
            <w:pPr>
              <w:pStyle w:val="Compact"/>
              <w:jc w:val="center"/>
            </w:pPr>
            <w:r>
              <w:t xml:space="preserve">76.28</w:t>
            </w:r>
          </w:p>
        </w:tc>
        <w:tc>
          <w:tcPr/>
          <w:p>
            <w:pPr>
              <w:pStyle w:val="Compact"/>
              <w:jc w:val="center"/>
            </w:pPr>
            <w:r>
              <w:t xml:space="preserve">17.48</w:t>
            </w:r>
          </w:p>
        </w:tc>
        <w:tc>
          <w:tcPr/>
          <w:p>
            <w:pPr>
              <w:pStyle w:val="Compact"/>
              <w:jc w:val="center"/>
            </w:pPr>
            <w:r>
              <w:t xml:space="preserve">6,665</w:t>
            </w:r>
          </w:p>
        </w:tc>
        <w:tc>
          <w:tcPr/>
          <w:p>
            <w:pPr>
              <w:pStyle w:val="Compact"/>
              <w:jc w:val="center"/>
            </w:pPr>
            <w:r>
              <w:t xml:space="preserve">11.95</w:t>
            </w:r>
          </w:p>
        </w:tc>
      </w:tr>
      <w:tr>
        <w:tc>
          <w:tcPr/>
          <w:p>
            <w:pPr>
              <w:pStyle w:val="Compact"/>
              <w:jc w:val="center"/>
            </w:pPr>
            <w:r>
              <w:t xml:space="preserve">&gt;=$20</w:t>
            </w:r>
          </w:p>
        </w:tc>
        <w:tc>
          <w:tcPr/>
          <w:p>
            <w:pPr>
              <w:pStyle w:val="Compact"/>
              <w:jc w:val="center"/>
            </w:pPr>
            <w:r>
              <w:t xml:space="preserve">139.4</w:t>
            </w:r>
          </w:p>
        </w:tc>
        <w:tc>
          <w:tcPr/>
          <w:p>
            <w:pPr>
              <w:pStyle w:val="Compact"/>
              <w:jc w:val="center"/>
            </w:pPr>
            <w:r>
              <w:t xml:space="preserve">31.95</w:t>
            </w:r>
          </w:p>
        </w:tc>
        <w:tc>
          <w:tcPr/>
          <w:p>
            <w:pPr>
              <w:pStyle w:val="Compact"/>
              <w:jc w:val="center"/>
            </w:pPr>
            <w:r>
              <w:t xml:space="preserve">3,284</w:t>
            </w:r>
          </w:p>
        </w:tc>
        <w:tc>
          <w:tcPr/>
          <w:p>
            <w:pPr>
              <w:pStyle w:val="Compact"/>
              <w:jc w:val="center"/>
            </w:pPr>
            <w:r>
              <w:t xml:space="preserve">5.89</w:t>
            </w:r>
          </w:p>
        </w:tc>
      </w:tr>
    </w:tbl>
    <w:p>
      <w:pPr>
        <w:pStyle w:val="BodyText"/>
      </w:pPr>
      <w:r>
        <w:t xml:space="preserve">However, a very large proportion of the beneficiaries reached were between USD 2 and 4 per person, very low in compare with 50% of the MEB. The 50% threshold is of interest because humanitarian assistance does not aim to cover the full MEB and is intended to meet acute needs.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barplot-2021-2022-1.png" id="0" name="Picture"/>
                    <pic:cNvPicPr>
                      <a:picLocks noChangeArrowheads="1" noChangeAspect="1"/>
                    </pic:cNvPicPr>
                  </pic:nvPicPr>
                  <pic:blipFill>
                    <a:blip r:embed="rId4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With reference to the plot above, the per person USD values in 2022 are more consistent than in 2021, with more than 40% of beneficiary frequencies receiving between USD 2 and 4 per transfer. The average transfer value for food distributions in 2021 was USD 7.36; in 2022/Q1, it was USD 8.59.</w:t>
      </w:r>
    </w:p>
    <w:p>
      <w:pPr>
        <w:pStyle w:val="BodyText"/>
      </w:pPr>
    </w:p>
    <w:bookmarkEnd w:id="48"/>
    <w:bookmarkEnd w:id="49"/>
    <w:bookmarkStart w:id="56" w:name="beneficiaries"/>
    <w:p>
      <w:pPr>
        <w:pStyle w:val="Heading2"/>
      </w:pPr>
      <w:r>
        <w:t xml:space="preserve">4. Beneficiaries</w:t>
      </w:r>
    </w:p>
    <w:bookmarkStart w:id="51" w:name="beneficiary-types"/>
    <w:p>
      <w:pPr>
        <w:pStyle w:val="Heading3"/>
      </w:pPr>
      <w:r>
        <w:t xml:space="preserve">4.1 Beneficiary types</w:t>
      </w:r>
    </w:p>
    <w:p>
      <w:pPr>
        <w:pStyle w:val="FirstParagraph"/>
      </w:pPr>
      <w:r>
        <w:t xml:space="preserve">74.71% of beneficiaries were from the host or local community. 14.58% beneficiaries were IDPs.</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unnamed-chunk-1-1.png" id="0"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1"/>
    <w:bookmarkStart w:id="52" w:name="evidence-of-food-insecurity-status"/>
    <w:p>
      <w:pPr>
        <w:pStyle w:val="Heading3"/>
      </w:pPr>
      <w:r>
        <w:t xml:space="preserve">4.2 Evidence of food insecurity status</w:t>
      </w:r>
    </w:p>
    <w:p>
      <w:pPr>
        <w:pStyle w:val="FirstParagraph"/>
      </w:pPr>
      <w:r>
        <w:t xml:space="preserve">Exploring the food insecurity status is very important to determine whether or not food security interventions are truly reaching those most in need. Most of the beneficiaries reached had evidence of their food insecurity status. 17% of beneficairies didn’t have the evidence.</w:t>
      </w:r>
    </w:p>
    <w:p>
      <w:pPr>
        <w:pStyle w:val="TableCaption"/>
      </w:pPr>
      <w:r>
        <w:t xml:space="preserve">Food insecurity status and evidence provided in 2022/Q1</w:t>
      </w:r>
    </w:p>
    <w:tbl>
      <w:tblPr>
        <w:tblStyle w:val="Table"/>
        <w:tblW w:type="pct" w:w="4167"/>
        <w:tblLook w:firstRow="1" w:lastRow="0" w:firstColumn="0" w:lastColumn="0" w:noHBand="0" w:noVBand="0" w:val="0020"/>
        <w:tblCaption w:val="Food insecurity status and evidence provided in 2022/Q1"/>
      </w:tblPr>
      <w:tblGrid>
        <w:gridCol w:w="2970"/>
        <w:gridCol w:w="1760"/>
        <w:gridCol w:w="1870"/>
      </w:tblGrid>
      <w:tr>
        <w:trPr>
          <w:tblHeader w:val="true"/>
        </w:trPr>
        <w:tc>
          <w:tcPr/>
          <w:p>
            <w:pPr>
              <w:pStyle w:val="Compact"/>
              <w:jc w:val="center"/>
            </w:pPr>
            <w:r>
              <w:t xml:space="preserve">food_insecurity_status</w:t>
            </w:r>
          </w:p>
        </w:tc>
        <w:tc>
          <w:tcPr/>
          <w:p>
            <w:pPr>
              <w:pStyle w:val="Compact"/>
              <w:jc w:val="center"/>
            </w:pPr>
            <w:r>
              <w:t xml:space="preserve">beneficiaries</w:t>
            </w:r>
          </w:p>
        </w:tc>
        <w:tc>
          <w:tcPr/>
          <w:p>
            <w:pPr>
              <w:pStyle w:val="Compact"/>
              <w:jc w:val="center"/>
            </w:pPr>
            <w:r>
              <w:t xml:space="preserve">%_benficiaries</w:t>
            </w:r>
          </w:p>
        </w:tc>
      </w:tr>
      <w:tr>
        <w:tc>
          <w:tcPr/>
          <w:p>
            <w:pPr>
              <w:pStyle w:val="Compact"/>
              <w:jc w:val="center"/>
            </w:pPr>
            <w:r>
              <w:t xml:space="preserve">Moderately food insecure</w:t>
            </w:r>
          </w:p>
        </w:tc>
        <w:tc>
          <w:tcPr/>
          <w:p>
            <w:pPr>
              <w:pStyle w:val="Compact"/>
              <w:jc w:val="center"/>
            </w:pPr>
            <w:r>
              <w:t xml:space="preserve">19,705</w:t>
            </w:r>
          </w:p>
        </w:tc>
        <w:tc>
          <w:tcPr/>
          <w:p>
            <w:pPr>
              <w:pStyle w:val="Compact"/>
              <w:jc w:val="center"/>
            </w:pPr>
            <w:r>
              <w:t xml:space="preserve">15.25</w:t>
            </w:r>
          </w:p>
        </w:tc>
      </w:tr>
      <w:tr>
        <w:tc>
          <w:tcPr/>
          <w:p>
            <w:pPr>
              <w:pStyle w:val="Compact"/>
              <w:jc w:val="center"/>
            </w:pPr>
            <w:r>
              <w:t xml:space="preserve">Severely food insecure</w:t>
            </w:r>
          </w:p>
        </w:tc>
        <w:tc>
          <w:tcPr/>
          <w:p>
            <w:pPr>
              <w:pStyle w:val="Compact"/>
              <w:jc w:val="center"/>
            </w:pPr>
            <w:r>
              <w:t xml:space="preserve">87,590</w:t>
            </w:r>
          </w:p>
        </w:tc>
        <w:tc>
          <w:tcPr/>
          <w:p>
            <w:pPr>
              <w:pStyle w:val="Compact"/>
              <w:jc w:val="center"/>
            </w:pPr>
            <w:r>
              <w:t xml:space="preserve">67.78</w:t>
            </w:r>
          </w:p>
        </w:tc>
      </w:tr>
      <w:tr>
        <w:tc>
          <w:tcPr/>
          <w:p>
            <w:pPr>
              <w:pStyle w:val="Compact"/>
              <w:jc w:val="center"/>
            </w:pPr>
            <w:r>
              <w:t xml:space="preserve">No status provided</w:t>
            </w:r>
          </w:p>
        </w:tc>
        <w:tc>
          <w:tcPr/>
          <w:p>
            <w:pPr>
              <w:pStyle w:val="Compact"/>
              <w:jc w:val="center"/>
            </w:pPr>
            <w:r>
              <w:t xml:space="preserve">21,940</w:t>
            </w:r>
          </w:p>
        </w:tc>
        <w:tc>
          <w:tcPr/>
          <w:p>
            <w:pPr>
              <w:pStyle w:val="Compact"/>
              <w:jc w:val="center"/>
            </w:pPr>
            <w:r>
              <w:t xml:space="preserve">16.98</w:t>
            </w:r>
          </w:p>
        </w:tc>
      </w:tr>
    </w:tbl>
    <w:p>
      <w:pPr>
        <w:pStyle w:val="BodyText"/>
      </w:pPr>
    </w:p>
    <w:p>
      <w:pPr>
        <w:pStyle w:val="BodyText"/>
      </w:pPr>
      <w:r>
        <w:t xml:space="preserve">As evidence of food insecurity was provided by for the vast majority of beneficiaries reached, much of the evidence that was provided were reasonable justifications for targeting beneficiaries. Only one good reason with armed conflict included while 32.22% didn’t have any reason.</w:t>
      </w:r>
    </w:p>
    <w:p>
      <w:pPr>
        <w:pStyle w:val="TableCaption"/>
      </w:pPr>
      <w:r>
        <w:t xml:space="preserve">Breakdown of evidence of food insecurity status in 2022/Q1</w:t>
      </w:r>
      <w:r>
        <w:t xml:space="preserve"> </w:t>
      </w:r>
    </w:p>
    <w:tbl>
      <w:tblPr>
        <w:tblStyle w:val="Table"/>
        <w:tblW w:type="pct" w:w="3542"/>
        <w:tblLook w:firstRow="1" w:lastRow="0" w:firstColumn="0" w:lastColumn="0" w:noHBand="0" w:noVBand="0" w:val="0020"/>
        <w:tblCaption w:val="Breakdown of evidence of food insecurity status in 2022/Q1  "/>
      </w:tblPr>
      <w:tblGrid>
        <w:gridCol w:w="1870"/>
        <w:gridCol w:w="1760"/>
        <w:gridCol w:w="1980"/>
      </w:tblGrid>
      <w:tr>
        <w:trPr>
          <w:tblHeader w:val="true"/>
        </w:trPr>
        <w:tc>
          <w:tcPr/>
          <w:p>
            <w:pPr>
              <w:pStyle w:val="Compact"/>
              <w:jc w:val="center"/>
            </w:pPr>
            <w:r>
              <w:t xml:space="preserve">evidence</w:t>
            </w:r>
          </w:p>
        </w:tc>
        <w:tc>
          <w:tcPr/>
          <w:p>
            <w:pPr>
              <w:pStyle w:val="Compact"/>
              <w:jc w:val="center"/>
            </w:pPr>
            <w:r>
              <w:t xml:space="preserve">beneficiaries</w:t>
            </w:r>
          </w:p>
        </w:tc>
        <w:tc>
          <w:tcPr/>
          <w:p>
            <w:pPr>
              <w:pStyle w:val="Compact"/>
              <w:jc w:val="center"/>
            </w:pPr>
            <w:r>
              <w:t xml:space="preserve">%_beneficiaries</w:t>
            </w:r>
          </w:p>
        </w:tc>
      </w:tr>
      <w:tr>
        <w:tc>
          <w:tcPr/>
          <w:p>
            <w:pPr>
              <w:pStyle w:val="Compact"/>
              <w:jc w:val="center"/>
            </w:pPr>
            <w:r>
              <w:t xml:space="preserve">Armed conflict</w:t>
            </w:r>
          </w:p>
        </w:tc>
        <w:tc>
          <w:tcPr/>
          <w:p>
            <w:pPr>
              <w:pStyle w:val="Compact"/>
              <w:jc w:val="center"/>
            </w:pPr>
            <w:r>
              <w:t xml:space="preserve">87,590</w:t>
            </w:r>
          </w:p>
        </w:tc>
        <w:tc>
          <w:tcPr/>
          <w:p>
            <w:pPr>
              <w:pStyle w:val="Compact"/>
              <w:jc w:val="center"/>
            </w:pPr>
            <w:r>
              <w:t xml:space="preserve">67.78</w:t>
            </w:r>
          </w:p>
        </w:tc>
      </w:tr>
      <w:tr>
        <w:tc>
          <w:tcPr/>
          <w:p>
            <w:pPr>
              <w:pStyle w:val="Compact"/>
              <w:jc w:val="center"/>
            </w:pPr>
            <w:r>
              <w:t xml:space="preserve">No evidence</w:t>
            </w:r>
          </w:p>
        </w:tc>
        <w:tc>
          <w:tcPr/>
          <w:p>
            <w:pPr>
              <w:pStyle w:val="Compact"/>
              <w:jc w:val="center"/>
            </w:pPr>
            <w:r>
              <w:t xml:space="preserve">41,645</w:t>
            </w:r>
          </w:p>
        </w:tc>
        <w:tc>
          <w:tcPr/>
          <w:p>
            <w:pPr>
              <w:pStyle w:val="Compact"/>
              <w:jc w:val="center"/>
            </w:pPr>
            <w:r>
              <w:t xml:space="preserve">32.22</w:t>
            </w:r>
          </w:p>
        </w:tc>
      </w:tr>
    </w:tbl>
    <w:p>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the response through the development of a common prioritisation tool for food security partners.</w:t>
      </w:r>
    </w:p>
    <w:p>
      <w:pPr>
        <w:pStyle w:val="BodyText"/>
      </w:pPr>
    </w:p>
    <w:bookmarkEnd w:id="52"/>
    <w:bookmarkStart w:id="55" w:name="beneficiary-disaggregation"/>
    <w:p>
      <w:pPr>
        <w:pStyle w:val="Heading3"/>
      </w:pPr>
      <w:r>
        <w:t xml:space="preserve">4.3 Beneficiary disaggregation</w:t>
      </w:r>
    </w:p>
    <w:p>
      <w:pPr>
        <w:pStyle w:val="FirstParagraph"/>
      </w:pPr>
      <w:r>
        <w:t xml:space="preserve">Due to the problems in reporting disaggregated beneficiary data, two tests have been applied to the submitted 5W data. The first involves a comparison to the proportions of disaggregation groups in the census to determine if values have been backfilled from the census.</w:t>
      </w:r>
    </w:p>
    <w:p>
      <w:pPr>
        <w:pStyle w:val="BodyText"/>
      </w:pPr>
      <w:r>
        <w:t xml:space="preserve">The plots below show the breakdowns between the</w:t>
      </w:r>
      <w:r>
        <w:t xml:space="preserve"> </w:t>
      </w:r>
      <w:r>
        <w:t xml:space="preserve">“</w:t>
      </w:r>
      <w:r>
        <w:t xml:space="preserve">real</w:t>
      </w:r>
      <w:r>
        <w:t xml:space="preserve">”</w:t>
      </w:r>
      <w:r>
        <w:t xml:space="preserve"> </w:t>
      </w:r>
      <w:r>
        <w:t xml:space="preserve">values and those that have been backfilled from the census. Approximately 59% of beneficiaries reported had values that were not backfilled from the census; this is an improvement from 2021, where only 44% of beneficiaries had</w:t>
      </w:r>
      <w:r>
        <w:t xml:space="preserve"> </w:t>
      </w:r>
      <w:r>
        <w:t xml:space="preserve">“</w:t>
      </w:r>
      <w:r>
        <w:t xml:space="preserve">real</w:t>
      </w:r>
      <w:r>
        <w:t xml:space="preserve">”</w:t>
      </w:r>
      <w:r>
        <w:t xml:space="preserve"> </w:t>
      </w:r>
      <w:r>
        <w:t xml:space="preserve">disaggregations.</w:t>
      </w:r>
    </w:p>
    <w:p>
      <w:pPr>
        <w:pStyle w:val="BodyText"/>
      </w:pPr>
      <w:r>
        <w:t xml:space="preserve">In the</w:t>
      </w:r>
      <w:r>
        <w:t xml:space="preserve"> </w:t>
      </w:r>
      <w:r>
        <w:t xml:space="preserve">“</w:t>
      </w:r>
      <w:r>
        <w:t xml:space="preserve">real</w:t>
      </w:r>
      <w:r>
        <w:t xml:space="preserve">”</w:t>
      </w:r>
      <w:r>
        <w:t xml:space="preserve"> </w:t>
      </w:r>
      <w:r>
        <w:t xml:space="preserve">values, it can be seen that the proportion of adult females reached is much higher than adult males – this is in line with the Cluster’s understanding of several activities that specifically target women. The percentages of elderly persons actually reached is also much lower than what has been reported.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unnamed-chunk-5-1.png" id="0" name="Picture"/>
                    <pic:cNvPicPr>
                      <a:picLocks noChangeArrowheads="1" noChangeAspect="1"/>
                    </pic:cNvPicPr>
                  </pic:nvPicPr>
                  <pic:blipFill>
                    <a:blip r:embed="rId5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second test applied is if the disaggregated numbers of beneficiaries reached have been copied and pasted.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pPr>
        <w:pStyle w:val="BodyText"/>
      </w:pPr>
      <w:r>
        <w:t xml:space="preserve">It is extremely unlikely that these percentages would be similar across activities as implementing partners worked in an average of 32.39 locations.</w:t>
      </w:r>
    </w:p>
    <w:p>
      <w:pPr>
        <w:pStyle w:val="BodyText"/>
      </w:pPr>
      <w:r>
        <w:t xml:space="preserve">In the plot below, the closer a value is to 0% on the x-axis, the more likely it is that it was copied and pasted. It is estimated that 89% of beneficiary disaggregation values were copied and pasted.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unnamed-chunk-6-1.png" id="0" name="Picture"/>
                    <pic:cNvPicPr>
                      <a:picLocks noChangeArrowheads="1" noChangeAspect="1"/>
                    </pic:cNvPicPr>
                  </pic:nvPicPr>
                  <pic:blipFill>
                    <a:blip r:embed="rId5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5"/>
    <w:bookmarkEnd w:id="56"/>
    <w:bookmarkStart w:id="62" w:name="partners"/>
    <w:p>
      <w:pPr>
        <w:pStyle w:val="Heading2"/>
      </w:pPr>
      <w:r>
        <w:t xml:space="preserve">5. Partners</w:t>
      </w:r>
    </w:p>
    <w:bookmarkStart w:id="58" w:name="reach-by-implementing-partner"/>
    <w:p>
      <w:pPr>
        <w:pStyle w:val="Heading3"/>
      </w:pPr>
      <w:r>
        <w:t xml:space="preserve">5.1 Reach by implementing partner</w:t>
      </w:r>
    </w:p>
    <w:p>
      <w:pPr>
        <w:pStyle w:val="FirstParagraph"/>
      </w:pPr>
      <w:r>
        <w:t xml:space="preserve">There are 5 partners that were involved in direct implementation that have reported achievements in first quarter of 2022. These implementing partners corresponded to a total of 5 reporting organisations. The largest reporting organisation, org_9566, had reached vast majority of beneficiaries in 10 townships in 4 states.</w:t>
      </w:r>
    </w:p>
    <w:p>
      <w:pPr>
        <w:pStyle w:val="BodyText"/>
      </w:pPr>
      <w:r>
        <w:t xml:space="preserve">The interactive plot below shows the number of beneficiaries and townships reached by implementing partner.</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plotly-partner-scatter-1.png" id="0" name="Picture"/>
                    <pic:cNvPicPr>
                      <a:picLocks noChangeArrowheads="1" noChangeAspect="1"/>
                    </pic:cNvPicPr>
                  </pic:nvPicPr>
                  <pic:blipFill>
                    <a:blip r:embed="rId5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In 2021, it was noted that whilst there was much variation in the numbers of beneficiaries reached by each implementing partner, their geographic footprints were quite limited. This pattern has continued into 2022/Q1. Only 6 partners (17% of the total) have a presence in more than 5 townships. The distribution of partners remains an impediment to the implementation of a countrywide response. And the following steps mentioned in the 2021 report are still very necessary:</w:t>
      </w:r>
    </w:p>
    <w:p>
      <w:pPr>
        <w:numPr>
          <w:ilvl w:val="0"/>
          <w:numId w:val="1002"/>
        </w:numPr>
      </w:pPr>
      <w:r>
        <w:t xml:space="preserve">Incentivise partners to expand their footprints</w:t>
      </w:r>
    </w:p>
    <w:p>
      <w:pPr>
        <w:numPr>
          <w:ilvl w:val="0"/>
          <w:numId w:val="1002"/>
        </w:numPr>
      </w:pPr>
      <w:r>
        <w:t xml:space="preserve">Identify new partners to reach vulnerable persons in areas recently affected by conflict</w:t>
      </w:r>
    </w:p>
    <w:p>
      <w:pPr>
        <w:numPr>
          <w:ilvl w:val="0"/>
          <w:numId w:val="1002"/>
        </w:numPr>
      </w:pPr>
      <w:r>
        <w:t xml:space="preserve">Encourage donors to support expansion of Food Security activities in areas recently affected by conflict (with sufficient support costs)</w:t>
      </w:r>
    </w:p>
    <w:p>
      <w:pPr>
        <w:pStyle w:val="FirstParagraph"/>
      </w:pPr>
    </w:p>
    <w:bookmarkEnd w:id="58"/>
    <w:bookmarkStart w:id="60" w:name="monthly-progress-by-partner"/>
    <w:p>
      <w:pPr>
        <w:pStyle w:val="Heading3"/>
      </w:pPr>
      <w:r>
        <w:t xml:space="preserve">5.2 Monthly progress by partner</w:t>
      </w:r>
    </w:p>
    <w:p>
      <w:pPr>
        <w:pStyle w:val="FirstParagraph"/>
      </w:pPr>
      <w:r>
        <w:drawing>
          <wp:inline>
            <wp:extent cx="5334000" cy="2370666"/>
            <wp:effectExtent b="0" l="0" r="0" t="0"/>
            <wp:docPr descr="" title="" id="1" name="Picture"/>
            <a:graphic>
              <a:graphicData uri="http://schemas.openxmlformats.org/drawingml/2006/picture">
                <pic:pic>
                  <pic:nvPicPr>
                    <pic:cNvPr descr="fsc_q1_2022_southeast_word_files/figure-docx/partner-progress-facet-line-1.png" id="0" name="Picture"/>
                    <pic:cNvPicPr>
                      <a:picLocks noChangeArrowheads="1" noChangeAspect="1"/>
                    </pic:cNvPicPr>
                  </pic:nvPicPr>
                  <pic:blipFill>
                    <a:blip r:embed="rId5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Overall, 13 implementing partners increased the number of beneficiaries reached over their 2021 totals by more than 50%; 29 partners who reported in 2021 also reported in 2022/Q1. 7 new implementing partners reported in 2022. And 28 partners who reported in 2021 but have not yet any achievements in 2022.</w:t>
      </w:r>
    </w:p>
    <w:p>
      <w:pPr>
        <w:pStyle w:val="BodyText"/>
      </w:pPr>
      <w:r>
        <w:rPr>
          <w:rStyle w:val="VerbatimChar"/>
        </w:rPr>
        <w:t xml:space="preserve">summarise()</w:t>
      </w:r>
      <w:r>
        <w:t xml:space="preserve"> </w:t>
      </w:r>
      <w:r>
        <w:t xml:space="preserve">has grouped output by</w:t>
      </w:r>
      <w:r>
        <w:t xml:space="preserve"> </w:t>
      </w:r>
      <w:r>
        <w:t xml:space="preserve">‘</w:t>
      </w:r>
      <w:r>
        <w:t xml:space="preserve">org_code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Top implementing partners by beneficiaries reached in 2022/Q1</w:t>
      </w:r>
    </w:p>
    <w:tbl>
      <w:tblPr>
        <w:tblStyle w:val="Table"/>
        <w:tblW w:type="pct" w:w="4792"/>
        <w:tblLook w:firstRow="1" w:lastRow="0" w:firstColumn="0" w:lastColumn="0" w:noHBand="0" w:noVBand="0" w:val="0020"/>
        <w:tblCaption w:val="Top implementing partners by beneficiaries reached in 2022/Q1"/>
      </w:tblPr>
      <w:tblGrid>
        <w:gridCol w:w="1210"/>
        <w:gridCol w:w="1210"/>
        <w:gridCol w:w="1320"/>
        <w:gridCol w:w="1210"/>
        <w:gridCol w:w="1320"/>
        <w:gridCol w:w="1320"/>
      </w:tblGrid>
      <w:tr>
        <w:trPr>
          <w:tblHeader w:val="true"/>
        </w:trPr>
        <w:tc>
          <w:tcPr/>
          <w:p>
            <w:pPr>
              <w:pStyle w:val="Compact"/>
              <w:jc w:val="center"/>
            </w:pPr>
            <w:r>
              <w:t xml:space="preserve">org_code</w:t>
            </w:r>
          </w:p>
        </w:tc>
        <w:tc>
          <w:tcPr/>
          <w:p>
            <w:pPr>
              <w:pStyle w:val="Compact"/>
              <w:jc w:val="center"/>
            </w:pPr>
            <w:r>
              <w:t xml:space="preserve">ben_2021</w:t>
            </w:r>
          </w:p>
        </w:tc>
        <w:tc>
          <w:tcPr/>
          <w:p>
            <w:pPr>
              <w:pStyle w:val="Compact"/>
              <w:jc w:val="center"/>
            </w:pPr>
            <w:r>
              <w:t xml:space="preserve">rank_2021</w:t>
            </w:r>
          </w:p>
        </w:tc>
        <w:tc>
          <w:tcPr/>
          <w:p>
            <w:pPr>
              <w:pStyle w:val="Compact"/>
              <w:jc w:val="center"/>
            </w:pPr>
            <w:r>
              <w:t xml:space="preserve">ben_2022</w:t>
            </w:r>
          </w:p>
        </w:tc>
        <w:tc>
          <w:tcPr/>
          <w:p>
            <w:pPr>
              <w:pStyle w:val="Compact"/>
              <w:jc w:val="center"/>
            </w:pPr>
            <w:r>
              <w:t xml:space="preserve">rank_2022</w:t>
            </w:r>
          </w:p>
        </w:tc>
        <w:tc>
          <w:tcPr/>
          <w:p>
            <w:pPr>
              <w:pStyle w:val="Compact"/>
              <w:jc w:val="center"/>
            </w:pPr>
            <w:r>
              <w:t xml:space="preserve">total_ben</w:t>
            </w:r>
          </w:p>
        </w:tc>
      </w:tr>
      <w:tr>
        <w:tc>
          <w:tcPr/>
          <w:p>
            <w:pPr>
              <w:pStyle w:val="Compact"/>
              <w:jc w:val="center"/>
            </w:pPr>
            <w:r>
              <w:t xml:space="preserve">org_9566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85,590</w:t>
            </w:r>
          </w:p>
        </w:tc>
        <w:tc>
          <w:tcPr/>
          <w:p>
            <w:pPr>
              <w:pStyle w:val="Compact"/>
              <w:jc w:val="center"/>
            </w:pPr>
            <w:r>
              <w:t xml:space="preserve">1</w:t>
            </w:r>
          </w:p>
        </w:tc>
        <w:tc>
          <w:tcPr/>
          <w:p>
            <w:pPr>
              <w:pStyle w:val="Compact"/>
              <w:jc w:val="center"/>
            </w:pPr>
            <w:r>
              <w:t xml:space="preserve">85,590</w:t>
            </w:r>
          </w:p>
        </w:tc>
      </w:tr>
      <w:tr>
        <w:tc>
          <w:tcPr/>
          <w:p>
            <w:pPr>
              <w:pStyle w:val="Compact"/>
              <w:jc w:val="center"/>
            </w:pPr>
            <w:r>
              <w:t xml:space="preserve">org_7002</w:t>
            </w:r>
          </w:p>
        </w:tc>
        <w:tc>
          <w:tcPr/>
          <w:p>
            <w:pPr>
              <w:pStyle w:val="Compact"/>
              <w:jc w:val="center"/>
            </w:pPr>
            <w:r>
              <w:t xml:space="preserve">25,954</w:t>
            </w:r>
          </w:p>
        </w:tc>
        <w:tc>
          <w:tcPr/>
          <w:p>
            <w:pPr>
              <w:pStyle w:val="Compact"/>
              <w:jc w:val="center"/>
            </w:pPr>
            <w:r>
              <w:t xml:space="preserve">21</w:t>
            </w:r>
          </w:p>
        </w:tc>
        <w:tc>
          <w:tcPr/>
          <w:p>
            <w:pPr>
              <w:pStyle w:val="Compact"/>
              <w:jc w:val="center"/>
            </w:pPr>
            <w:r>
              <w:t xml:space="preserve">18,021</w:t>
            </w:r>
          </w:p>
        </w:tc>
        <w:tc>
          <w:tcPr/>
          <w:p>
            <w:pPr>
              <w:pStyle w:val="Compact"/>
              <w:jc w:val="center"/>
            </w:pPr>
            <w:r>
              <w:t xml:space="preserve">2</w:t>
            </w:r>
          </w:p>
        </w:tc>
        <w:tc>
          <w:tcPr/>
          <w:p>
            <w:pPr>
              <w:pStyle w:val="Compact"/>
              <w:jc w:val="center"/>
            </w:pPr>
            <w:r>
              <w:t xml:space="preserve">43,975</w:t>
            </w:r>
          </w:p>
        </w:tc>
      </w:tr>
      <w:tr>
        <w:tc>
          <w:tcPr/>
          <w:p>
            <w:pPr>
              <w:pStyle w:val="Compact"/>
              <w:jc w:val="center"/>
            </w:pPr>
            <w:r>
              <w:t xml:space="preserve">org_6130</w:t>
            </w:r>
          </w:p>
        </w:tc>
        <w:tc>
          <w:tcPr/>
          <w:p>
            <w:pPr>
              <w:pStyle w:val="Compact"/>
              <w:jc w:val="center"/>
            </w:pPr>
            <w:r>
              <w:t xml:space="preserve">71,467</w:t>
            </w:r>
          </w:p>
        </w:tc>
        <w:tc>
          <w:tcPr/>
          <w:p>
            <w:pPr>
              <w:pStyle w:val="Compact"/>
              <w:jc w:val="center"/>
            </w:pPr>
            <w:r>
              <w:t xml:space="preserve">11</w:t>
            </w:r>
          </w:p>
        </w:tc>
        <w:tc>
          <w:tcPr/>
          <w:p>
            <w:pPr>
              <w:pStyle w:val="Compact"/>
              <w:jc w:val="center"/>
            </w:pPr>
            <w:r>
              <w:t xml:space="preserve">12,396</w:t>
            </w:r>
          </w:p>
        </w:tc>
        <w:tc>
          <w:tcPr/>
          <w:p>
            <w:pPr>
              <w:pStyle w:val="Compact"/>
              <w:jc w:val="center"/>
            </w:pPr>
            <w:r>
              <w:t xml:space="preserve">3</w:t>
            </w:r>
          </w:p>
        </w:tc>
        <w:tc>
          <w:tcPr/>
          <w:p>
            <w:pPr>
              <w:pStyle w:val="Compact"/>
              <w:jc w:val="center"/>
            </w:pPr>
            <w:r>
              <w:t xml:space="preserve">83,863</w:t>
            </w:r>
          </w:p>
        </w:tc>
      </w:tr>
      <w:tr>
        <w:tc>
          <w:tcPr/>
          <w:p>
            <w:pPr>
              <w:pStyle w:val="Compact"/>
              <w:jc w:val="center"/>
            </w:pPr>
            <w:r>
              <w:t xml:space="preserve">org_2690</w:t>
            </w:r>
          </w:p>
        </w:tc>
        <w:tc>
          <w:tcPr/>
          <w:p>
            <w:pPr>
              <w:pStyle w:val="Compact"/>
              <w:jc w:val="center"/>
            </w:pPr>
            <w:r>
              <w:t xml:space="preserve">103,611</w:t>
            </w:r>
          </w:p>
        </w:tc>
        <w:tc>
          <w:tcPr/>
          <w:p>
            <w:pPr>
              <w:pStyle w:val="Compact"/>
              <w:jc w:val="center"/>
            </w:pPr>
            <w:r>
              <w:t xml:space="preserve">8</w:t>
            </w:r>
          </w:p>
        </w:tc>
        <w:tc>
          <w:tcPr/>
          <w:p>
            <w:pPr>
              <w:pStyle w:val="Compact"/>
              <w:jc w:val="center"/>
            </w:pPr>
            <w:r>
              <w:t xml:space="preserve">3,590</w:t>
            </w:r>
          </w:p>
        </w:tc>
        <w:tc>
          <w:tcPr/>
          <w:p>
            <w:pPr>
              <w:pStyle w:val="Compact"/>
              <w:jc w:val="center"/>
            </w:pPr>
            <w:r>
              <w:t xml:space="preserve">4</w:t>
            </w:r>
          </w:p>
        </w:tc>
        <w:tc>
          <w:tcPr/>
          <w:p>
            <w:pPr>
              <w:pStyle w:val="Compact"/>
              <w:jc w:val="center"/>
            </w:pPr>
            <w:r>
              <w:t xml:space="preserve">107,201</w:t>
            </w:r>
          </w:p>
        </w:tc>
      </w:tr>
      <w:tr>
        <w:tc>
          <w:tcPr/>
          <w:p>
            <w:pPr>
              <w:pStyle w:val="Compact"/>
              <w:jc w:val="center"/>
            </w:pPr>
            <w:r>
              <w:t xml:space="preserve">org_7970</w:t>
            </w:r>
          </w:p>
        </w:tc>
        <w:tc>
          <w:tcPr/>
          <w:p>
            <w:pPr>
              <w:pStyle w:val="Compact"/>
              <w:jc w:val="center"/>
            </w:pPr>
            <w:r>
              <w:t xml:space="preserve">2,580</w:t>
            </w:r>
          </w:p>
        </w:tc>
        <w:tc>
          <w:tcPr/>
          <w:p>
            <w:pPr>
              <w:pStyle w:val="Compact"/>
              <w:jc w:val="center"/>
            </w:pPr>
            <w:r>
              <w:t xml:space="preserve">40</w:t>
            </w:r>
          </w:p>
        </w:tc>
        <w:tc>
          <w:tcPr/>
          <w:p>
            <w:pPr>
              <w:pStyle w:val="Compact"/>
              <w:jc w:val="center"/>
            </w:pPr>
            <w:r>
              <w:t xml:space="preserve">203</w:t>
            </w:r>
          </w:p>
        </w:tc>
        <w:tc>
          <w:tcPr/>
          <w:p>
            <w:pPr>
              <w:pStyle w:val="Compact"/>
              <w:jc w:val="center"/>
            </w:pPr>
            <w:r>
              <w:t xml:space="preserve">5</w:t>
            </w:r>
          </w:p>
        </w:tc>
        <w:tc>
          <w:tcPr/>
          <w:p>
            <w:pPr>
              <w:pStyle w:val="Compact"/>
              <w:jc w:val="center"/>
            </w:pPr>
            <w:r>
              <w:t xml:space="preserve">2,783</w:t>
            </w:r>
          </w:p>
        </w:tc>
      </w:tr>
      <w:tr>
        <w:tc>
          <w:tcPr/>
          <w:p>
            <w:pPr>
              <w:pStyle w:val="Compact"/>
              <w:jc w:val="center"/>
            </w:pPr>
            <w:r>
              <w:t xml:space="preserve">org_1206</w:t>
            </w:r>
          </w:p>
        </w:tc>
        <w:tc>
          <w:tcPr/>
          <w:p>
            <w:pPr>
              <w:pStyle w:val="Compact"/>
              <w:jc w:val="center"/>
            </w:pPr>
            <w:r>
              <w:t xml:space="preserve">33,442</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33,442</w:t>
            </w:r>
          </w:p>
        </w:tc>
      </w:tr>
      <w:tr>
        <w:tc>
          <w:tcPr/>
          <w:p>
            <w:pPr>
              <w:pStyle w:val="Compact"/>
              <w:jc w:val="center"/>
            </w:pPr>
            <w:r>
              <w:t xml:space="preserve">org_1233</w:t>
            </w:r>
          </w:p>
        </w:tc>
        <w:tc>
          <w:tcPr/>
          <w:p>
            <w:pPr>
              <w:pStyle w:val="Compact"/>
              <w:jc w:val="center"/>
            </w:pPr>
            <w:r>
              <w:t xml:space="preserve">5,162</w:t>
            </w:r>
          </w:p>
        </w:tc>
        <w:tc>
          <w:tcPr/>
          <w:p>
            <w:pPr>
              <w:pStyle w:val="Compact"/>
              <w:jc w:val="center"/>
            </w:pPr>
            <w:r>
              <w:t xml:space="preserve">30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5,162</w:t>
            </w:r>
          </w:p>
        </w:tc>
      </w:tr>
      <w:tr>
        <w:tc>
          <w:tcPr/>
          <w:p>
            <w:pPr>
              <w:pStyle w:val="Compact"/>
              <w:jc w:val="center"/>
            </w:pPr>
            <w:r>
              <w:t xml:space="preserve">org_1538</w:t>
            </w:r>
          </w:p>
        </w:tc>
        <w:tc>
          <w:tcPr/>
          <w:p>
            <w:pPr>
              <w:pStyle w:val="Compact"/>
              <w:jc w:val="center"/>
            </w:pPr>
            <w:r>
              <w:t xml:space="preserve">4,208</w:t>
            </w:r>
          </w:p>
        </w:tc>
        <w:tc>
          <w:tcPr/>
          <w:p>
            <w:pPr>
              <w:pStyle w:val="Compact"/>
              <w:jc w:val="center"/>
            </w:pPr>
            <w:r>
              <w:t xml:space="preserve">32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4,208</w:t>
            </w:r>
          </w:p>
        </w:tc>
      </w:tr>
      <w:tr>
        <w:tc>
          <w:tcPr/>
          <w:p>
            <w:pPr>
              <w:pStyle w:val="Compact"/>
              <w:jc w:val="center"/>
            </w:pPr>
            <w:r>
              <w:t xml:space="preserve">org_2157</w:t>
            </w:r>
          </w:p>
        </w:tc>
        <w:tc>
          <w:tcPr/>
          <w:p>
            <w:pPr>
              <w:pStyle w:val="Compact"/>
              <w:jc w:val="center"/>
            </w:pPr>
            <w:r>
              <w:t xml:space="preserve">2,612</w:t>
            </w:r>
          </w:p>
        </w:tc>
        <w:tc>
          <w:tcPr/>
          <w:p>
            <w:pPr>
              <w:pStyle w:val="Compact"/>
              <w:jc w:val="center"/>
            </w:pPr>
            <w:r>
              <w:t xml:space="preserve">38</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2,612</w:t>
            </w:r>
          </w:p>
        </w:tc>
      </w:tr>
      <w:tr>
        <w:tc>
          <w:tcPr/>
          <w:p>
            <w:pPr>
              <w:pStyle w:val="Compact"/>
              <w:jc w:val="center"/>
            </w:pPr>
            <w:r>
              <w:t xml:space="preserve">org_2254</w:t>
            </w:r>
          </w:p>
        </w:tc>
        <w:tc>
          <w:tcPr/>
          <w:p>
            <w:pPr>
              <w:pStyle w:val="Compact"/>
              <w:jc w:val="center"/>
            </w:pPr>
            <w:r>
              <w:t xml:space="preserve">41,231</w:t>
            </w:r>
          </w:p>
        </w:tc>
        <w:tc>
          <w:tcPr/>
          <w:p>
            <w:pPr>
              <w:pStyle w:val="Compact"/>
              <w:jc w:val="center"/>
            </w:pPr>
            <w:r>
              <w:t xml:space="preserve">16</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41,231</w:t>
            </w:r>
          </w:p>
        </w:tc>
      </w:tr>
      <w:tr>
        <w:tc>
          <w:tcPr/>
          <w:p>
            <w:pPr>
              <w:pStyle w:val="Compact"/>
              <w:jc w:val="center"/>
            </w:pPr>
            <w:r>
              <w:t xml:space="preserve">org_2441</w:t>
            </w:r>
          </w:p>
        </w:tc>
        <w:tc>
          <w:tcPr/>
          <w:p>
            <w:pPr>
              <w:pStyle w:val="Compact"/>
              <w:jc w:val="center"/>
            </w:pPr>
            <w:r>
              <w:t xml:space="preserve">3,697</w:t>
            </w:r>
          </w:p>
        </w:tc>
        <w:tc>
          <w:tcPr/>
          <w:p>
            <w:pPr>
              <w:pStyle w:val="Compact"/>
              <w:jc w:val="center"/>
            </w:pPr>
            <w:r>
              <w:t xml:space="preserve">33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3,697</w:t>
            </w:r>
          </w:p>
        </w:tc>
      </w:tr>
      <w:tr>
        <w:tc>
          <w:tcPr/>
          <w:p>
            <w:pPr>
              <w:pStyle w:val="Compact"/>
              <w:jc w:val="center"/>
            </w:pPr>
            <w:r>
              <w:t xml:space="preserve">org_2461</w:t>
            </w:r>
          </w:p>
        </w:tc>
        <w:tc>
          <w:tcPr/>
          <w:p>
            <w:pPr>
              <w:pStyle w:val="Compact"/>
              <w:jc w:val="center"/>
            </w:pPr>
            <w:r>
              <w:t xml:space="preserve">4,433</w:t>
            </w:r>
          </w:p>
        </w:tc>
        <w:tc>
          <w:tcPr/>
          <w:p>
            <w:pPr>
              <w:pStyle w:val="Compact"/>
              <w:jc w:val="center"/>
            </w:pPr>
            <w:r>
              <w:t xml:space="preserve">31</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4,433</w:t>
            </w:r>
          </w:p>
        </w:tc>
      </w:tr>
      <w:tr>
        <w:tc>
          <w:tcPr/>
          <w:p>
            <w:pPr>
              <w:pStyle w:val="Compact"/>
              <w:jc w:val="center"/>
            </w:pPr>
            <w:r>
              <w:t xml:space="preserve">org_2537</w:t>
            </w:r>
          </w:p>
        </w:tc>
        <w:tc>
          <w:tcPr/>
          <w:p>
            <w:pPr>
              <w:pStyle w:val="Compact"/>
              <w:jc w:val="center"/>
            </w:pPr>
            <w:r>
              <w:t xml:space="preserve">6,052</w:t>
            </w:r>
          </w:p>
        </w:tc>
        <w:tc>
          <w:tcPr/>
          <w:p>
            <w:pPr>
              <w:pStyle w:val="Compact"/>
              <w:jc w:val="center"/>
            </w:pPr>
            <w:r>
              <w:t xml:space="preserve">29</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6,052</w:t>
            </w:r>
          </w:p>
        </w:tc>
      </w:tr>
      <w:tr>
        <w:tc>
          <w:tcPr/>
          <w:p>
            <w:pPr>
              <w:pStyle w:val="Compact"/>
              <w:jc w:val="center"/>
            </w:pPr>
            <w:r>
              <w:t xml:space="preserve">org_2807</w:t>
            </w:r>
          </w:p>
        </w:tc>
        <w:tc>
          <w:tcPr/>
          <w:p>
            <w:pPr>
              <w:pStyle w:val="Compact"/>
              <w:jc w:val="center"/>
            </w:pPr>
            <w:r>
              <w:t xml:space="preserve">1,001</w:t>
            </w:r>
          </w:p>
        </w:tc>
        <w:tc>
          <w:tcPr/>
          <w:p>
            <w:pPr>
              <w:pStyle w:val="Compact"/>
              <w:jc w:val="center"/>
            </w:pPr>
            <w:r>
              <w:t xml:space="preserve">48</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1,001</w:t>
            </w:r>
          </w:p>
        </w:tc>
      </w:tr>
      <w:tr>
        <w:tc>
          <w:tcPr/>
          <w:p>
            <w:pPr>
              <w:pStyle w:val="Compact"/>
              <w:jc w:val="center"/>
            </w:pPr>
            <w:r>
              <w:t xml:space="preserve">org_2825</w:t>
            </w:r>
          </w:p>
        </w:tc>
        <w:tc>
          <w:tcPr/>
          <w:p>
            <w:pPr>
              <w:pStyle w:val="Compact"/>
              <w:jc w:val="center"/>
            </w:pPr>
            <w:r>
              <w:t xml:space="preserve">49,692</w:t>
            </w:r>
          </w:p>
        </w:tc>
        <w:tc>
          <w:tcPr/>
          <w:p>
            <w:pPr>
              <w:pStyle w:val="Compact"/>
              <w:jc w:val="center"/>
            </w:pPr>
            <w:r>
              <w:t xml:space="preserve">15</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49,692</w:t>
            </w:r>
          </w:p>
        </w:tc>
      </w:tr>
    </w:tbl>
    <w:p>
      <w:pPr>
        <w:pStyle w:val="BodyText"/>
      </w:pPr>
    </w:p>
    <w:bookmarkEnd w:id="60"/>
    <w:bookmarkStart w:id="61" w:name="donors"/>
    <w:p>
      <w:pPr>
        <w:pStyle w:val="Heading3"/>
      </w:pPr>
      <w:r>
        <w:t xml:space="preserve">5.3 Donors</w:t>
      </w:r>
    </w:p>
    <w:p>
      <w:pPr>
        <w:pStyle w:val="FirstParagraph"/>
      </w:pPr>
      <w:r>
        <w:t xml:space="preserve">As shown by the table below, the majority of beneficiaries reported in the first quarter of 2022/Q1 were reported without any corresponding donor, as in 2021. The data in this column continues of limited utility in analysis.</w:t>
      </w:r>
    </w:p>
    <w:p>
      <w:pPr>
        <w:pStyle w:val="TableCaption"/>
      </w:pPr>
      <w:r>
        <w:t xml:space="preserve">Top donors by benficiaries reached</w:t>
      </w:r>
    </w:p>
    <w:tbl>
      <w:tblPr>
        <w:tblStyle w:val="Table"/>
        <w:tblW w:type="pct" w:w="3819"/>
        <w:tblLook w:firstRow="1" w:lastRow="0" w:firstColumn="0" w:lastColumn="0" w:noHBand="0" w:noVBand="0" w:val="0020"/>
        <w:tblCaption w:val="Top donors by benficiaries reached"/>
      </w:tblPr>
      <w:tblGrid>
        <w:gridCol w:w="2310"/>
        <w:gridCol w:w="1760"/>
        <w:gridCol w:w="1980"/>
      </w:tblGrid>
      <w:tr>
        <w:trPr>
          <w:tblHeader w:val="true"/>
        </w:trPr>
        <w:tc>
          <w:tcPr/>
          <w:p>
            <w:pPr>
              <w:pStyle w:val="Compact"/>
              <w:jc w:val="center"/>
            </w:pPr>
            <w:r>
              <w:t xml:space="preserve">donor</w:t>
            </w:r>
          </w:p>
        </w:tc>
        <w:tc>
          <w:tcPr/>
          <w:p>
            <w:pPr>
              <w:pStyle w:val="Compact"/>
              <w:jc w:val="center"/>
            </w:pPr>
            <w:r>
              <w:t xml:space="preserve">beneficiaries</w:t>
            </w:r>
          </w:p>
        </w:tc>
        <w:tc>
          <w:tcPr/>
          <w:p>
            <w:pPr>
              <w:pStyle w:val="Compact"/>
              <w:jc w:val="center"/>
            </w:pPr>
            <w:r>
              <w:t xml:space="preserve">%_beneficiaries</w:t>
            </w:r>
          </w:p>
        </w:tc>
      </w:tr>
      <w:tr>
        <w:tc>
          <w:tcPr/>
          <w:p>
            <w:pPr>
              <w:pStyle w:val="Compact"/>
              <w:jc w:val="center"/>
            </w:pPr>
            <w:r>
              <w:t xml:space="preserve">FCDO</w:t>
            </w:r>
          </w:p>
        </w:tc>
        <w:tc>
          <w:tcPr/>
          <w:p>
            <w:pPr>
              <w:pStyle w:val="Compact"/>
              <w:jc w:val="center"/>
            </w:pPr>
            <w:r>
              <w:t xml:space="preserve">43,019</w:t>
            </w:r>
          </w:p>
        </w:tc>
        <w:tc>
          <w:tcPr/>
          <w:p>
            <w:pPr>
              <w:pStyle w:val="Compact"/>
              <w:jc w:val="center"/>
            </w:pPr>
            <w:r>
              <w:t xml:space="preserve">33.29</w:t>
            </w:r>
          </w:p>
        </w:tc>
      </w:tr>
      <w:tr>
        <w:tc>
          <w:tcPr/>
          <w:p>
            <w:pPr>
              <w:pStyle w:val="Compact"/>
              <w:jc w:val="center"/>
            </w:pPr>
            <w:r>
              <w:t xml:space="preserve">CERF</w:t>
            </w:r>
          </w:p>
        </w:tc>
        <w:tc>
          <w:tcPr/>
          <w:p>
            <w:pPr>
              <w:pStyle w:val="Compact"/>
              <w:jc w:val="center"/>
            </w:pPr>
            <w:r>
              <w:t xml:space="preserve">29,026</w:t>
            </w:r>
          </w:p>
        </w:tc>
        <w:tc>
          <w:tcPr/>
          <w:p>
            <w:pPr>
              <w:pStyle w:val="Compact"/>
              <w:jc w:val="center"/>
            </w:pPr>
            <w:r>
              <w:t xml:space="preserve">22.46</w:t>
            </w:r>
          </w:p>
        </w:tc>
      </w:tr>
      <w:tr>
        <w:tc>
          <w:tcPr/>
          <w:p>
            <w:pPr>
              <w:pStyle w:val="Compact"/>
              <w:jc w:val="center"/>
            </w:pPr>
            <w:r>
              <w:t xml:space="preserve">WVI</w:t>
            </w:r>
          </w:p>
        </w:tc>
        <w:tc>
          <w:tcPr/>
          <w:p>
            <w:pPr>
              <w:pStyle w:val="Compact"/>
              <w:jc w:val="center"/>
            </w:pPr>
            <w:r>
              <w:t xml:space="preserve">20,843</w:t>
            </w:r>
          </w:p>
        </w:tc>
        <w:tc>
          <w:tcPr/>
          <w:p>
            <w:pPr>
              <w:pStyle w:val="Compact"/>
              <w:jc w:val="center"/>
            </w:pPr>
            <w:r>
              <w:t xml:space="preserve">16.13</w:t>
            </w:r>
          </w:p>
        </w:tc>
      </w:tr>
      <w:tr>
        <w:tc>
          <w:tcPr/>
          <w:p>
            <w:pPr>
              <w:pStyle w:val="Compact"/>
              <w:jc w:val="center"/>
            </w:pPr>
            <w:r>
              <w:t xml:space="preserve">BPRM</w:t>
            </w:r>
          </w:p>
        </w:tc>
        <w:tc>
          <w:tcPr/>
          <w:p>
            <w:pPr>
              <w:pStyle w:val="Compact"/>
              <w:jc w:val="center"/>
            </w:pPr>
            <w:r>
              <w:t xml:space="preserve">13,457</w:t>
            </w:r>
          </w:p>
        </w:tc>
        <w:tc>
          <w:tcPr/>
          <w:p>
            <w:pPr>
              <w:pStyle w:val="Compact"/>
              <w:jc w:val="center"/>
            </w:pPr>
            <w:r>
              <w:t xml:space="preserve">10.41</w:t>
            </w:r>
          </w:p>
        </w:tc>
      </w:tr>
      <w:tr>
        <w:tc>
          <w:tcPr/>
          <w:p>
            <w:pPr>
              <w:pStyle w:val="Compact"/>
              <w:jc w:val="center"/>
            </w:pPr>
            <w:r>
              <w:t xml:space="preserve">No donor specified</w:t>
            </w:r>
          </w:p>
        </w:tc>
        <w:tc>
          <w:tcPr/>
          <w:p>
            <w:pPr>
              <w:pStyle w:val="Compact"/>
              <w:jc w:val="center"/>
            </w:pPr>
            <w:r>
              <w:t xml:space="preserve">10,516</w:t>
            </w:r>
          </w:p>
        </w:tc>
        <w:tc>
          <w:tcPr/>
          <w:p>
            <w:pPr>
              <w:pStyle w:val="Compact"/>
              <w:jc w:val="center"/>
            </w:pPr>
            <w:r>
              <w:t xml:space="preserve">8.14</w:t>
            </w:r>
          </w:p>
        </w:tc>
      </w:tr>
      <w:tr>
        <w:tc>
          <w:tcPr/>
          <w:p>
            <w:pPr>
              <w:pStyle w:val="Compact"/>
              <w:jc w:val="center"/>
            </w:pPr>
            <w:r>
              <w:t xml:space="preserve">FCDO+BPRM</w:t>
            </w:r>
          </w:p>
        </w:tc>
        <w:tc>
          <w:tcPr/>
          <w:p>
            <w:pPr>
              <w:pStyle w:val="Compact"/>
              <w:jc w:val="center"/>
            </w:pPr>
            <w:r>
              <w:t xml:space="preserve">7,059</w:t>
            </w:r>
          </w:p>
        </w:tc>
        <w:tc>
          <w:tcPr/>
          <w:p>
            <w:pPr>
              <w:pStyle w:val="Compact"/>
              <w:jc w:val="center"/>
            </w:pPr>
            <w:r>
              <w:t xml:space="preserve">5.46</w:t>
            </w:r>
          </w:p>
        </w:tc>
      </w:tr>
      <w:tr>
        <w:tc>
          <w:tcPr/>
          <w:p>
            <w:pPr>
              <w:pStyle w:val="Compact"/>
              <w:jc w:val="center"/>
            </w:pPr>
            <w:r>
              <w:t xml:space="preserve">LIFT</w:t>
            </w:r>
          </w:p>
        </w:tc>
        <w:tc>
          <w:tcPr/>
          <w:p>
            <w:pPr>
              <w:pStyle w:val="Compact"/>
              <w:jc w:val="center"/>
            </w:pPr>
            <w:r>
              <w:t xml:space="preserve">2,898</w:t>
            </w:r>
          </w:p>
        </w:tc>
        <w:tc>
          <w:tcPr/>
          <w:p>
            <w:pPr>
              <w:pStyle w:val="Compact"/>
              <w:jc w:val="center"/>
            </w:pPr>
            <w:r>
              <w:t xml:space="preserve">2.24</w:t>
            </w:r>
          </w:p>
        </w:tc>
      </w:tr>
      <w:tr>
        <w:tc>
          <w:tcPr/>
          <w:p>
            <w:pPr>
              <w:pStyle w:val="Compact"/>
              <w:jc w:val="center"/>
            </w:pPr>
            <w:r>
              <w:t xml:space="preserve">Norad</w:t>
            </w:r>
          </w:p>
        </w:tc>
        <w:tc>
          <w:tcPr/>
          <w:p>
            <w:pPr>
              <w:pStyle w:val="Compact"/>
              <w:jc w:val="center"/>
            </w:pPr>
            <w:r>
              <w:t xml:space="preserve">1,900</w:t>
            </w:r>
          </w:p>
        </w:tc>
        <w:tc>
          <w:tcPr/>
          <w:p>
            <w:pPr>
              <w:pStyle w:val="Compact"/>
              <w:jc w:val="center"/>
            </w:pPr>
            <w:r>
              <w:t xml:space="preserve">1.47</w:t>
            </w:r>
          </w:p>
        </w:tc>
      </w:tr>
      <w:tr>
        <w:tc>
          <w:tcPr/>
          <w:p>
            <w:pPr>
              <w:pStyle w:val="Compact"/>
              <w:jc w:val="center"/>
            </w:pPr>
            <w:r>
              <w:t xml:space="preserve">Other donors</w:t>
            </w:r>
          </w:p>
        </w:tc>
        <w:tc>
          <w:tcPr/>
          <w:p>
            <w:pPr>
              <w:pStyle w:val="Compact"/>
              <w:jc w:val="center"/>
            </w:pPr>
            <w:r>
              <w:t xml:space="preserve">517</w:t>
            </w:r>
          </w:p>
        </w:tc>
        <w:tc>
          <w:tcPr/>
          <w:p>
            <w:pPr>
              <w:pStyle w:val="Compact"/>
              <w:jc w:val="center"/>
            </w:pPr>
            <w:r>
              <w:t xml:space="preserve">0.4</w:t>
            </w:r>
          </w:p>
        </w:tc>
      </w:tr>
    </w:tbl>
    <w:p>
      <w:pPr>
        <w:pStyle w:val="BodyText"/>
      </w:pPr>
    </w:p>
    <w:bookmarkEnd w:id="61"/>
    <w:bookmarkEnd w:id="62"/>
    <w:bookmarkStart w:id="69" w:name="comparison-with-targets"/>
    <w:p>
      <w:pPr>
        <w:pStyle w:val="Heading2"/>
      </w:pPr>
      <w:r>
        <w:t xml:space="preserve">6. Comparison with targets</w:t>
      </w:r>
    </w:p>
    <w:bookmarkStart w:id="64" w:name="reached-vs-target-by-township"/>
    <w:p>
      <w:pPr>
        <w:pStyle w:val="Heading3"/>
      </w:pPr>
      <w:r>
        <w:t xml:space="preserve">6.2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in 2022/Q1.</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12 townships along the extreme left side of the plot have beneficiaries but do not have targets (their targets have just been coded as</w:t>
      </w:r>
      <w:r>
        <w:t xml:space="preserve"> </w:t>
      </w:r>
      <m:oMath>
        <m:r>
          <m:t>1</m:t>
        </m:r>
      </m:oMath>
      <w:r>
        <w:t xml:space="preserve"> </w:t>
      </w:r>
      <w:r>
        <w:t xml:space="preserve">so that they show up on the plot). 230 townships with targets have not been reached.</w:t>
      </w:r>
    </w:p>
    <w:p>
      <w:pPr>
        <w:pStyle w:val="BodyText"/>
      </w:pPr>
    </w:p>
    <w:p>
      <w:pPr>
        <w:pStyle w:val="BodyText"/>
      </w:pPr>
      <w:r>
        <w:drawing>
          <wp:inline>
            <wp:extent cx="5334000" cy="2370666"/>
            <wp:effectExtent b="0" l="0" r="0" t="0"/>
            <wp:docPr descr="" title="" id="1" name="Picture"/>
            <a:graphic>
              <a:graphicData uri="http://schemas.openxmlformats.org/drawingml/2006/picture">
                <pic:pic>
                  <pic:nvPicPr>
                    <pic:cNvPr descr="fsc_q1_2022_southeast_word_files/figure-docx/plotly-tsp-comparison-reached-target-1.png" id="0" name="Picture"/>
                    <pic:cNvPicPr>
                      <a:picLocks noChangeArrowheads="1" noChangeAspect="1"/>
                    </pic:cNvPicPr>
                  </pic:nvPicPr>
                  <pic:blipFill>
                    <a:blip r:embed="rId6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64"/>
    <w:bookmarkStart w:id="66" w:name="Xf6202bbef52470b1db916a6197bcfb79df86d8d"/>
    <w:p>
      <w:pPr>
        <w:pStyle w:val="Heading3"/>
      </w:pPr>
      <w:r>
        <w:t xml:space="preserve">6.2 Map of beneficiaries reached in 2022/Q1 vs target</w:t>
      </w:r>
    </w:p>
    <w:p>
      <w:pPr>
        <w:pStyle w:val="FirstParagraph"/>
      </w:pPr>
      <w:r>
        <w:drawing>
          <wp:inline>
            <wp:extent cx="5334000" cy="5334000"/>
            <wp:effectExtent b="0" l="0" r="0" t="0"/>
            <wp:docPr descr="" title="" id="1" name="Picture"/>
            <a:graphic>
              <a:graphicData uri="http://schemas.openxmlformats.org/drawingml/2006/picture">
                <pic:pic>
                  <pic:nvPicPr>
                    <pic:cNvPr descr="fsc_q1_2022_southeast_word_files/figure-docx/maps-ben-target-1.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pPr>
        <w:pStyle w:val="BodyText"/>
      </w:pPr>
      <w:r>
        <w:t xml:space="preserve">With the important exceptions of Yangon and the Southeast, beneficiaries are concentrated in the peripheral and border regions of the union, where humanitarian actors have traditionally been present. As mentioned in previous reports, this is not consistent with the current patterns of needs and vulnerability.</w:t>
      </w:r>
    </w:p>
    <w:p>
      <w:pPr>
        <w:pStyle w:val="BodyText"/>
      </w:pPr>
    </w:p>
    <w:bookmarkEnd w:id="66"/>
    <w:bookmarkStart w:id="68" w:name="interactive-reference-table"/>
    <w:p>
      <w:pPr>
        <w:pStyle w:val="Heading3"/>
      </w:pPr>
      <w:r>
        <w:t xml:space="preserve">6.3 Interactive reference table</w:t>
      </w:r>
    </w:p>
    <w:p>
      <w:pPr>
        <w:pStyle w:val="FirstParagraph"/>
      </w:pPr>
      <w:r>
        <w:t xml:space="preserve">There was an overallocation of resources in these relatively few areas in 2021 and this has continued in the first quarter of 2022. In the interactive table below, is a list of townships sorted by the gap between the targeted population and beneficiaries reached in 2022. Any of the columns can be sort; the search bars above each column can also assist in filtering.</w:t>
      </w:r>
    </w:p>
    <w:p>
      <w:pPr>
        <w:pStyle w:val="BodyText"/>
      </w:pPr>
    </w:p>
    <w:p>
      <w:pPr>
        <w:pStyle w:val="BodyText"/>
      </w:pPr>
      <w:r>
        <w:drawing>
          <wp:inline>
            <wp:extent cx="3175000" cy="2012950"/>
            <wp:effectExtent b="0" l="0" r="0" t="0"/>
            <wp:docPr descr="" title="" id="1" name="Picture"/>
            <a:graphic>
              <a:graphicData uri="http://schemas.openxmlformats.org/drawingml/2006/picture">
                <pic:pic>
                  <pic:nvPicPr>
                    <pic:cNvPr descr="fsc_q1_2022_southeast_word_files/figure-docx/unnamed-chunk-9-1.png" id="0" name="Picture"/>
                    <pic:cNvPicPr>
                      <a:picLocks noChangeArrowheads="1" noChangeAspect="1"/>
                    </pic:cNvPicPr>
                  </pic:nvPicPr>
                  <pic:blipFill>
                    <a:blip r:embed="rId67"/>
                    <a:stretch>
                      <a:fillRect/>
                    </a:stretch>
                  </pic:blipFill>
                  <pic:spPr bwMode="auto">
                    <a:xfrm>
                      <a:off x="0" y="0"/>
                      <a:ext cx="3175000" cy="2012950"/>
                    </a:xfrm>
                    <a:prstGeom prst="rect">
                      <a:avLst/>
                    </a:prstGeom>
                    <a:noFill/>
                    <a:ln w="9525">
                      <a:noFill/>
                      <a:headEnd/>
                      <a:tailEnd/>
                    </a:ln>
                  </pic:spPr>
                </pic:pic>
              </a:graphicData>
            </a:graphic>
          </wp:inline>
        </w:drawing>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67" Target="media/rId67.png" /><Relationship Type="http://schemas.openxmlformats.org/officeDocument/2006/relationships/image" Id="rId39" Target="media/rId39.png" /><Relationship Type="http://schemas.openxmlformats.org/officeDocument/2006/relationships/hyperlink" Id="rId20" Target="https://www.dropbox.com/s/11kv6cvnbvx9hbe/information_sharing_protocol_220323.pdf?dl=0" TargetMode="External" /><Relationship Type="http://schemas.openxmlformats.org/officeDocument/2006/relationships/hyperlink" Id="rId21" Target="https://www.dropbox.com/s/lqwvo7k80s1xnjj/SE%20partner%20data%20protection_final_220323%20translation.pdf?dl=0" TargetMode="External" /></Relationships>
</file>

<file path=word/_rels/footnotes.xml.rels><?xml version="1.0" encoding="UTF-8"?><Relationships xmlns="http://schemas.openxmlformats.org/package/2006/relationships"><Relationship Type="http://schemas.openxmlformats.org/officeDocument/2006/relationships/hyperlink" Id="rId20" Target="https://www.dropbox.com/s/11kv6cvnbvx9hbe/information_sharing_protocol_220323.pdf?dl=0" TargetMode="External" /><Relationship Type="http://schemas.openxmlformats.org/officeDocument/2006/relationships/hyperlink" Id="rId21" Target="https://www.dropbox.com/s/lqwvo7k80s1xnjj/SE%20partner%20data%20protection_final_220323%20translation.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Snapshot report on the 5Ws</dc:title>
  <dc:creator>Myanmar Food Security Cluster</dc:creator>
  <cp:keywords/>
  <dcterms:created xsi:type="dcterms:W3CDTF">2022-05-24T03:04:12Z</dcterms:created>
  <dcterms:modified xsi:type="dcterms:W3CDTF">2022-05-24T03:04:12Z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2022-05-06</vt:lpwstr>
  </property>
  <property fmtid="{D5CDD505-2E9C-101B-9397-08002B2CF9AE}" pid="4" name="output">
    <vt:lpwstr/>
  </property>
  <property fmtid="{D5CDD505-2E9C-101B-9397-08002B2CF9AE}" pid="5" name="subtitle">
    <vt:lpwstr>First quarter 2022</vt:lpwstr>
  </property>
</Properties>
</file>