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3.png" ContentType="image/png"/>
  <Override PartName="/word/media/rId21.png" ContentType="image/png"/>
  <Override PartName="/word/media/rId50.png" ContentType="image/png"/>
  <Override PartName="/word/media/rId48.png" ContentType="image/png"/>
  <Override PartName="/word/media/rId25.png" ContentType="image/png"/>
  <Override PartName="/word/media/rId27.png" ContentType="image/png"/>
  <Override PartName="/word/media/rId30.png" ContentType="image/png"/>
  <Override PartName="/word/media/rId39.png" ContentType="image/png"/>
  <Override PartName="/word/media/rId4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observations</w:t>
      </w:r>
      <w:r>
        <w:t xml:space="preserve"> </w:t>
      </w:r>
      <w:r>
        <w:t xml:space="preserve">on</w:t>
      </w:r>
      <w:r>
        <w:t xml:space="preserve"> </w:t>
      </w:r>
      <w:r>
        <w:t xml:space="preserve">the</w:t>
      </w:r>
      <w:r>
        <w:t xml:space="preserve"> </w:t>
      </w:r>
      <w:r>
        <w:t xml:space="preserve">Myanmar</w:t>
      </w:r>
      <w:r>
        <w:t xml:space="preserve"> </w:t>
      </w:r>
      <w:r>
        <w:t xml:space="preserve">Food</w:t>
      </w:r>
      <w:r>
        <w:t xml:space="preserve"> </w:t>
      </w:r>
      <w:r>
        <w:t xml:space="preserve">Security</w:t>
      </w:r>
      <w:r>
        <w:t xml:space="preserve"> </w:t>
      </w:r>
      <w:r>
        <w:t xml:space="preserve">Cluster</w:t>
      </w:r>
      <w:r>
        <w:t xml:space="preserve"> </w:t>
      </w:r>
      <w:r>
        <w:t xml:space="preserve">5Ws</w:t>
      </w:r>
    </w:p>
    <w:p>
      <w:pPr>
        <w:pStyle w:val="Author"/>
      </w:pPr>
      <w:r>
        <w:t xml:space="preserve">Sean</w:t>
      </w:r>
      <w:r>
        <w:t xml:space="preserve"> </w:t>
      </w:r>
      <w:r>
        <w:t xml:space="preserve">Ng</w:t>
      </w:r>
    </w:p>
    <w:p>
      <w:pPr>
        <w:pStyle w:val="Date"/>
      </w:pPr>
      <w:r>
        <w:t xml:space="preserve">29/01/2021</w:t>
      </w:r>
    </w:p>
    <w:bookmarkStart w:id="20" w:name="introduction"/>
    <w:p>
      <w:pPr>
        <w:pStyle w:val="Heading2"/>
      </w:pPr>
      <w:r>
        <w:t xml:space="preserve">Introduction</w:t>
      </w:r>
    </w:p>
    <w:p>
      <w:pPr>
        <w:pStyle w:val="FirstParagraph"/>
      </w:pPr>
      <w:r>
        <w:t xml:space="preserve">This report is an overview of the initial observations and analysis performed on the Food Security Cluster 5Ws data for 2021; the issues identified and analysis have been broken into large groups corresponding with the first 4 chapters – geographical coverage, activities and modalities, partners and beneficiaries. This report ends with a brief section on next steps and an interactive reference table and interactive reference maps.</w:t>
      </w:r>
    </w:p>
    <w:p>
      <w:pPr>
        <w:pStyle w:val="BodyText"/>
      </w:pPr>
      <w:r>
        <w:t xml:space="preserve">We have endeavoured to provide actionable information and believe that releasing this report is a necessary part of jump-starting the process of resolving the more pressing concerns identified. Further analysis is merited in several areas; and this will be undertaken once consultations with partners have been completed.</w:t>
      </w:r>
    </w:p>
    <w:p>
      <w:pPr>
        <w:pStyle w:val="BodyText"/>
      </w:pPr>
      <w:r>
        <w:t xml:space="preserve">Unless otherwise specified, beneficiary figures in this report are unique beneficiaries, as opposed to beneficiary frequencies.</w:t>
      </w:r>
    </w:p>
    <w:p>
      <w:pPr>
        <w:pStyle w:val="BodyText"/>
      </w:pPr>
    </w:p>
    <w:bookmarkEnd w:id="20"/>
    <w:bookmarkStart w:id="29" w:name="geographical-coverage"/>
    <w:p>
      <w:pPr>
        <w:pStyle w:val="Heading2"/>
      </w:pPr>
      <w:r>
        <w:t xml:space="preserve">1. Geographical coverage</w:t>
      </w:r>
    </w:p>
    <w:bookmarkStart w:id="22" w:name="X3df5f0b94b125e6ea53dfee46736c994ef286de"/>
    <w:p>
      <w:pPr>
        <w:pStyle w:val="Heading3"/>
      </w:pPr>
      <w:r>
        <w:t xml:space="preserve">1.1 Comparing beneficiaries reached and 2021 PIN by state and region</w:t>
      </w:r>
    </w:p>
    <w:p>
      <w:pPr>
        <w:pStyle w:val="FirstParagraph"/>
      </w:pPr>
      <w:r>
        <w:t xml:space="preserve">A total of 3,260,968 unique beneficiaries have been reached across the country; this is 117.79% of the targetted 2,768,349 persons; however, not all the beneficiaries reached corresponded to areas where there were targets – this is explored in more detail in the section on townships.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state-beneficiaries-pin-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2"/>
    <w:bookmarkStart w:id="24" w:name="Xf0172ceabd9104a30e7cef1a63ea5ad5a61a224"/>
    <w:p>
      <w:pPr>
        <w:pStyle w:val="Heading3"/>
      </w:pPr>
      <w:r>
        <w:t xml:space="preserve">1.2 Table of beneficiaries and PIN by state and region</w:t>
      </w:r>
    </w:p>
    <w:p>
      <w:pPr>
        <w:pStyle w:val="TableCaption"/>
      </w:pPr>
      <w:r>
        <w:t xml:space="preserve">Beneficiaries reached (desc.) and PIN by state/region</w:t>
      </w:r>
    </w:p>
    <w:tbl>
      <w:tblPr>
        <w:tblStyle w:val="Table"/>
        <w:tblW w:type="pct" w:w="5000"/>
        <w:tblLook w:firstRow="1" w:lastRow="0" w:firstColumn="0" w:lastColumn="0" w:noHBand="0" w:noVBand="0" w:val="0020"/>
        <w:tblCaption w:val="Beneficiaries reached (desc.) and PIN by state/region"/>
      </w:tblPr>
      <w:tblGrid>
        <w:gridCol w:w="1200"/>
        <w:gridCol w:w="1280"/>
        <w:gridCol w:w="880"/>
        <w:gridCol w:w="960"/>
        <w:gridCol w:w="1120"/>
        <w:gridCol w:w="1520"/>
        <w:gridCol w:w="960"/>
      </w:tblGrid>
      <w:tr>
        <w:trPr>
          <w:tblHeader w:val="true"/>
        </w:trPr>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%_target_reached</w:t>
            </w:r>
          </w:p>
        </w:tc>
        <w:tc>
          <w:tcPr/>
          <w:p>
            <w:pPr>
              <w:pStyle w:val="Compact"/>
              <w:jc w:val="center"/>
            </w:pPr>
            <w:r>
              <w:t xml:space="preserve">PIN</w:t>
            </w:r>
          </w:p>
        </w:tc>
      </w:tr>
      <w:tr>
        <w:tc>
          <w:tcPr/>
          <w:p>
            <w:pPr>
              <w:pStyle w:val="Compact"/>
              <w:jc w:val="center"/>
            </w:pPr>
            <w:r>
              <w:t xml:space="preserve">Yangon</w:t>
            </w:r>
          </w:p>
        </w:tc>
        <w:tc>
          <w:tcPr/>
          <w:p>
            <w:pPr>
              <w:pStyle w:val="Compact"/>
              <w:jc w:val="center"/>
            </w:pPr>
            <w:r>
              <w:t xml:space="preserve">2,011,575</w:t>
            </w:r>
          </w:p>
        </w:tc>
        <w:tc>
          <w:tcPr/>
          <w:p>
            <w:pPr>
              <w:pStyle w:val="Compact"/>
              <w:jc w:val="center"/>
            </w:pPr>
            <w:r>
              <w:t xml:space="preserve">61.83</w:t>
            </w:r>
          </w:p>
        </w:tc>
        <w:tc>
          <w:tcPr/>
          <w:p>
            <w:pPr>
              <w:pStyle w:val="Compact"/>
              <w:jc w:val="center"/>
            </w:pPr>
            <w:r>
              <w:t xml:space="preserve">1,777,522</w:t>
            </w:r>
          </w:p>
        </w:tc>
        <w:tc>
          <w:tcPr/>
          <w:p>
            <w:pPr>
              <w:pStyle w:val="Compact"/>
              <w:jc w:val="center"/>
            </w:pPr>
            <w:r>
              <w:t xml:space="preserve">64.21</w:t>
            </w:r>
          </w:p>
        </w:tc>
        <w:tc>
          <w:tcPr/>
          <w:p>
            <w:pPr>
              <w:pStyle w:val="Compact"/>
              <w:jc w:val="center"/>
            </w:pPr>
            <w:r>
              <w:t xml:space="preserve">113.2</w:t>
            </w:r>
          </w:p>
        </w:tc>
        <w:tc>
          <w:tcPr/>
          <w:p>
            <w:pPr>
              <w:pStyle w:val="Compact"/>
              <w:jc w:val="center"/>
            </w:pPr>
            <w:r>
              <w:t xml:space="preserve">1,777,522</w:t>
            </w:r>
          </w:p>
        </w:tc>
      </w:tr>
      <w:tr>
        <w:tc>
          <w:tcPr/>
          <w:p>
            <w:pPr>
              <w:pStyle w:val="Compact"/>
              <w:jc w:val="center"/>
            </w:pPr>
            <w:r>
              <w:t xml:space="preserve">Rakhine</w:t>
            </w:r>
          </w:p>
        </w:tc>
        <w:tc>
          <w:tcPr/>
          <w:p>
            <w:pPr>
              <w:pStyle w:val="Compact"/>
              <w:jc w:val="center"/>
            </w:pPr>
            <w:r>
              <w:t xml:space="preserve">530,202</w:t>
            </w:r>
          </w:p>
        </w:tc>
        <w:tc>
          <w:tcPr/>
          <w:p>
            <w:pPr>
              <w:pStyle w:val="Compact"/>
              <w:jc w:val="center"/>
            </w:pPr>
            <w:r>
              <w:t xml:space="preserve">16.3</w:t>
            </w:r>
          </w:p>
        </w:tc>
        <w:tc>
          <w:tcPr/>
          <w:p>
            <w:pPr>
              <w:pStyle w:val="Compact"/>
              <w:jc w:val="center"/>
            </w:pPr>
            <w:r>
              <w:t xml:space="preserve">487,182</w:t>
            </w:r>
          </w:p>
        </w:tc>
        <w:tc>
          <w:tcPr/>
          <w:p>
            <w:pPr>
              <w:pStyle w:val="Compact"/>
              <w:jc w:val="center"/>
            </w:pPr>
            <w:r>
              <w:t xml:space="preserve">17.6</w:t>
            </w:r>
          </w:p>
        </w:tc>
        <w:tc>
          <w:tcPr/>
          <w:p>
            <w:pPr>
              <w:pStyle w:val="Compact"/>
              <w:jc w:val="center"/>
            </w:pPr>
            <w:r>
              <w:t xml:space="preserve">108.8</w:t>
            </w:r>
          </w:p>
        </w:tc>
        <w:tc>
          <w:tcPr/>
          <w:p>
            <w:pPr>
              <w:pStyle w:val="Compact"/>
              <w:jc w:val="center"/>
            </w:pPr>
            <w:r>
              <w:t xml:space="preserve">632,805</w:t>
            </w:r>
          </w:p>
        </w:tc>
      </w:tr>
      <w:tr>
        <w:tc>
          <w:tcPr/>
          <w:p>
            <w:pPr>
              <w:pStyle w:val="Compact"/>
              <w:jc w:val="center"/>
            </w:pPr>
            <w:r>
              <w:t xml:space="preserve">Mandalay</w:t>
            </w:r>
          </w:p>
        </w:tc>
        <w:tc>
          <w:tcPr/>
          <w:p>
            <w:pPr>
              <w:pStyle w:val="Compact"/>
              <w:jc w:val="center"/>
            </w:pPr>
            <w:r>
              <w:t xml:space="preserve">143,526</w:t>
            </w:r>
          </w:p>
        </w:tc>
        <w:tc>
          <w:tcPr/>
          <w:p>
            <w:pPr>
              <w:pStyle w:val="Compact"/>
              <w:jc w:val="center"/>
            </w:pPr>
            <w:r>
              <w:t xml:space="preserve">4.41</w:t>
            </w:r>
          </w:p>
        </w:tc>
        <w:tc>
          <w:tcPr/>
          <w:p>
            <w:pPr>
              <w:pStyle w:val="Compact"/>
              <w:jc w:val="center"/>
            </w:pPr>
            <w:r>
              <w:t xml:space="preserve">381,818</w:t>
            </w:r>
          </w:p>
        </w:tc>
        <w:tc>
          <w:tcPr/>
          <w:p>
            <w:pPr>
              <w:pStyle w:val="Compact"/>
              <w:jc w:val="center"/>
            </w:pPr>
            <w:r>
              <w:t xml:space="preserve">13.79</w:t>
            </w:r>
          </w:p>
        </w:tc>
        <w:tc>
          <w:tcPr/>
          <w:p>
            <w:pPr>
              <w:pStyle w:val="Compact"/>
              <w:jc w:val="center"/>
            </w:pPr>
            <w:r>
              <w:t xml:space="preserve">37.59</w:t>
            </w:r>
          </w:p>
        </w:tc>
        <w:tc>
          <w:tcPr/>
          <w:p>
            <w:pPr>
              <w:pStyle w:val="Compact"/>
              <w:jc w:val="center"/>
            </w:pPr>
            <w:r>
              <w:t xml:space="preserve">381,818</w:t>
            </w:r>
          </w:p>
        </w:tc>
      </w:tr>
      <w:tr>
        <w:tc>
          <w:tcPr/>
          <w:p>
            <w:pPr>
              <w:pStyle w:val="Compact"/>
              <w:jc w:val="center"/>
            </w:pPr>
            <w:r>
              <w:t xml:space="preserve">Ayeyarwady</w:t>
            </w:r>
          </w:p>
        </w:tc>
        <w:tc>
          <w:tcPr/>
          <w:p>
            <w:pPr>
              <w:pStyle w:val="Compact"/>
              <w:jc w:val="center"/>
            </w:pPr>
            <w:r>
              <w:t xml:space="preserve">99,481</w:t>
            </w:r>
          </w:p>
        </w:tc>
        <w:tc>
          <w:tcPr/>
          <w:p>
            <w:pPr>
              <w:pStyle w:val="Compact"/>
              <w:jc w:val="center"/>
            </w:pPr>
            <w:r>
              <w:t xml:space="preserve">3.06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Magway</w:t>
            </w:r>
          </w:p>
        </w:tc>
        <w:tc>
          <w:tcPr/>
          <w:p>
            <w:pPr>
              <w:pStyle w:val="Compact"/>
              <w:jc w:val="center"/>
            </w:pPr>
            <w:r>
              <w:t xml:space="preserve">96,767</w:t>
            </w:r>
          </w:p>
        </w:tc>
        <w:tc>
          <w:tcPr/>
          <w:p>
            <w:pPr>
              <w:pStyle w:val="Compact"/>
              <w:jc w:val="center"/>
            </w:pPr>
            <w:r>
              <w:t xml:space="preserve">2.97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Kachin</w:t>
            </w:r>
          </w:p>
        </w:tc>
        <w:tc>
          <w:tcPr/>
          <w:p>
            <w:pPr>
              <w:pStyle w:val="Compact"/>
              <w:jc w:val="center"/>
            </w:pPr>
            <w:r>
              <w:t xml:space="preserve">89,818</w:t>
            </w:r>
          </w:p>
        </w:tc>
        <w:tc>
          <w:tcPr/>
          <w:p>
            <w:pPr>
              <w:pStyle w:val="Compact"/>
              <w:jc w:val="center"/>
            </w:pPr>
            <w:r>
              <w:t xml:space="preserve">2.76</w:t>
            </w:r>
          </w:p>
        </w:tc>
        <w:tc>
          <w:tcPr/>
          <w:p>
            <w:pPr>
              <w:pStyle w:val="Compact"/>
              <w:jc w:val="center"/>
            </w:pPr>
            <w:r>
              <w:t xml:space="preserve">86,117</w:t>
            </w:r>
          </w:p>
        </w:tc>
        <w:tc>
          <w:tcPr/>
          <w:p>
            <w:pPr>
              <w:pStyle w:val="Compact"/>
              <w:jc w:val="center"/>
            </w:pPr>
            <w:r>
              <w:t xml:space="preserve">3.11</w:t>
            </w:r>
          </w:p>
        </w:tc>
        <w:tc>
          <w:tcPr/>
          <w:p>
            <w:pPr>
              <w:pStyle w:val="Compact"/>
              <w:jc w:val="center"/>
            </w:pPr>
            <w:r>
              <w:t xml:space="preserve">104.3</w:t>
            </w:r>
          </w:p>
        </w:tc>
        <w:tc>
          <w:tcPr/>
          <w:p>
            <w:pPr>
              <w:pStyle w:val="Compact"/>
              <w:jc w:val="center"/>
            </w:pPr>
            <w:r>
              <w:t xml:space="preserve">102,649</w:t>
            </w:r>
          </w:p>
        </w:tc>
      </w:tr>
      <w:tr>
        <w:tc>
          <w:tcPr/>
          <w:p>
            <w:pPr>
              <w:pStyle w:val="Compact"/>
              <w:jc w:val="center"/>
            </w:pPr>
            <w:r>
              <w:t xml:space="preserve">Kayin</w:t>
            </w:r>
          </w:p>
        </w:tc>
        <w:tc>
          <w:tcPr/>
          <w:p>
            <w:pPr>
              <w:pStyle w:val="Compact"/>
              <w:jc w:val="center"/>
            </w:pPr>
            <w:r>
              <w:t xml:space="preserve">68,108</w:t>
            </w:r>
          </w:p>
        </w:tc>
        <w:tc>
          <w:tcPr/>
          <w:p>
            <w:pPr>
              <w:pStyle w:val="Compact"/>
              <w:jc w:val="center"/>
            </w:pPr>
            <w:r>
              <w:t xml:space="preserve">2.09</w:t>
            </w:r>
          </w:p>
        </w:tc>
        <w:tc>
          <w:tcPr/>
          <w:p>
            <w:pPr>
              <w:pStyle w:val="Compact"/>
              <w:jc w:val="center"/>
            </w:pPr>
            <w:r>
              <w:t xml:space="preserve">6,855</w:t>
            </w:r>
          </w:p>
        </w:tc>
        <w:tc>
          <w:tcPr/>
          <w:p>
            <w:pPr>
              <w:pStyle w:val="Compact"/>
              <w:jc w:val="center"/>
            </w:pPr>
            <w:r>
              <w:t xml:space="preserve">0.25</w:t>
            </w:r>
          </w:p>
        </w:tc>
        <w:tc>
          <w:tcPr/>
          <w:p>
            <w:pPr>
              <w:pStyle w:val="Compact"/>
              <w:jc w:val="center"/>
            </w:pPr>
            <w:r>
              <w:t xml:space="preserve">993.5</w:t>
            </w:r>
          </w:p>
        </w:tc>
        <w:tc>
          <w:tcPr/>
          <w:p>
            <w:pPr>
              <w:pStyle w:val="Compact"/>
              <w:jc w:val="center"/>
            </w:pPr>
            <w:r>
              <w:t xml:space="preserve">6,855</w:t>
            </w:r>
          </w:p>
        </w:tc>
      </w:tr>
      <w:tr>
        <w:tc>
          <w:tcPr/>
          <w:p>
            <w:pPr>
              <w:pStyle w:val="Compact"/>
              <w:jc w:val="center"/>
            </w:pPr>
            <w:r>
              <w:t xml:space="preserve">Shan (North)</w:t>
            </w:r>
          </w:p>
        </w:tc>
        <w:tc>
          <w:tcPr/>
          <w:p>
            <w:pPr>
              <w:pStyle w:val="Compact"/>
              <w:jc w:val="center"/>
            </w:pPr>
            <w:r>
              <w:t xml:space="preserve">66,220</w:t>
            </w:r>
          </w:p>
        </w:tc>
        <w:tc>
          <w:tcPr/>
          <w:p>
            <w:pPr>
              <w:pStyle w:val="Compact"/>
              <w:jc w:val="center"/>
            </w:pPr>
            <w:r>
              <w:t xml:space="preserve">2.04</w:t>
            </w:r>
          </w:p>
        </w:tc>
        <w:tc>
          <w:tcPr/>
          <w:p>
            <w:pPr>
              <w:pStyle w:val="Compact"/>
              <w:jc w:val="center"/>
            </w:pPr>
            <w:r>
              <w:t xml:space="preserve">13,428</w:t>
            </w:r>
          </w:p>
        </w:tc>
        <w:tc>
          <w:tcPr/>
          <w:p>
            <w:pPr>
              <w:pStyle w:val="Compact"/>
              <w:jc w:val="center"/>
            </w:pPr>
            <w:r>
              <w:t xml:space="preserve">0.49</w:t>
            </w:r>
          </w:p>
        </w:tc>
        <w:tc>
          <w:tcPr/>
          <w:p>
            <w:pPr>
              <w:pStyle w:val="Compact"/>
              <w:jc w:val="center"/>
            </w:pPr>
            <w:r>
              <w:t xml:space="preserve">493.1</w:t>
            </w:r>
          </w:p>
        </w:tc>
        <w:tc>
          <w:tcPr/>
          <w:p>
            <w:pPr>
              <w:pStyle w:val="Compact"/>
              <w:jc w:val="center"/>
            </w:pPr>
            <w:r>
              <w:t xml:space="preserve">24,657</w:t>
            </w:r>
          </w:p>
        </w:tc>
      </w:tr>
      <w:tr>
        <w:tc>
          <w:tcPr/>
          <w:p>
            <w:pPr>
              <w:pStyle w:val="Compact"/>
              <w:jc w:val="center"/>
            </w:pPr>
            <w:r>
              <w:t xml:space="preserve">Mon</w:t>
            </w:r>
          </w:p>
        </w:tc>
        <w:tc>
          <w:tcPr/>
          <w:p>
            <w:pPr>
              <w:pStyle w:val="Compact"/>
              <w:jc w:val="center"/>
            </w:pPr>
            <w:r>
              <w:t xml:space="preserve">48,181</w:t>
            </w:r>
          </w:p>
        </w:tc>
        <w:tc>
          <w:tcPr/>
          <w:p>
            <w:pPr>
              <w:pStyle w:val="Compact"/>
              <w:jc w:val="center"/>
            </w:pPr>
            <w:r>
              <w:t xml:space="preserve">1.48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Sagaing</w:t>
            </w:r>
          </w:p>
        </w:tc>
        <w:tc>
          <w:tcPr/>
          <w:p>
            <w:pPr>
              <w:pStyle w:val="Compact"/>
              <w:jc w:val="center"/>
            </w:pPr>
            <w:r>
              <w:t xml:space="preserve">31,985</w:t>
            </w:r>
          </w:p>
        </w:tc>
        <w:tc>
          <w:tcPr/>
          <w:p>
            <w:pPr>
              <w:pStyle w:val="Compact"/>
              <w:jc w:val="center"/>
            </w:pPr>
            <w:r>
              <w:t xml:space="preserve">0.98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r>
        <w:tc>
          <w:tcPr/>
          <w:p>
            <w:pPr>
              <w:pStyle w:val="Compact"/>
              <w:jc w:val="center"/>
            </w:pPr>
            <w:r>
              <w:t xml:space="preserve">Kayah</w:t>
            </w:r>
          </w:p>
        </w:tc>
        <w:tc>
          <w:tcPr/>
          <w:p>
            <w:pPr>
              <w:pStyle w:val="Compact"/>
              <w:jc w:val="center"/>
            </w:pPr>
            <w:r>
              <w:t xml:space="preserve">17,746</w:t>
            </w:r>
          </w:p>
        </w:tc>
        <w:tc>
          <w:tcPr/>
          <w:p>
            <w:pPr>
              <w:pStyle w:val="Compact"/>
              <w:jc w:val="center"/>
            </w:pPr>
            <w:r>
              <w:t xml:space="preserve">0.55</w:t>
            </w:r>
          </w:p>
        </w:tc>
        <w:tc>
          <w:tcPr/>
          <w:p>
            <w:pPr>
              <w:pStyle w:val="Compact"/>
              <w:jc w:val="center"/>
            </w:pPr>
            <w:r>
              <w:t xml:space="preserve">5,830</w:t>
            </w:r>
          </w:p>
        </w:tc>
        <w:tc>
          <w:tcPr/>
          <w:p>
            <w:pPr>
              <w:pStyle w:val="Compact"/>
              <w:jc w:val="center"/>
            </w:pPr>
            <w:r>
              <w:t xml:space="preserve">0.21</w:t>
            </w:r>
          </w:p>
        </w:tc>
        <w:tc>
          <w:tcPr/>
          <w:p>
            <w:pPr>
              <w:pStyle w:val="Compact"/>
              <w:jc w:val="center"/>
            </w:pPr>
            <w:r>
              <w:t xml:space="preserve">304.4</w:t>
            </w:r>
          </w:p>
        </w:tc>
        <w:tc>
          <w:tcPr/>
          <w:p>
            <w:pPr>
              <w:pStyle w:val="Compact"/>
              <w:jc w:val="center"/>
            </w:pPr>
            <w:r>
              <w:t xml:space="preserve">5,830</w:t>
            </w:r>
          </w:p>
        </w:tc>
      </w:tr>
      <w:tr>
        <w:tc>
          <w:tcPr/>
          <w:p>
            <w:pPr>
              <w:pStyle w:val="Compact"/>
              <w:jc w:val="center"/>
            </w:pPr>
            <w:r>
              <w:t xml:space="preserve">Chin</w:t>
            </w:r>
          </w:p>
        </w:tc>
        <w:tc>
          <w:tcPr/>
          <w:p>
            <w:pPr>
              <w:pStyle w:val="Compact"/>
              <w:jc w:val="center"/>
            </w:pPr>
            <w:r>
              <w:t xml:space="preserve">17,005</w:t>
            </w:r>
          </w:p>
        </w:tc>
        <w:tc>
          <w:tcPr/>
          <w:p>
            <w:pPr>
              <w:pStyle w:val="Compact"/>
              <w:jc w:val="center"/>
            </w:pPr>
            <w:r>
              <w:t xml:space="preserve">0.52</w:t>
            </w:r>
          </w:p>
        </w:tc>
        <w:tc>
          <w:tcPr/>
          <w:p>
            <w:pPr>
              <w:pStyle w:val="Compact"/>
              <w:jc w:val="center"/>
            </w:pPr>
            <w:r>
              <w:t xml:space="preserve">5,106</w:t>
            </w:r>
          </w:p>
        </w:tc>
        <w:tc>
          <w:tcPr/>
          <w:p>
            <w:pPr>
              <w:pStyle w:val="Compact"/>
              <w:jc w:val="center"/>
            </w:pPr>
            <w:r>
              <w:t xml:space="preserve">0.18</w:t>
            </w:r>
          </w:p>
        </w:tc>
        <w:tc>
          <w:tcPr/>
          <w:p>
            <w:pPr>
              <w:pStyle w:val="Compact"/>
              <w:jc w:val="center"/>
            </w:pPr>
            <w:r>
              <w:t xml:space="preserve">333</w:t>
            </w:r>
          </w:p>
        </w:tc>
        <w:tc>
          <w:tcPr/>
          <w:p>
            <w:pPr>
              <w:pStyle w:val="Compact"/>
              <w:jc w:val="center"/>
            </w:pPr>
            <w:r>
              <w:t xml:space="preserve">13,275</w:t>
            </w:r>
          </w:p>
        </w:tc>
      </w:tr>
      <w:tr>
        <w:tc>
          <w:tcPr/>
          <w:p>
            <w:pPr>
              <w:pStyle w:val="Compact"/>
              <w:jc w:val="center"/>
            </w:pPr>
            <w:r>
              <w:t xml:space="preserve">Shan (South)</w:t>
            </w:r>
          </w:p>
        </w:tc>
        <w:tc>
          <w:tcPr/>
          <w:p>
            <w:pPr>
              <w:pStyle w:val="Compact"/>
              <w:jc w:val="center"/>
            </w:pPr>
            <w:r>
              <w:t xml:space="preserve">15,511</w:t>
            </w:r>
          </w:p>
        </w:tc>
        <w:tc>
          <w:tcPr/>
          <w:p>
            <w:pPr>
              <w:pStyle w:val="Compact"/>
              <w:jc w:val="center"/>
            </w:pPr>
            <w:r>
              <w:t xml:space="preserve">0.48</w:t>
            </w:r>
          </w:p>
        </w:tc>
        <w:tc>
          <w:tcPr/>
          <w:p>
            <w:pPr>
              <w:pStyle w:val="Compact"/>
              <w:jc w:val="center"/>
            </w:pPr>
            <w:r>
              <w:t xml:space="preserve">1,978</w:t>
            </w:r>
          </w:p>
        </w:tc>
        <w:tc>
          <w:tcPr/>
          <w:p>
            <w:pPr>
              <w:pStyle w:val="Compact"/>
              <w:jc w:val="center"/>
            </w:pPr>
            <w:r>
              <w:t xml:space="preserve">0.07</w:t>
            </w:r>
          </w:p>
        </w:tc>
        <w:tc>
          <w:tcPr/>
          <w:p>
            <w:pPr>
              <w:pStyle w:val="Compact"/>
              <w:jc w:val="center"/>
            </w:pPr>
            <w:r>
              <w:t xml:space="preserve">784.2</w:t>
            </w:r>
          </w:p>
        </w:tc>
        <w:tc>
          <w:tcPr/>
          <w:p>
            <w:pPr>
              <w:pStyle w:val="Compact"/>
              <w:jc w:val="center"/>
            </w:pPr>
            <w:r>
              <w:t xml:space="preserve">2,054</w:t>
            </w:r>
          </w:p>
        </w:tc>
      </w:tr>
      <w:tr>
        <w:tc>
          <w:tcPr/>
          <w:p>
            <w:pPr>
              <w:pStyle w:val="Compact"/>
              <w:jc w:val="center"/>
            </w:pPr>
            <w:r>
              <w:t xml:space="preserve">Bago (East)</w:t>
            </w:r>
          </w:p>
        </w:tc>
        <w:tc>
          <w:tcPr/>
          <w:p>
            <w:pPr>
              <w:pStyle w:val="Compact"/>
              <w:jc w:val="center"/>
            </w:pPr>
            <w:r>
              <w:t xml:space="preserve">12,974</w:t>
            </w:r>
          </w:p>
        </w:tc>
        <w:tc>
          <w:tcPr/>
          <w:p>
            <w:pPr>
              <w:pStyle w:val="Compact"/>
              <w:jc w:val="center"/>
            </w:pPr>
            <w:r>
              <w:t xml:space="preserve">0.4</w:t>
            </w:r>
          </w:p>
        </w:tc>
        <w:tc>
          <w:tcPr/>
          <w:p>
            <w:pPr>
              <w:pStyle w:val="Compact"/>
              <w:jc w:val="center"/>
            </w:pPr>
            <w:r>
              <w:t xml:space="preserve">2,513</w:t>
            </w:r>
          </w:p>
        </w:tc>
        <w:tc>
          <w:tcPr/>
          <w:p>
            <w:pPr>
              <w:pStyle w:val="Compact"/>
              <w:jc w:val="center"/>
            </w:pPr>
            <w:r>
              <w:t xml:space="preserve">0.09</w:t>
            </w:r>
          </w:p>
        </w:tc>
        <w:tc>
          <w:tcPr/>
          <w:p>
            <w:pPr>
              <w:pStyle w:val="Compact"/>
              <w:jc w:val="center"/>
            </w:pPr>
            <w:r>
              <w:t xml:space="preserve">516.3</w:t>
            </w:r>
          </w:p>
        </w:tc>
        <w:tc>
          <w:tcPr/>
          <w:p>
            <w:pPr>
              <w:pStyle w:val="Compact"/>
              <w:jc w:val="center"/>
            </w:pPr>
            <w:r>
              <w:t xml:space="preserve">2,513</w:t>
            </w:r>
          </w:p>
        </w:tc>
      </w:tr>
      <w:tr>
        <w:tc>
          <w:tcPr/>
          <w:p>
            <w:pPr>
              <w:pStyle w:val="Compact"/>
              <w:jc w:val="center"/>
            </w:pPr>
            <w:r>
              <w:t xml:space="preserve">Tanintharyi</w:t>
            </w:r>
          </w:p>
        </w:tc>
        <w:tc>
          <w:tcPr/>
          <w:p>
            <w:pPr>
              <w:pStyle w:val="Compact"/>
              <w:jc w:val="center"/>
            </w:pPr>
            <w:r>
              <w:t xml:space="preserve">4,476</w:t>
            </w:r>
          </w:p>
        </w:tc>
        <w:tc>
          <w:tcPr/>
          <w:p>
            <w:pPr>
              <w:pStyle w:val="Compact"/>
              <w:jc w:val="center"/>
            </w:pPr>
            <w:r>
              <w:t xml:space="preserve">0.14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Yangon and Rakhine form both 82% of the target and 78% of the beneficiaries reached. Mandalay has has the largest difference between targets and beneficiaries reached. There were five states (Ayeyarwady, Mon, Sagaing, Magway and Tanintharyi) where beneficiaries were reached but were not included as part of the 2021 target or PIN; however, the beneficiaries reached in these areas represent less than 5% of all beneficiaries reached. Additionally, targets have been exceeded in all states except Mandalay, with Kayin having reached 994% of its target of 6,855 persons.</w:t>
      </w:r>
    </w:p>
    <w:p>
      <w:pPr>
        <w:pStyle w:val="BodyText"/>
      </w:pPr>
      <w:r>
        <w:t xml:space="preserve">However, moving forward, the PIN for 2022 is much more evenly spread across the country: with reference to the plot below, Yangon, along with Magway and Mandalay have some of the lowest proportions of vulnerable persons in relation to the total state population, meaning that careful beneficiary selection and tight vulnerability in these areas will necessary to avoid excessive inclusion errors.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pin-vul-state-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4"/>
    <w:bookmarkStart w:id="26" w:name="X018ec1f07aed0c1309cfa6b25eff872b18ed737"/>
    <w:p>
      <w:pPr>
        <w:pStyle w:val="Heading3"/>
      </w:pPr>
      <w:r>
        <w:t xml:space="preserve">1.3 Township-level distribution of beneficiaries</w:t>
      </w:r>
    </w:p>
    <w:p>
      <w:pPr>
        <w:pStyle w:val="FirstParagraph"/>
      </w:pPr>
      <w:r>
        <w:t xml:space="preserve">Just as the response is heavily weighted towards Yangon and Rakhine at the state and region level, the same is also true at the township level. These 10 townships below are where 76% of all FSC beneficiaries have been reached, they represent 60% of the 2021 target. In particular, Hlaingtharya has beneficiary figures that are 378% of its target. Additionally, neither Nyaung-U nor Myingyan were targetted as part of the 2021 PIN despite being in the top 10 townships by beneficiaries reached – 82.68% of beneficiaries reached corresponded to townships with targets.</w:t>
      </w:r>
    </w:p>
    <w:p>
      <w:pPr>
        <w:pStyle w:val="TableCaption"/>
      </w:pPr>
      <w:r>
        <w:t xml:space="preserve">Top 10 townships by beneficiaries reached (desc) in 2021</w:t>
      </w:r>
    </w:p>
    <w:tbl>
      <w:tblPr>
        <w:tblStyle w:val="Table"/>
        <w:tblW w:type="pct" w:w="5000"/>
        <w:tblLook w:firstRow="1" w:lastRow="0" w:firstColumn="0" w:lastColumn="0" w:noHBand="0" w:noVBand="0" w:val="0020"/>
        <w:tblCaption w:val="Top 10 townships by beneficiaries reached (desc) in 2021"/>
      </w:tblPr>
      <w:tblGrid>
        <w:gridCol w:w="2080"/>
        <w:gridCol w:w="880"/>
        <w:gridCol w:w="1280"/>
        <w:gridCol w:w="880"/>
        <w:gridCol w:w="800"/>
        <w:gridCol w:w="1120"/>
        <w:gridCol w:w="880"/>
      </w:tblGrid>
      <w:tr>
        <w:trPr>
          <w:tblHeader w:val="true"/>
        </w:trPr>
        <w:tc>
          <w:tcPr/>
          <w:p>
            <w:pPr>
              <w:pStyle w:val="Compact"/>
              <w:jc w:val="center"/>
            </w:pPr>
            <w:r>
              <w:t xml:space="preserve">township</w:t>
            </w:r>
          </w:p>
        </w:tc>
        <w:tc>
          <w:tcPr/>
          <w:p>
            <w:pPr>
              <w:pStyle w:val="Compact"/>
              <w:jc w:val="center"/>
            </w:pPr>
            <w:r>
              <w:t xml:space="preserve">state</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target</w:t>
            </w:r>
          </w:p>
        </w:tc>
        <w:tc>
          <w:tcPr/>
          <w:p>
            <w:pPr>
              <w:pStyle w:val="Compact"/>
              <w:jc w:val="center"/>
            </w:pPr>
            <w:r>
              <w:t xml:space="preserve">%_of_target</w:t>
            </w:r>
          </w:p>
        </w:tc>
        <w:tc>
          <w:tcPr/>
          <w:p>
            <w:pPr>
              <w:pStyle w:val="Compact"/>
              <w:jc w:val="center"/>
            </w:pPr>
            <w:r>
              <w:t xml:space="preserve">%reached</w:t>
            </w:r>
          </w:p>
        </w:tc>
      </w:tr>
      <w:tr>
        <w:tc>
          <w:tcPr/>
          <w:p>
            <w:pPr>
              <w:pStyle w:val="Compact"/>
              <w:jc w:val="center"/>
            </w:pPr>
            <w:r>
              <w:t xml:space="preserve">Hlaingtharya</w:t>
            </w:r>
          </w:p>
        </w:tc>
        <w:tc>
          <w:tcPr/>
          <w:p>
            <w:pPr>
              <w:pStyle w:val="Compact"/>
              <w:jc w:val="center"/>
            </w:pPr>
            <w:r>
              <w:t xml:space="preserve">Yangon</w:t>
            </w:r>
          </w:p>
        </w:tc>
        <w:tc>
          <w:tcPr/>
          <w:p>
            <w:pPr>
              <w:pStyle w:val="Compact"/>
              <w:jc w:val="center"/>
            </w:pPr>
            <w:r>
              <w:t xml:space="preserve">772,658</w:t>
            </w:r>
          </w:p>
        </w:tc>
        <w:tc>
          <w:tcPr/>
          <w:p>
            <w:pPr>
              <w:pStyle w:val="Compact"/>
              <w:jc w:val="center"/>
            </w:pPr>
            <w:r>
              <w:t xml:space="preserve">23.69</w:t>
            </w:r>
          </w:p>
        </w:tc>
        <w:tc>
          <w:tcPr/>
          <w:p>
            <w:pPr>
              <w:pStyle w:val="Compact"/>
              <w:jc w:val="center"/>
            </w:pPr>
            <w:r>
              <w:t xml:space="preserve">204,542</w:t>
            </w:r>
          </w:p>
        </w:tc>
        <w:tc>
          <w:tcPr/>
          <w:p>
            <w:pPr>
              <w:pStyle w:val="Compact"/>
              <w:jc w:val="center"/>
            </w:pPr>
            <w:r>
              <w:t xml:space="preserve">9.32</w:t>
            </w:r>
          </w:p>
        </w:tc>
        <w:tc>
          <w:tcPr/>
          <w:p>
            <w:pPr>
              <w:pStyle w:val="Compact"/>
              <w:jc w:val="center"/>
            </w:pPr>
            <w:r>
              <w:t xml:space="preserve">377.8</w:t>
            </w:r>
          </w:p>
        </w:tc>
      </w:tr>
      <w:tr>
        <w:tc>
          <w:tcPr/>
          <w:p>
            <w:pPr>
              <w:pStyle w:val="Compact"/>
              <w:jc w:val="center"/>
            </w:pPr>
            <w:r>
              <w:t xml:space="preserve">Shwepyithar</w:t>
            </w:r>
          </w:p>
        </w:tc>
        <w:tc>
          <w:tcPr/>
          <w:p>
            <w:pPr>
              <w:pStyle w:val="Compact"/>
              <w:jc w:val="center"/>
            </w:pPr>
            <w:r>
              <w:t xml:space="preserve">Yangon</w:t>
            </w:r>
          </w:p>
        </w:tc>
        <w:tc>
          <w:tcPr/>
          <w:p>
            <w:pPr>
              <w:pStyle w:val="Compact"/>
              <w:jc w:val="center"/>
            </w:pPr>
            <w:r>
              <w:t xml:space="preserve">380,550</w:t>
            </w:r>
          </w:p>
        </w:tc>
        <w:tc>
          <w:tcPr/>
          <w:p>
            <w:pPr>
              <w:pStyle w:val="Compact"/>
              <w:jc w:val="center"/>
            </w:pPr>
            <w:r>
              <w:t xml:space="preserve">11.67</w:t>
            </w:r>
          </w:p>
        </w:tc>
        <w:tc>
          <w:tcPr/>
          <w:p>
            <w:pPr>
              <w:pStyle w:val="Compact"/>
              <w:jc w:val="center"/>
            </w:pPr>
            <w:r>
              <w:t xml:space="preserve">208,922</w:t>
            </w:r>
          </w:p>
        </w:tc>
        <w:tc>
          <w:tcPr/>
          <w:p>
            <w:pPr>
              <w:pStyle w:val="Compact"/>
              <w:jc w:val="center"/>
            </w:pPr>
            <w:r>
              <w:t xml:space="preserve">9.52</w:t>
            </w:r>
          </w:p>
        </w:tc>
        <w:tc>
          <w:tcPr/>
          <w:p>
            <w:pPr>
              <w:pStyle w:val="Compact"/>
              <w:jc w:val="center"/>
            </w:pPr>
            <w:r>
              <w:t xml:space="preserve">182.2</w:t>
            </w:r>
          </w:p>
        </w:tc>
      </w:tr>
      <w:tr>
        <w:tc>
          <w:tcPr/>
          <w:p>
            <w:pPr>
              <w:pStyle w:val="Compact"/>
              <w:jc w:val="center"/>
            </w:pPr>
            <w:r>
              <w:t xml:space="preserve">Dagon Myothit (Seikkan)</w:t>
            </w:r>
          </w:p>
        </w:tc>
        <w:tc>
          <w:tcPr/>
          <w:p>
            <w:pPr>
              <w:pStyle w:val="Compact"/>
              <w:jc w:val="center"/>
            </w:pPr>
            <w:r>
              <w:t xml:space="preserve">Yangon</w:t>
            </w:r>
          </w:p>
        </w:tc>
        <w:tc>
          <w:tcPr/>
          <w:p>
            <w:pPr>
              <w:pStyle w:val="Compact"/>
              <w:jc w:val="center"/>
            </w:pPr>
            <w:r>
              <w:t xml:space="preserve">276,430</w:t>
            </w:r>
          </w:p>
        </w:tc>
        <w:tc>
          <w:tcPr/>
          <w:p>
            <w:pPr>
              <w:pStyle w:val="Compact"/>
              <w:jc w:val="center"/>
            </w:pPr>
            <w:r>
              <w:t xml:space="preserve">8.48</w:t>
            </w:r>
          </w:p>
        </w:tc>
        <w:tc>
          <w:tcPr/>
          <w:p>
            <w:pPr>
              <w:pStyle w:val="Compact"/>
              <w:jc w:val="center"/>
            </w:pPr>
            <w:r>
              <w:t xml:space="preserve">199,242</w:t>
            </w:r>
          </w:p>
        </w:tc>
        <w:tc>
          <w:tcPr/>
          <w:p>
            <w:pPr>
              <w:pStyle w:val="Compact"/>
              <w:jc w:val="center"/>
            </w:pPr>
            <w:r>
              <w:t xml:space="preserve">9.08</w:t>
            </w:r>
          </w:p>
        </w:tc>
        <w:tc>
          <w:tcPr/>
          <w:p>
            <w:pPr>
              <w:pStyle w:val="Compact"/>
              <w:jc w:val="center"/>
            </w:pPr>
            <w:r>
              <w:t xml:space="preserve">138.7</w:t>
            </w:r>
          </w:p>
        </w:tc>
      </w:tr>
      <w:tr>
        <w:tc>
          <w:tcPr/>
          <w:p>
            <w:pPr>
              <w:pStyle w:val="Compact"/>
              <w:jc w:val="center"/>
            </w:pPr>
            <w:r>
              <w:t xml:space="preserve">Dala</w:t>
            </w:r>
          </w:p>
        </w:tc>
        <w:tc>
          <w:tcPr/>
          <w:p>
            <w:pPr>
              <w:pStyle w:val="Compact"/>
              <w:jc w:val="center"/>
            </w:pPr>
            <w:r>
              <w:t xml:space="preserve">Yangon</w:t>
            </w:r>
          </w:p>
        </w:tc>
        <w:tc>
          <w:tcPr/>
          <w:p>
            <w:pPr>
              <w:pStyle w:val="Compact"/>
              <w:jc w:val="center"/>
            </w:pPr>
            <w:r>
              <w:t xml:space="preserve">271,760</w:t>
            </w:r>
          </w:p>
        </w:tc>
        <w:tc>
          <w:tcPr/>
          <w:p>
            <w:pPr>
              <w:pStyle w:val="Compact"/>
              <w:jc w:val="center"/>
            </w:pPr>
            <w:r>
              <w:t xml:space="preserve">8.33</w:t>
            </w:r>
          </w:p>
        </w:tc>
        <w:tc>
          <w:tcPr/>
          <w:p>
            <w:pPr>
              <w:pStyle w:val="Compact"/>
              <w:jc w:val="center"/>
            </w:pPr>
            <w:r>
              <w:t xml:space="preserve">200,589</w:t>
            </w:r>
          </w:p>
        </w:tc>
        <w:tc>
          <w:tcPr/>
          <w:p>
            <w:pPr>
              <w:pStyle w:val="Compact"/>
              <w:jc w:val="center"/>
            </w:pPr>
            <w:r>
              <w:t xml:space="preserve">9.14</w:t>
            </w:r>
          </w:p>
        </w:tc>
        <w:tc>
          <w:tcPr/>
          <w:p>
            <w:pPr>
              <w:pStyle w:val="Compact"/>
              <w:jc w:val="center"/>
            </w:pPr>
            <w:r>
              <w:t xml:space="preserve">135.5</w:t>
            </w:r>
          </w:p>
        </w:tc>
      </w:tr>
      <w:tr>
        <w:tc>
          <w:tcPr/>
          <w:p>
            <w:pPr>
              <w:pStyle w:val="Compact"/>
              <w:jc w:val="center"/>
            </w:pPr>
            <w:r>
              <w:t xml:space="preserve">North Okkalapa</w:t>
            </w:r>
          </w:p>
        </w:tc>
        <w:tc>
          <w:tcPr/>
          <w:p>
            <w:pPr>
              <w:pStyle w:val="Compact"/>
              <w:jc w:val="center"/>
            </w:pPr>
            <w:r>
              <w:t xml:space="preserve">Yangon</w:t>
            </w:r>
          </w:p>
        </w:tc>
        <w:tc>
          <w:tcPr/>
          <w:p>
            <w:pPr>
              <w:pStyle w:val="Compact"/>
              <w:jc w:val="center"/>
            </w:pPr>
            <w:r>
              <w:t xml:space="preserve">255,380</w:t>
            </w:r>
          </w:p>
        </w:tc>
        <w:tc>
          <w:tcPr/>
          <w:p>
            <w:pPr>
              <w:pStyle w:val="Compact"/>
              <w:jc w:val="center"/>
            </w:pPr>
            <w:r>
              <w:t xml:space="preserve">7.83</w:t>
            </w:r>
          </w:p>
        </w:tc>
        <w:tc>
          <w:tcPr/>
          <w:p>
            <w:pPr>
              <w:pStyle w:val="Compact"/>
              <w:jc w:val="center"/>
            </w:pPr>
            <w:r>
              <w:t xml:space="preserve">190,909</w:t>
            </w:r>
          </w:p>
        </w:tc>
        <w:tc>
          <w:tcPr/>
          <w:p>
            <w:pPr>
              <w:pStyle w:val="Compact"/>
              <w:jc w:val="center"/>
            </w:pPr>
            <w:r>
              <w:t xml:space="preserve">8.7</w:t>
            </w:r>
          </w:p>
        </w:tc>
        <w:tc>
          <w:tcPr/>
          <w:p>
            <w:pPr>
              <w:pStyle w:val="Compact"/>
              <w:jc w:val="center"/>
            </w:pPr>
            <w:r>
              <w:t xml:space="preserve">133.8</w:t>
            </w:r>
          </w:p>
        </w:tc>
      </w:tr>
      <w:tr>
        <w:tc>
          <w:tcPr/>
          <w:p>
            <w:pPr>
              <w:pStyle w:val="Compact"/>
              <w:jc w:val="center"/>
            </w:pPr>
            <w:r>
              <w:t xml:space="preserve">Sittwe</w:t>
            </w:r>
          </w:p>
        </w:tc>
        <w:tc>
          <w:tcPr/>
          <w:p>
            <w:pPr>
              <w:pStyle w:val="Compact"/>
              <w:jc w:val="center"/>
            </w:pPr>
            <w:r>
              <w:t xml:space="preserve">Rakhine</w:t>
            </w:r>
          </w:p>
        </w:tc>
        <w:tc>
          <w:tcPr/>
          <w:p>
            <w:pPr>
              <w:pStyle w:val="Compact"/>
              <w:jc w:val="center"/>
            </w:pPr>
            <w:r>
              <w:t xml:space="preserve">149,885</w:t>
            </w:r>
          </w:p>
        </w:tc>
        <w:tc>
          <w:tcPr/>
          <w:p>
            <w:pPr>
              <w:pStyle w:val="Compact"/>
              <w:jc w:val="center"/>
            </w:pPr>
            <w:r>
              <w:t xml:space="preserve">4.6</w:t>
            </w:r>
          </w:p>
        </w:tc>
        <w:tc>
          <w:tcPr/>
          <w:p>
            <w:pPr>
              <w:pStyle w:val="Compact"/>
              <w:jc w:val="center"/>
            </w:pPr>
            <w:r>
              <w:t xml:space="preserve">127,750</w:t>
            </w:r>
          </w:p>
        </w:tc>
        <w:tc>
          <w:tcPr/>
          <w:p>
            <w:pPr>
              <w:pStyle w:val="Compact"/>
              <w:jc w:val="center"/>
            </w:pPr>
            <w:r>
              <w:t xml:space="preserve">5.82</w:t>
            </w:r>
          </w:p>
        </w:tc>
        <w:tc>
          <w:tcPr/>
          <w:p>
            <w:pPr>
              <w:pStyle w:val="Compact"/>
              <w:jc w:val="center"/>
            </w:pPr>
            <w:r>
              <w:t xml:space="preserve">117.3</w:t>
            </w:r>
          </w:p>
        </w:tc>
      </w:tr>
      <w:tr>
        <w:tc>
          <w:tcPr/>
          <w:p>
            <w:pPr>
              <w:pStyle w:val="Compact"/>
              <w:jc w:val="center"/>
            </w:pPr>
            <w:r>
              <w:t xml:space="preserve">Buthidaung</w:t>
            </w:r>
          </w:p>
        </w:tc>
        <w:tc>
          <w:tcPr/>
          <w:p>
            <w:pPr>
              <w:pStyle w:val="Compact"/>
              <w:jc w:val="center"/>
            </w:pPr>
            <w:r>
              <w:t xml:space="preserve">Rakhine</w:t>
            </w:r>
          </w:p>
        </w:tc>
        <w:tc>
          <w:tcPr/>
          <w:p>
            <w:pPr>
              <w:pStyle w:val="Compact"/>
              <w:jc w:val="center"/>
            </w:pPr>
            <w:r>
              <w:t xml:space="preserve">147,985</w:t>
            </w:r>
          </w:p>
        </w:tc>
        <w:tc>
          <w:tcPr/>
          <w:p>
            <w:pPr>
              <w:pStyle w:val="Compact"/>
              <w:jc w:val="center"/>
            </w:pPr>
            <w:r>
              <w:t xml:space="preserve">4.54</w:t>
            </w:r>
          </w:p>
        </w:tc>
        <w:tc>
          <w:tcPr/>
          <w:p>
            <w:pPr>
              <w:pStyle w:val="Compact"/>
              <w:jc w:val="center"/>
            </w:pPr>
            <w:r>
              <w:t xml:space="preserve">121,631</w:t>
            </w:r>
          </w:p>
        </w:tc>
        <w:tc>
          <w:tcPr/>
          <w:p>
            <w:pPr>
              <w:pStyle w:val="Compact"/>
              <w:jc w:val="center"/>
            </w:pPr>
            <w:r>
              <w:t xml:space="preserve">5.54</w:t>
            </w:r>
          </w:p>
        </w:tc>
        <w:tc>
          <w:tcPr/>
          <w:p>
            <w:pPr>
              <w:pStyle w:val="Compact"/>
              <w:jc w:val="center"/>
            </w:pPr>
            <w:r>
              <w:t xml:space="preserve">121.7</w:t>
            </w:r>
          </w:p>
        </w:tc>
      </w:tr>
      <w:tr>
        <w:tc>
          <w:tcPr/>
          <w:p>
            <w:pPr>
              <w:pStyle w:val="Compact"/>
              <w:jc w:val="center"/>
            </w:pPr>
            <w:r>
              <w:t xml:space="preserve">Maungdaw</w:t>
            </w:r>
          </w:p>
        </w:tc>
        <w:tc>
          <w:tcPr/>
          <w:p>
            <w:pPr>
              <w:pStyle w:val="Compact"/>
              <w:jc w:val="center"/>
            </w:pPr>
            <w:r>
              <w:t xml:space="preserve">Rakhine</w:t>
            </w:r>
          </w:p>
        </w:tc>
        <w:tc>
          <w:tcPr/>
          <w:p>
            <w:pPr>
              <w:pStyle w:val="Compact"/>
              <w:jc w:val="center"/>
            </w:pPr>
            <w:r>
              <w:t xml:space="preserve">121,432</w:t>
            </w:r>
          </w:p>
        </w:tc>
        <w:tc>
          <w:tcPr/>
          <w:p>
            <w:pPr>
              <w:pStyle w:val="Compact"/>
              <w:jc w:val="center"/>
            </w:pPr>
            <w:r>
              <w:t xml:space="preserve">3.72</w:t>
            </w:r>
          </w:p>
        </w:tc>
        <w:tc>
          <w:tcPr/>
          <w:p>
            <w:pPr>
              <w:pStyle w:val="Compact"/>
              <w:jc w:val="center"/>
            </w:pPr>
            <w:r>
              <w:t xml:space="preserve">71,360</w:t>
            </w:r>
          </w:p>
        </w:tc>
        <w:tc>
          <w:tcPr/>
          <w:p>
            <w:pPr>
              <w:pStyle w:val="Compact"/>
              <w:jc w:val="center"/>
            </w:pPr>
            <w:r>
              <w:t xml:space="preserve">3.25</w:t>
            </w:r>
          </w:p>
        </w:tc>
        <w:tc>
          <w:tcPr/>
          <w:p>
            <w:pPr>
              <w:pStyle w:val="Compact"/>
              <w:jc w:val="center"/>
            </w:pPr>
            <w:r>
              <w:t xml:space="preserve">170.2</w:t>
            </w:r>
          </w:p>
        </w:tc>
      </w:tr>
      <w:tr>
        <w:tc>
          <w:tcPr/>
          <w:p>
            <w:pPr>
              <w:pStyle w:val="Compact"/>
              <w:jc w:val="center"/>
            </w:pPr>
            <w:r>
              <w:t xml:space="preserve">Nyaung-U</w:t>
            </w:r>
          </w:p>
        </w:tc>
        <w:tc>
          <w:tcPr/>
          <w:p>
            <w:pPr>
              <w:pStyle w:val="Compact"/>
              <w:jc w:val="center"/>
            </w:pPr>
            <w:r>
              <w:t xml:space="preserve">Mandalay</w:t>
            </w:r>
          </w:p>
        </w:tc>
        <w:tc>
          <w:tcPr/>
          <w:p>
            <w:pPr>
              <w:pStyle w:val="Compact"/>
              <w:jc w:val="center"/>
            </w:pPr>
            <w:r>
              <w:t xml:space="preserve">71,547</w:t>
            </w:r>
          </w:p>
        </w:tc>
        <w:tc>
          <w:tcPr/>
          <w:p>
            <w:pPr>
              <w:pStyle w:val="Compact"/>
              <w:jc w:val="center"/>
            </w:pPr>
            <w:r>
              <w:t xml:space="preserve">2.19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r>
        <w:tc>
          <w:tcPr/>
          <w:p>
            <w:pPr>
              <w:pStyle w:val="Compact"/>
              <w:jc w:val="center"/>
            </w:pPr>
            <w:r>
              <w:t xml:space="preserve">Myingyan</w:t>
            </w:r>
          </w:p>
        </w:tc>
        <w:tc>
          <w:tcPr/>
          <w:p>
            <w:pPr>
              <w:pStyle w:val="Compact"/>
              <w:jc w:val="center"/>
            </w:pPr>
            <w:r>
              <w:t xml:space="preserve">Mandalay</w:t>
            </w:r>
          </w:p>
        </w:tc>
        <w:tc>
          <w:tcPr/>
          <w:p>
            <w:pPr>
              <w:pStyle w:val="Compact"/>
              <w:jc w:val="center"/>
            </w:pPr>
            <w:r>
              <w:t xml:space="preserve">46,608</w:t>
            </w:r>
          </w:p>
        </w:tc>
        <w:tc>
          <w:tcPr/>
          <w:p>
            <w:pPr>
              <w:pStyle w:val="Compact"/>
              <w:jc w:val="center"/>
            </w:pPr>
            <w:r>
              <w:t xml:space="preserve">1.43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NA</w:t>
            </w:r>
          </w:p>
        </w:tc>
      </w:tr>
    </w:tbl>
    <w:p>
      <w:pPr>
        <w:pStyle w:val="BodyText"/>
      </w:pPr>
    </w:p>
    <w:p>
      <w:pPr>
        <w:pStyle w:val="BodyText"/>
      </w:pPr>
      <w:r>
        <w:t xml:space="preserve">152 townships have been reached by food security activities in the first three-quarters of 2021. This is 42.7% the 330 townships in the country. It is also important to note that two townships – Hpapun in Kayin and Kyethi in Shan (South) have been targetted since the initial 2021 HRP, yet have not been reached by any FSC activities; 5 townships, overall, in either the HRP or IERP, have not benefitted from any FSC activities.</w:t>
      </w:r>
    </w:p>
    <w:p>
      <w:pPr>
        <w:pStyle w:val="BodyText"/>
      </w:pPr>
      <w:r>
        <w:t xml:space="preserve">Overall, 97.4% of the targetted population was reached. From the histogram below, we can see that overreach and under-reaching were very common – townships are commonly clustered at around 0% reached and also at 200% reached or more. Of the 50 townships reached in 2021; 28 townships reached more than 120% of their target, 3 reached between 100% and 119% of their target; 4 townships reached between 80% and 100% of their target; and 15 townships reached less than 80% of their target.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beneficiaries-hrp-target-reached-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26"/>
    <w:bookmarkStart w:id="28" w:name="locations"/>
    <w:p>
      <w:pPr>
        <w:pStyle w:val="Heading3"/>
      </w:pPr>
      <w:r>
        <w:t xml:space="preserve">1.4 Locations</w:t>
      </w:r>
    </w:p>
    <w:p>
      <w:pPr>
        <w:pStyle w:val="FirstParagraph"/>
      </w:pPr>
      <w:r>
        <w:t xml:space="preserve">Partners have responded in a total of 2500 locations across the country, with the vast majority of locations only having only one partner operating in them; the maximum number of partners in any location is 4. Of the 16041 rows reported in the 5Ws, only 211 did not report a specific location.</w:t>
      </w:r>
    </w:p>
    <w:p>
      <w:pPr>
        <w:pStyle w:val="BodyText"/>
      </w:pPr>
      <w:r>
        <w:t xml:space="preserve">Locations are classified into three groups – camps, industrial zones and villages/towns/wards:</w:t>
      </w:r>
    </w:p>
    <w:p>
      <w:pPr>
        <w:pStyle w:val="TableCaption"/>
      </w:pPr>
      <w:r>
        <w:t xml:space="preserve">Summary of location types</w:t>
      </w:r>
    </w:p>
    <w:tbl>
      <w:tblPr>
        <w:tblStyle w:val="Table"/>
        <w:tblW w:type="pct" w:w="5000"/>
        <w:tblLook w:firstRow="1" w:lastRow="0" w:firstColumn="0" w:lastColumn="0" w:noHBand="0" w:noVBand="0" w:val="0020"/>
        <w:tblCaption w:val="Summary of location types"/>
      </w:tblPr>
      <w:tblGrid>
        <w:gridCol w:w="1760"/>
        <w:gridCol w:w="1056"/>
        <w:gridCol w:w="1056"/>
        <w:gridCol w:w="1408"/>
        <w:gridCol w:w="1056"/>
        <w:gridCol w:w="1584"/>
      </w:tblGrid>
      <w:tr>
        <w:trPr>
          <w:tblHeader w:val="true"/>
        </w:trPr>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avg_ben_per_loc</w:t>
            </w:r>
          </w:p>
        </w:tc>
      </w:tr>
      <w:tr>
        <w:tc>
          <w:tcPr/>
          <w:p>
            <w:pPr>
              <w:pStyle w:val="Compact"/>
              <w:jc w:val="center"/>
            </w:pPr>
            <w:r>
              <w:t xml:space="preserve">village_ward_town</w:t>
            </w:r>
          </w:p>
        </w:tc>
        <w:tc>
          <w:tcPr/>
          <w:p>
            <w:pPr>
              <w:pStyle w:val="Compact"/>
              <w:jc w:val="center"/>
            </w:pPr>
            <w:r>
              <w:t xml:space="preserve">2,088</w:t>
            </w:r>
          </w:p>
        </w:tc>
        <w:tc>
          <w:tcPr/>
          <w:p>
            <w:pPr>
              <w:pStyle w:val="Compact"/>
              <w:jc w:val="center"/>
            </w:pPr>
            <w:r>
              <w:t xml:space="preserve">125</w:t>
            </w:r>
          </w:p>
        </w:tc>
        <w:tc>
          <w:tcPr/>
          <w:p>
            <w:pPr>
              <w:pStyle w:val="Compact"/>
              <w:jc w:val="center"/>
            </w:pPr>
            <w:r>
              <w:t xml:space="preserve">2,546,522</w:t>
            </w:r>
          </w:p>
        </w:tc>
        <w:tc>
          <w:tcPr/>
          <w:p>
            <w:pPr>
              <w:pStyle w:val="Compact"/>
              <w:jc w:val="center"/>
            </w:pPr>
            <w:r>
              <w:t xml:space="preserve">88.45</w:t>
            </w:r>
          </w:p>
        </w:tc>
        <w:tc>
          <w:tcPr/>
          <w:p>
            <w:pPr>
              <w:pStyle w:val="Compact"/>
              <w:jc w:val="center"/>
            </w:pPr>
            <w:r>
              <w:t xml:space="preserve">1,220</w:t>
            </w:r>
          </w:p>
        </w:tc>
      </w:tr>
      <w:tr>
        <w:tc>
          <w:tcPr/>
          <w:p>
            <w:pPr>
              <w:pStyle w:val="Compact"/>
              <w:jc w:val="center"/>
            </w:pPr>
            <w:r>
              <w:t xml:space="preserve">camp</w:t>
            </w:r>
          </w:p>
        </w:tc>
        <w:tc>
          <w:tcPr/>
          <w:p>
            <w:pPr>
              <w:pStyle w:val="Compact"/>
              <w:jc w:val="center"/>
            </w:pPr>
            <w:r>
              <w:t xml:space="preserve">435</w:t>
            </w:r>
          </w:p>
        </w:tc>
        <w:tc>
          <w:tcPr/>
          <w:p>
            <w:pPr>
              <w:pStyle w:val="Compact"/>
              <w:jc w:val="center"/>
            </w:pPr>
            <w:r>
              <w:t xml:space="preserve">42</w:t>
            </w:r>
          </w:p>
        </w:tc>
        <w:tc>
          <w:tcPr/>
          <w:p>
            <w:pPr>
              <w:pStyle w:val="Compact"/>
              <w:jc w:val="center"/>
            </w:pPr>
            <w:r>
              <w:t xml:space="preserve">324,606</w:t>
            </w:r>
          </w:p>
        </w:tc>
        <w:tc>
          <w:tcPr/>
          <w:p>
            <w:pPr>
              <w:pStyle w:val="Compact"/>
              <w:jc w:val="center"/>
            </w:pPr>
            <w:r>
              <w:t xml:space="preserve">11.27</w:t>
            </w:r>
          </w:p>
        </w:tc>
        <w:tc>
          <w:tcPr/>
          <w:p>
            <w:pPr>
              <w:pStyle w:val="Compact"/>
              <w:jc w:val="center"/>
            </w:pPr>
            <w:r>
              <w:t xml:space="preserve">746</w:t>
            </w:r>
          </w:p>
        </w:tc>
      </w:tr>
      <w:tr>
        <w:tc>
          <w:tcPr/>
          <w:p>
            <w:pPr>
              <w:pStyle w:val="Compact"/>
              <w:jc w:val="center"/>
            </w:pPr>
            <w:r>
              <w:t xml:space="preserve">industrial_zone</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7,870</w:t>
            </w:r>
          </w:p>
        </w:tc>
        <w:tc>
          <w:tcPr/>
          <w:p>
            <w:pPr>
              <w:pStyle w:val="Compact"/>
              <w:jc w:val="center"/>
            </w:pPr>
            <w:r>
              <w:t xml:space="preserve">0.27</w:t>
            </w:r>
          </w:p>
        </w:tc>
        <w:tc>
          <w:tcPr/>
          <w:p>
            <w:pPr>
              <w:pStyle w:val="Compact"/>
              <w:jc w:val="center"/>
            </w:pPr>
            <w:r>
              <w:t xml:space="preserve">1,574</w:t>
            </w:r>
          </w:p>
        </w:tc>
      </w:tr>
    </w:tbl>
    <w:p>
      <w:pPr>
        <w:pStyle w:val="BodyText"/>
      </w:pPr>
    </w:p>
    <w:p>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peak around 100 beneficiaries per locations; and a slight majority of locations with two partners have more than 1,000 beneficiaries.</w:t>
      </w: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histogram-locations-by-partner-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more partners operating in a given location, the higher the average number of beneficiaries; however, it should be noted that these multi-partner locations are comparatively rare. The location with four partners is Nam Hlaing in Bhamo, Kachin.</w:t>
      </w:r>
    </w:p>
    <w:p>
      <w:pPr>
        <w:pStyle w:val="TableCaption"/>
      </w:pPr>
      <w:r>
        <w:t xml:space="preserve">Average beneficiaries by locations with one, two, three and four partners</w:t>
      </w:r>
    </w:p>
    <w:tbl>
      <w:tblPr>
        <w:tblStyle w:val="Table"/>
        <w:tblW w:type="pct" w:w="3681"/>
        <w:tblLook w:firstRow="1" w:lastRow="0" w:firstColumn="0" w:lastColumn="0" w:noHBand="0" w:noVBand="0" w:val="0020"/>
        <w:tblCaption w:val="Average beneficiaries by locations with one, two, three and four partners"/>
      </w:tblPr>
      <w:tblGrid>
        <w:gridCol w:w="2310"/>
        <w:gridCol w:w="1320"/>
        <w:gridCol w:w="2200"/>
      </w:tblGrid>
      <w:tr>
        <w:trPr>
          <w:tblHeader w:val="true"/>
        </w:trPr>
        <w:tc>
          <w:tcPr/>
          <w:p>
            <w:pPr>
              <w:pStyle w:val="Compact"/>
              <w:jc w:val="center"/>
            </w:pPr>
            <w:r>
              <w:t xml:space="preserve">number_of_partners</w:t>
            </w:r>
          </w:p>
        </w:tc>
        <w:tc>
          <w:tcPr/>
          <w:p>
            <w:pPr>
              <w:pStyle w:val="Compact"/>
              <w:jc w:val="center"/>
            </w:pPr>
            <w:r>
              <w:t xml:space="preserve">locations</w:t>
            </w:r>
          </w:p>
        </w:tc>
        <w:tc>
          <w:tcPr/>
          <w:p>
            <w:pPr>
              <w:pStyle w:val="Compact"/>
              <w:jc w:val="center"/>
            </w:pPr>
            <w:r>
              <w:t xml:space="preserve">avg_beneficiaries</w:t>
            </w:r>
          </w:p>
        </w:tc>
      </w:tr>
      <w:tr>
        <w:tc>
          <w:tcPr/>
          <w:p>
            <w:pPr>
              <w:pStyle w:val="Compact"/>
              <w:jc w:val="center"/>
            </w:pPr>
            <w:r>
              <w:t xml:space="preserve">one</w:t>
            </w:r>
          </w:p>
        </w:tc>
        <w:tc>
          <w:tcPr/>
          <w:p>
            <w:pPr>
              <w:pStyle w:val="Compact"/>
              <w:jc w:val="center"/>
            </w:pPr>
            <w:r>
              <w:t xml:space="preserve">2,396</w:t>
            </w:r>
          </w:p>
        </w:tc>
        <w:tc>
          <w:tcPr/>
          <w:p>
            <w:pPr>
              <w:pStyle w:val="Compact"/>
              <w:jc w:val="center"/>
            </w:pPr>
            <w:r>
              <w:t xml:space="preserve">142</w:t>
            </w:r>
          </w:p>
        </w:tc>
      </w:tr>
      <w:tr>
        <w:tc>
          <w:tcPr/>
          <w:p>
            <w:pPr>
              <w:pStyle w:val="Compact"/>
              <w:jc w:val="center"/>
            </w:pPr>
            <w:r>
              <w:t xml:space="preserve">two</w:t>
            </w:r>
          </w:p>
        </w:tc>
        <w:tc>
          <w:tcPr/>
          <w:p>
            <w:pPr>
              <w:pStyle w:val="Compact"/>
              <w:jc w:val="center"/>
            </w:pPr>
            <w:r>
              <w:t xml:space="preserve">110</w:t>
            </w:r>
          </w:p>
        </w:tc>
        <w:tc>
          <w:tcPr/>
          <w:p>
            <w:pPr>
              <w:pStyle w:val="Compact"/>
              <w:jc w:val="center"/>
            </w:pPr>
            <w:r>
              <w:t xml:space="preserve">930</w:t>
            </w:r>
          </w:p>
        </w:tc>
      </w:tr>
      <w:tr>
        <w:tc>
          <w:tcPr/>
          <w:p>
            <w:pPr>
              <w:pStyle w:val="Compact"/>
              <w:jc w:val="center"/>
            </w:pPr>
            <w:r>
              <w:t xml:space="preserve">three</w:t>
            </w:r>
          </w:p>
        </w:tc>
        <w:tc>
          <w:tcPr/>
          <w:p>
            <w:pPr>
              <w:pStyle w:val="Compact"/>
              <w:jc w:val="center"/>
            </w:pPr>
            <w:r>
              <w:t xml:space="preserve">12</w:t>
            </w:r>
          </w:p>
        </w:tc>
        <w:tc>
          <w:tcPr/>
          <w:p>
            <w:pPr>
              <w:pStyle w:val="Compact"/>
              <w:jc w:val="center"/>
            </w:pPr>
            <w:r>
              <w:t xml:space="preserve">2,258</w:t>
            </w:r>
          </w:p>
        </w:tc>
      </w:tr>
      <w:tr>
        <w:tc>
          <w:tcPr/>
          <w:p>
            <w:pPr>
              <w:pStyle w:val="Compact"/>
              <w:jc w:val="center"/>
            </w:pPr>
            <w:r>
              <w:t xml:space="preserve">four</w:t>
            </w:r>
          </w:p>
        </w:tc>
        <w:tc>
          <w:tcPr/>
          <w:p>
            <w:pPr>
              <w:pStyle w:val="Compact"/>
              <w:jc w:val="center"/>
            </w:pPr>
            <w:r>
              <w:t xml:space="preserve">1</w:t>
            </w:r>
          </w:p>
        </w:tc>
        <w:tc>
          <w:tcPr/>
          <w:p>
            <w:pPr>
              <w:pStyle w:val="Compact"/>
              <w:jc w:val="center"/>
            </w:pPr>
            <w:r>
              <w:t xml:space="preserve">49</w:t>
            </w:r>
          </w:p>
        </w:tc>
      </w:tr>
    </w:tbl>
    <w:p>
      <w:pPr>
        <w:pStyle w:val="BodyText"/>
      </w:pPr>
    </w:p>
    <w:bookmarkEnd w:id="28"/>
    <w:bookmarkEnd w:id="29"/>
    <w:bookmarkStart w:id="37" w:name="activities-and-modalities"/>
    <w:p>
      <w:pPr>
        <w:pStyle w:val="Heading2"/>
      </w:pPr>
      <w:r>
        <w:t xml:space="preserve">2. Activities and modalities</w:t>
      </w:r>
    </w:p>
    <w:bookmarkStart w:id="31" w:name="progress-by-activity"/>
    <w:p>
      <w:pPr>
        <w:pStyle w:val="Heading3"/>
      </w:pPr>
      <w:r>
        <w:t xml:space="preserve">2.1 Progress by activity</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line-plot-facet-activity-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Partners reported their achievements across the eight 5W activities. We see that the majority of the caseload for monthly cash-based transfers was established prior to 2021 (with the number of beneficiaries only increasing very incrementally across the course of the year) – this aligns with our understanding that many of the projects contributing to this activity were multi-year in nature and had been ongoing prior to the HRP; this pattern is also apparent in the provision of technical training.</w:t>
      </w:r>
    </w:p>
    <w:p>
      <w:pPr>
        <w:pStyle w:val="BodyText"/>
      </w:pPr>
      <w:r>
        <w:t xml:space="preserve">One of the difficulties of interpreting these data is that it is not always apparent where the patterns observed are reflective or changes in the field (such as changes in access, funding or staffing) or if they are instead due to partners’ reporting behaviours. We note, for instance, a large jump in the number of beneficiaries for fishery kits and food baskets around July 2021 – this was due to the newly-approved addendum to the HRP. However, some of the other changes are less clear and will require careful exploration with partners.</w:t>
      </w:r>
    </w:p>
    <w:p>
      <w:pPr>
        <w:pStyle w:val="BodyText"/>
      </w:pPr>
    </w:p>
    <w:bookmarkEnd w:id="31"/>
    <w:bookmarkStart w:id="33" w:name="delivery-modalilties"/>
    <w:p>
      <w:pPr>
        <w:pStyle w:val="Heading3"/>
      </w:pPr>
      <w:r>
        <w:t xml:space="preserve">2.2 Delivery modalilties</w:t>
      </w:r>
    </w:p>
    <w:p>
      <w:pPr>
        <w:pStyle w:val="FirstParagraph"/>
      </w:pPr>
      <w:r>
        <w:t xml:space="preserve">Cash and in-kind distributions were each the main delivery modality in three activities, with the provision of services and support being predominant in two. The in-kind modality has the highest reach, given the especially large beneficiary numbers originating from the provision of monthly food baskets. We also note several misclassifications – small portions of monthly cash transfers have been coded as</w:t>
      </w:r>
      <w:r>
        <w:t xml:space="preserve"> </w:t>
      </w:r>
      <w:r>
        <w:t xml:space="preserve">“</w:t>
      </w:r>
      <w:r>
        <w:t xml:space="preserve">in-kind</w:t>
      </w:r>
      <w:r>
        <w:t xml:space="preserve">”</w:t>
      </w:r>
      <w:r>
        <w:t xml:space="preserve"> </w:t>
      </w:r>
      <w:r>
        <w:t xml:space="preserve">and there are in-kind food baskets coded as</w:t>
      </w:r>
      <w:r>
        <w:t xml:space="preserve"> </w:t>
      </w:r>
      <w:r>
        <w:t xml:space="preserve">“</w:t>
      </w:r>
      <w:r>
        <w:t xml:space="preserve">cash</w:t>
      </w:r>
      <w:r>
        <w:t xml:space="preserve">”</w:t>
      </w:r>
      <w:r>
        <w:t xml:space="preserve"> </w:t>
      </w:r>
      <w:r>
        <w:t xml:space="preserve">and</w:t>
      </w:r>
      <w:r>
        <w:t xml:space="preserve"> </w:t>
      </w:r>
      <w:r>
        <w:t xml:space="preserve">“</w:t>
      </w:r>
      <w:r>
        <w:t xml:space="preserve">hybrid</w:t>
      </w:r>
      <w:r>
        <w:t xml:space="preserve">”</w:t>
      </w:r>
      <w:r>
        <w:t xml:space="preserve">. It might also be worth more clearly delineating between</w:t>
      </w:r>
      <w:r>
        <w:t xml:space="preserve"> </w:t>
      </w:r>
      <w:r>
        <w:t xml:space="preserve">“</w:t>
      </w:r>
      <w:r>
        <w:t xml:space="preserve">support for income-generating activities</w:t>
      </w:r>
      <w:r>
        <w:t xml:space="preserve">”</w:t>
      </w:r>
      <w:r>
        <w:t xml:space="preserve"> </w:t>
      </w:r>
      <w:r>
        <w:t xml:space="preserve">and the</w:t>
      </w:r>
      <w:r>
        <w:t xml:space="preserve"> </w:t>
      </w:r>
      <w:r>
        <w:t xml:space="preserve">“</w:t>
      </w:r>
      <w:r>
        <w:t xml:space="preserve">provision of technical training</w:t>
      </w:r>
      <w:r>
        <w:t xml:space="preserve">”</w:t>
      </w:r>
      <w:r>
        <w:t xml:space="preserve"> </w:t>
      </w:r>
      <w:r>
        <w:t xml:space="preserve">as service delivery and support are heavily present in both.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activity-modality-1.png" id="0"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61% of beneficiary frequencies received support through the in-kind delivery modality; we use beneficiary frequencies here as there were several instances of modalities changing partway through an intervention: for reference, 83% of beneficiaries were reached initially with in-kind interventions, meaning that there was a tendency to diversify away from in-kind support over 2021. 25% of beneficiary frequencies were reached by cash transfers.</w:t>
      </w:r>
    </w:p>
    <w:p>
      <w:pPr>
        <w:pStyle w:val="BodyText"/>
      </w:pPr>
    </w:p>
    <w:p>
      <w:pPr>
        <w:pStyle w:val="TableCaption"/>
      </w:pPr>
      <w:r>
        <w:t xml:space="preserve">Beneficiary frequencies by delivery modalities and frequency of distribution</w:t>
      </w:r>
    </w:p>
    <w:tbl>
      <w:tblPr>
        <w:tblStyle w:val="Table"/>
        <w:tblW w:type="pct" w:w="5000"/>
        <w:tblLook w:firstRow="1" w:lastRow="0" w:firstColumn="0" w:lastColumn="0" w:noHBand="0" w:noVBand="0" w:val="0020"/>
        <w:tblCaption w:val="Beneficiary frequencies by delivery modalities and frequency of distribution"/>
      </w:tblPr>
      <w:tblGrid>
        <w:gridCol w:w="2096"/>
        <w:gridCol w:w="776"/>
        <w:gridCol w:w="931"/>
        <w:gridCol w:w="776"/>
        <w:gridCol w:w="931"/>
        <w:gridCol w:w="776"/>
        <w:gridCol w:w="931"/>
        <w:gridCol w:w="698"/>
      </w:tblGrid>
      <w:tr>
        <w:trPr>
          <w:tblHeader w:val="true"/>
        </w:trPr>
        <w:tc>
          <w:tcPr/>
          <w:p>
            <w:pPr>
              <w:pStyle w:val="Compact"/>
              <w:jc w:val="center"/>
            </w:pPr>
            <w:r>
              <w:t xml:space="preserve">delivery_modality</w:t>
            </w:r>
          </w:p>
        </w:tc>
        <w:tc>
          <w:tcPr/>
          <w:p>
            <w:pPr>
              <w:pStyle w:val="Compact"/>
              <w:jc w:val="center"/>
            </w:pPr>
            <w:r>
              <w:t xml:space="preserve">First</w:t>
            </w:r>
          </w:p>
        </w:tc>
        <w:tc>
          <w:tcPr/>
          <w:p>
            <w:pPr>
              <w:pStyle w:val="Compact"/>
              <w:jc w:val="center"/>
            </w:pPr>
            <w:r>
              <w:t xml:space="preserve">Monthly</w:t>
            </w:r>
          </w:p>
        </w:tc>
        <w:tc>
          <w:tcPr/>
          <w:p>
            <w:pPr>
              <w:pStyle w:val="Compact"/>
              <w:jc w:val="center"/>
            </w:pPr>
            <w:r>
              <w:t xml:space="preserve">One-off</w:t>
            </w:r>
          </w:p>
        </w:tc>
        <w:tc>
          <w:tcPr/>
          <w:p>
            <w:pPr>
              <w:pStyle w:val="Compact"/>
              <w:jc w:val="center"/>
            </w:pPr>
            <w:r>
              <w:t xml:space="preserve">Other</w:t>
            </w:r>
          </w:p>
        </w:tc>
        <w:tc>
          <w:tcPr/>
          <w:p>
            <w:pPr>
              <w:pStyle w:val="Compact"/>
              <w:jc w:val="center"/>
            </w:pPr>
            <w:r>
              <w:t xml:space="preserve">NA</w:t>
            </w:r>
          </w:p>
        </w:tc>
        <w:tc>
          <w:tcPr/>
          <w:p>
            <w:pPr>
              <w:pStyle w:val="Compact"/>
              <w:jc w:val="center"/>
            </w:pPr>
            <w:r>
              <w:t xml:space="preserve">Total</w:t>
            </w:r>
          </w:p>
        </w:tc>
        <w:tc>
          <w:tcPr/>
          <w:p>
            <w:pPr>
              <w:pStyle w:val="Compact"/>
              <w:jc w:val="center"/>
            </w:pPr>
            <w:r>
              <w:t xml:space="preserve">%Total</w:t>
            </w:r>
          </w:p>
        </w:tc>
      </w:tr>
      <w:tr>
        <w:tc>
          <w:tcPr/>
          <w:p>
            <w:pPr>
              <w:pStyle w:val="Compact"/>
              <w:jc w:val="center"/>
            </w:pPr>
            <w:r>
              <w:t xml:space="preserve">In-kind</w:t>
            </w:r>
          </w:p>
        </w:tc>
        <w:tc>
          <w:tcPr/>
          <w:p>
            <w:pPr>
              <w:pStyle w:val="Compact"/>
              <w:jc w:val="center"/>
            </w:pPr>
            <w:r>
              <w:t xml:space="preserve">303,595</w:t>
            </w:r>
          </w:p>
        </w:tc>
        <w:tc>
          <w:tcPr/>
          <w:p>
            <w:pPr>
              <w:pStyle w:val="Compact"/>
              <w:jc w:val="center"/>
            </w:pPr>
            <w:r>
              <w:t xml:space="preserve">1,850,712</w:t>
            </w:r>
          </w:p>
        </w:tc>
        <w:tc>
          <w:tcPr/>
          <w:p>
            <w:pPr>
              <w:pStyle w:val="Compact"/>
              <w:jc w:val="center"/>
            </w:pPr>
            <w:r>
              <w:t xml:space="preserve">509,892</w:t>
            </w:r>
          </w:p>
        </w:tc>
        <w:tc>
          <w:tcPr/>
          <w:p>
            <w:pPr>
              <w:pStyle w:val="Compact"/>
              <w:jc w:val="center"/>
            </w:pPr>
            <w:r>
              <w:t xml:space="preserve">2,773,854</w:t>
            </w:r>
          </w:p>
        </w:tc>
        <w:tc>
          <w:tcPr/>
          <w:p>
            <w:pPr>
              <w:pStyle w:val="Compact"/>
              <w:jc w:val="center"/>
            </w:pPr>
            <w:r>
              <w:t xml:space="preserve">111,839</w:t>
            </w:r>
          </w:p>
        </w:tc>
        <w:tc>
          <w:tcPr/>
          <w:p>
            <w:pPr>
              <w:pStyle w:val="Compact"/>
              <w:jc w:val="center"/>
            </w:pPr>
            <w:r>
              <w:t xml:space="preserve">5,549,892</w:t>
            </w:r>
          </w:p>
        </w:tc>
        <w:tc>
          <w:tcPr/>
          <w:p>
            <w:pPr>
              <w:pStyle w:val="Compact"/>
              <w:jc w:val="center"/>
            </w:pPr>
            <w:r>
              <w:t xml:space="preserve">61.36</w:t>
            </w:r>
          </w:p>
        </w:tc>
      </w:tr>
      <w:tr>
        <w:tc>
          <w:tcPr/>
          <w:p>
            <w:pPr>
              <w:pStyle w:val="Compact"/>
              <w:jc w:val="center"/>
            </w:pPr>
            <w:r>
              <w:t xml:space="preserve">Cash</w:t>
            </w:r>
          </w:p>
        </w:tc>
        <w:tc>
          <w:tcPr/>
          <w:p>
            <w:pPr>
              <w:pStyle w:val="Compact"/>
              <w:jc w:val="center"/>
            </w:pPr>
            <w:r>
              <w:t xml:space="preserve">894</w:t>
            </w:r>
          </w:p>
        </w:tc>
        <w:tc>
          <w:tcPr/>
          <w:p>
            <w:pPr>
              <w:pStyle w:val="Compact"/>
              <w:jc w:val="center"/>
            </w:pPr>
            <w:r>
              <w:t xml:space="preserve">1,923,133</w:t>
            </w:r>
          </w:p>
        </w:tc>
        <w:tc>
          <w:tcPr/>
          <w:p>
            <w:pPr>
              <w:pStyle w:val="Compact"/>
              <w:jc w:val="center"/>
            </w:pPr>
            <w:r>
              <w:t xml:space="preserve">176,464</w:t>
            </w:r>
          </w:p>
        </w:tc>
        <w:tc>
          <w:tcPr/>
          <w:p>
            <w:pPr>
              <w:pStyle w:val="Compact"/>
              <w:jc w:val="center"/>
            </w:pPr>
            <w:r>
              <w:t xml:space="preserve">40,274</w:t>
            </w:r>
          </w:p>
        </w:tc>
        <w:tc>
          <w:tcPr/>
          <w:p>
            <w:pPr>
              <w:pStyle w:val="Compact"/>
              <w:jc w:val="center"/>
            </w:pPr>
            <w:r>
              <w:t xml:space="preserve">117,525</w:t>
            </w:r>
          </w:p>
        </w:tc>
        <w:tc>
          <w:tcPr/>
          <w:p>
            <w:pPr>
              <w:pStyle w:val="Compact"/>
              <w:jc w:val="center"/>
            </w:pPr>
            <w:r>
              <w:t xml:space="preserve">2,258,290</w:t>
            </w:r>
          </w:p>
        </w:tc>
        <w:tc>
          <w:tcPr/>
          <w:p>
            <w:pPr>
              <w:pStyle w:val="Compact"/>
              <w:jc w:val="center"/>
            </w:pPr>
            <w:r>
              <w:t xml:space="preserve">24.97</w:t>
            </w:r>
          </w:p>
        </w:tc>
      </w:tr>
      <w:tr>
        <w:tc>
          <w:tcPr/>
          <w:p>
            <w:pPr>
              <w:pStyle w:val="Compact"/>
              <w:jc w:val="center"/>
            </w:pPr>
            <w:r>
              <w:t xml:space="preserve">Service delivery/support</w:t>
            </w:r>
          </w:p>
        </w:tc>
        <w:tc>
          <w:tcPr/>
          <w:p>
            <w:pPr>
              <w:pStyle w:val="Compact"/>
              <w:jc w:val="center"/>
            </w:pPr>
            <w:r>
              <w:t xml:space="preserve">NA</w:t>
            </w:r>
          </w:p>
        </w:tc>
        <w:tc>
          <w:tcPr/>
          <w:p>
            <w:pPr>
              <w:pStyle w:val="Compact"/>
              <w:jc w:val="center"/>
            </w:pPr>
            <w:r>
              <w:t xml:space="preserve">773,212</w:t>
            </w:r>
          </w:p>
        </w:tc>
        <w:tc>
          <w:tcPr/>
          <w:p>
            <w:pPr>
              <w:pStyle w:val="Compact"/>
              <w:jc w:val="center"/>
            </w:pPr>
            <w:r>
              <w:t xml:space="preserve">128,852</w:t>
            </w:r>
          </w:p>
        </w:tc>
        <w:tc>
          <w:tcPr/>
          <w:p>
            <w:pPr>
              <w:pStyle w:val="Compact"/>
              <w:jc w:val="center"/>
            </w:pPr>
            <w:r>
              <w:t xml:space="preserve">4,901</w:t>
            </w:r>
          </w:p>
        </w:tc>
        <w:tc>
          <w:tcPr/>
          <w:p>
            <w:pPr>
              <w:pStyle w:val="Compact"/>
              <w:jc w:val="center"/>
            </w:pPr>
            <w:r>
              <w:t xml:space="preserve">767</w:t>
            </w:r>
          </w:p>
        </w:tc>
        <w:tc>
          <w:tcPr/>
          <w:p>
            <w:pPr>
              <w:pStyle w:val="Compact"/>
              <w:jc w:val="center"/>
            </w:pPr>
            <w:r>
              <w:t xml:space="preserve">907,732</w:t>
            </w:r>
          </w:p>
        </w:tc>
        <w:tc>
          <w:tcPr/>
          <w:p>
            <w:pPr>
              <w:pStyle w:val="Compact"/>
              <w:jc w:val="center"/>
            </w:pPr>
            <w:r>
              <w:t xml:space="preserve">10.04</w:t>
            </w:r>
          </w:p>
        </w:tc>
      </w:tr>
      <w:tr>
        <w:tc>
          <w:tcPr/>
          <w:p>
            <w:pPr>
              <w:pStyle w:val="Compact"/>
              <w:jc w:val="center"/>
            </w:pPr>
            <w:r>
              <w:t xml:space="preserve">Hybrid (In-kind &amp; Cash)</w:t>
            </w:r>
          </w:p>
        </w:tc>
        <w:tc>
          <w:tcPr/>
          <w:p>
            <w:pPr>
              <w:pStyle w:val="Compact"/>
              <w:jc w:val="center"/>
            </w:pPr>
            <w:r>
              <w:t xml:space="preserve">NA</w:t>
            </w:r>
          </w:p>
        </w:tc>
        <w:tc>
          <w:tcPr/>
          <w:p>
            <w:pPr>
              <w:pStyle w:val="Compact"/>
              <w:jc w:val="center"/>
            </w:pPr>
            <w:r>
              <w:t xml:space="preserve">295,312</w:t>
            </w:r>
          </w:p>
        </w:tc>
        <w:tc>
          <w:tcPr/>
          <w:p>
            <w:pPr>
              <w:pStyle w:val="Compact"/>
              <w:jc w:val="center"/>
            </w:pPr>
            <w:r>
              <w:t xml:space="preserve">2,938</w:t>
            </w:r>
          </w:p>
        </w:tc>
        <w:tc>
          <w:tcPr/>
          <w:p>
            <w:pPr>
              <w:pStyle w:val="Compact"/>
              <w:jc w:val="center"/>
            </w:pPr>
            <w:r>
              <w:t xml:space="preserve">10,810</w:t>
            </w:r>
          </w:p>
        </w:tc>
        <w:tc>
          <w:tcPr/>
          <w:p>
            <w:pPr>
              <w:pStyle w:val="Compact"/>
              <w:jc w:val="center"/>
            </w:pPr>
            <w:r>
              <w:t xml:space="preserve">NA</w:t>
            </w:r>
          </w:p>
        </w:tc>
        <w:tc>
          <w:tcPr/>
          <w:p>
            <w:pPr>
              <w:pStyle w:val="Compact"/>
              <w:jc w:val="center"/>
            </w:pPr>
            <w:r>
              <w:t xml:space="preserve">309,060</w:t>
            </w:r>
          </w:p>
        </w:tc>
        <w:tc>
          <w:tcPr/>
          <w:p>
            <w:pPr>
              <w:pStyle w:val="Compact"/>
              <w:jc w:val="center"/>
            </w:pPr>
            <w:r>
              <w:t xml:space="preserve">3.42</w:t>
            </w:r>
          </w:p>
        </w:tc>
      </w:tr>
      <w:tr>
        <w:tc>
          <w:tcPr/>
          <w:p>
            <w:pPr>
              <w:pStyle w:val="Compact"/>
              <w:jc w:val="center"/>
            </w:pPr>
            <w:r>
              <w:t xml:space="preserv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2,652</w:t>
            </w:r>
          </w:p>
        </w:tc>
        <w:tc>
          <w:tcPr/>
          <w:p>
            <w:pPr>
              <w:pStyle w:val="Compact"/>
              <w:jc w:val="center"/>
            </w:pPr>
            <w:r>
              <w:t xml:space="preserve">16,519</w:t>
            </w:r>
          </w:p>
        </w:tc>
        <w:tc>
          <w:tcPr/>
          <w:p>
            <w:pPr>
              <w:pStyle w:val="Compact"/>
              <w:jc w:val="center"/>
            </w:pPr>
            <w:r>
              <w:t xml:space="preserve">NA</w:t>
            </w:r>
          </w:p>
        </w:tc>
        <w:tc>
          <w:tcPr/>
          <w:p>
            <w:pPr>
              <w:pStyle w:val="Compact"/>
              <w:jc w:val="center"/>
            </w:pPr>
            <w:r>
              <w:t xml:space="preserve">19,171</w:t>
            </w:r>
          </w:p>
        </w:tc>
        <w:tc>
          <w:tcPr/>
          <w:p>
            <w:pPr>
              <w:pStyle w:val="Compact"/>
              <w:jc w:val="center"/>
            </w:pPr>
            <w:r>
              <w:t xml:space="preserve">0.21</w:t>
            </w:r>
          </w:p>
        </w:tc>
      </w:tr>
      <w:tr>
        <w:tc>
          <w:tcPr/>
          <w:p>
            <w:pPr>
              <w:pStyle w:val="Compact"/>
              <w:jc w:val="center"/>
            </w:pPr>
            <w:r>
              <w:t xml:space="preserve">Total</w:t>
            </w:r>
          </w:p>
        </w:tc>
        <w:tc>
          <w:tcPr/>
          <w:p>
            <w:pPr>
              <w:pStyle w:val="Compact"/>
              <w:jc w:val="center"/>
            </w:pPr>
            <w:r>
              <w:t xml:space="preserve">304,489</w:t>
            </w:r>
          </w:p>
        </w:tc>
        <w:tc>
          <w:tcPr/>
          <w:p>
            <w:pPr>
              <w:pStyle w:val="Compact"/>
              <w:jc w:val="center"/>
            </w:pPr>
            <w:r>
              <w:t xml:space="preserve">4,842,369</w:t>
            </w:r>
          </w:p>
        </w:tc>
        <w:tc>
          <w:tcPr/>
          <w:p>
            <w:pPr>
              <w:pStyle w:val="Compact"/>
              <w:jc w:val="center"/>
            </w:pPr>
            <w:r>
              <w:t xml:space="preserve">820,798</w:t>
            </w:r>
          </w:p>
        </w:tc>
        <w:tc>
          <w:tcPr/>
          <w:p>
            <w:pPr>
              <w:pStyle w:val="Compact"/>
              <w:jc w:val="center"/>
            </w:pPr>
            <w:r>
              <w:t xml:space="preserve">2,846,358</w:t>
            </w:r>
          </w:p>
        </w:tc>
        <w:tc>
          <w:tcPr/>
          <w:p>
            <w:pPr>
              <w:pStyle w:val="Compact"/>
              <w:jc w:val="center"/>
            </w:pPr>
            <w:r>
              <w:t xml:space="preserve">230,131</w:t>
            </w:r>
          </w:p>
        </w:tc>
        <w:tc>
          <w:tcPr/>
          <w:p>
            <w:pPr>
              <w:pStyle w:val="Compact"/>
              <w:jc w:val="center"/>
            </w:pPr>
            <w:r>
              <w:t xml:space="preserve">9,044,145</w:t>
            </w:r>
          </w:p>
        </w:tc>
        <w:tc>
          <w:tcPr/>
          <w:p>
            <w:pPr>
              <w:pStyle w:val="Compact"/>
              <w:jc w:val="center"/>
            </w:pPr>
            <w:r>
              <w:t xml:space="preserve">100</w:t>
            </w:r>
          </w:p>
        </w:tc>
      </w:tr>
    </w:tbl>
    <w:p>
      <w:pPr>
        <w:pStyle w:val="BodyText"/>
      </w:pPr>
    </w:p>
    <w:p>
      <w:pPr>
        <w:pStyle w:val="BodyText"/>
      </w:pPr>
      <w:r>
        <w:t xml:space="preserve">Regarding the table above, there is a strong argument to remove the option</w:t>
      </w:r>
      <w:r>
        <w:t xml:space="preserve"> </w:t>
      </w:r>
      <w:r>
        <w:t xml:space="preserve">“</w:t>
      </w:r>
      <w:r>
        <w:t xml:space="preserve">other</w:t>
      </w:r>
      <w:r>
        <w:t xml:space="preserve">”</w:t>
      </w:r>
      <w:r>
        <w:t xml:space="preserve"> </w:t>
      </w:r>
      <w:r>
        <w:t xml:space="preserve">from the 5W column</w:t>
      </w:r>
      <w:r>
        <w:t xml:space="preserve"> </w:t>
      </w:r>
      <w:r>
        <w:rPr>
          <w:rStyle w:val="VerbatimChar"/>
        </w:rPr>
        <w:t xml:space="preserve">frequency</w:t>
      </w:r>
      <w:r>
        <w:t xml:space="preserve"> </w:t>
      </w:r>
      <w:r>
        <w:t xml:space="preserve">(referring to frequency of transfer/delivery) – what exactly it connotes is unclear, as partners might elect this option for activities that occur both more and less frequently than every month; there is also the possibility that partners are just electing</w:t>
      </w:r>
      <w:r>
        <w:t xml:space="preserve"> </w:t>
      </w:r>
      <w:r>
        <w:t xml:space="preserve">“</w:t>
      </w:r>
      <w:r>
        <w:t xml:space="preserve">other</w:t>
      </w:r>
      <w:r>
        <w:t xml:space="preserve">”</w:t>
      </w:r>
      <w:r>
        <w:t xml:space="preserve"> </w:t>
      </w:r>
      <w:r>
        <w:t xml:space="preserve">instead of leaving the column blank. It is possible to backfill some of the</w:t>
      </w:r>
      <w:r>
        <w:t xml:space="preserve"> </w:t>
      </w:r>
      <w:r>
        <w:t xml:space="preserve">“</w:t>
      </w:r>
      <w:r>
        <w:t xml:space="preserve">other</w:t>
      </w:r>
      <w:r>
        <w:t xml:space="preserve">”</w:t>
      </w:r>
      <w:r>
        <w:t xml:space="preserve"> </w:t>
      </w:r>
      <w:r>
        <w:t xml:space="preserve">values from the</w:t>
      </w:r>
      <w:r>
        <w:t xml:space="preserve"> </w:t>
      </w:r>
      <w:r>
        <w:rPr>
          <w:rStyle w:val="VerbatimChar"/>
        </w:rPr>
        <w:t xml:space="preserve">beneficiary_recurrency</w:t>
      </w:r>
      <w:r>
        <w:t xml:space="preserve"> </w:t>
      </w:r>
      <w:r>
        <w:t xml:space="preserve">column. This will be explored further in the chapter on beneficiaries.</w:t>
      </w:r>
    </w:p>
    <w:p>
      <w:pPr>
        <w:pStyle w:val="BodyText"/>
      </w:pPr>
      <w:r>
        <w:t xml:space="preserve">There is also justification to drop the</w:t>
      </w:r>
      <w:r>
        <w:t xml:space="preserve"> </w:t>
      </w:r>
      <w:r>
        <w:t xml:space="preserve">“</w:t>
      </w:r>
      <w:r>
        <w:t xml:space="preserve">First</w:t>
      </w:r>
      <w:r>
        <w:t xml:space="preserve">”</w:t>
      </w:r>
      <w:r>
        <w:t xml:space="preserve"> </w:t>
      </w:r>
      <w:r>
        <w:t xml:space="preserve">category as it does not really have much relation to the</w:t>
      </w:r>
      <w:r>
        <w:t xml:space="preserve"> </w:t>
      </w:r>
      <w:r>
        <w:t xml:space="preserve">“</w:t>
      </w:r>
      <w:r>
        <w:t xml:space="preserve">Monthly</w:t>
      </w:r>
      <w:r>
        <w:t xml:space="preserve">”</w:t>
      </w:r>
      <w:r>
        <w:t xml:space="preserve"> </w:t>
      </w:r>
      <w:r>
        <w:t xml:space="preserve">category, i.e. an increase in beneficiaries reported as</w:t>
      </w:r>
      <w:r>
        <w:t xml:space="preserve"> </w:t>
      </w:r>
      <w:r>
        <w:t xml:space="preserve">“</w:t>
      </w:r>
      <w:r>
        <w:t xml:space="preserve">First</w:t>
      </w:r>
      <w:r>
        <w:t xml:space="preserve">”</w:t>
      </w:r>
      <w:r>
        <w:t xml:space="preserve"> </w:t>
      </w:r>
      <w:r>
        <w:t xml:space="preserve">do not correspond to an increase in</w:t>
      </w:r>
      <w:r>
        <w:t xml:space="preserve"> </w:t>
      </w:r>
      <w:r>
        <w:t xml:space="preserve">“</w:t>
      </w:r>
      <w:r>
        <w:t xml:space="preserve">Monthly</w:t>
      </w:r>
      <w:r>
        <w:t xml:space="preserve">”</w:t>
      </w:r>
      <w:r>
        <w:t xml:space="preserve"> </w:t>
      </w:r>
      <w:r>
        <w:t xml:space="preserve">beneficiaries in the following months, meaning that these beneficiaries should fall under the</w:t>
      </w:r>
      <w:r>
        <w:t xml:space="preserve"> </w:t>
      </w:r>
      <w:r>
        <w:t xml:space="preserve">“</w:t>
      </w:r>
      <w:r>
        <w:t xml:space="preserve">One-off</w:t>
      </w:r>
      <w:r>
        <w:t xml:space="preserve">”</w:t>
      </w:r>
      <w:r>
        <w:t xml:space="preserve"> </w:t>
      </w:r>
      <w:r>
        <w:t xml:space="preserve">category.</w:t>
      </w:r>
    </w:p>
    <w:p>
      <w:pPr>
        <w:pStyle w:val="BodyText"/>
      </w:pPr>
      <w:r>
        <w:t xml:space="preserve">A key piece of missing information not currently captured by the 5W template is the duration of these activities – the number of months a monthly food basket is provided can only be calculated somewhat reliably with considerable effort. The table below shows the average duration (in months) of the various activities in the</w:t>
      </w:r>
      <w:r>
        <w:t xml:space="preserve"> </w:t>
      </w:r>
      <w:r>
        <w:rPr>
          <w:rStyle w:val="VerbatimChar"/>
        </w:rPr>
        <w:t xml:space="preserve">frequency</w:t>
      </w:r>
      <w:r>
        <w:t xml:space="preserve"> </w:t>
      </w:r>
      <w:r>
        <w:t xml:space="preserve">category</w:t>
      </w:r>
      <w:r>
        <w:t xml:space="preserve"> </w:t>
      </w:r>
      <w:r>
        <w:t xml:space="preserve">“</w:t>
      </w:r>
      <w:r>
        <w:t xml:space="preserve">Monthly</w:t>
      </w:r>
      <w:r>
        <w:t xml:space="preserve">”</w:t>
      </w:r>
      <w:r>
        <w:t xml:space="preserve">:</w:t>
      </w:r>
    </w:p>
    <w:p>
      <w:pPr>
        <w:pStyle w:val="BodyText"/>
      </w:pPr>
    </w:p>
    <w:p>
      <w:pPr>
        <w:pStyle w:val="TableCaption"/>
      </w:pPr>
      <w:r>
        <w:t xml:space="preserve">Average duration (in months) of monthly activities</w:t>
      </w:r>
    </w:p>
    <w:tbl>
      <w:tblPr>
        <w:tblStyle w:val="Table"/>
        <w:tblW w:type="pct" w:w="3681"/>
        <w:tblLook w:firstRow="1" w:lastRow="0" w:firstColumn="0" w:lastColumn="0" w:noHBand="0" w:noVBand="0" w:val="0020"/>
        <w:tblCaption w:val="Average duration (in months) of monthly activities"/>
      </w:tblPr>
      <w:tblGrid>
        <w:gridCol w:w="3410"/>
        <w:gridCol w:w="2420"/>
      </w:tblGrid>
      <w:tr>
        <w:trPr>
          <w:tblHeader w:val="true"/>
        </w:trPr>
        <w:tc>
          <w:tcPr/>
          <w:p>
            <w:pPr>
              <w:pStyle w:val="Compact"/>
              <w:jc w:val="center"/>
            </w:pPr>
            <w:r>
              <w:t xml:space="preserve">activity</w:t>
            </w:r>
          </w:p>
        </w:tc>
        <w:tc>
          <w:tcPr/>
          <w:p>
            <w:pPr>
              <w:pStyle w:val="Compact"/>
              <w:jc w:val="center"/>
            </w:pPr>
            <w:r>
              <w:t xml:space="preserve">avg_duration_months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7.38</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5.99</w:t>
            </w:r>
          </w:p>
        </w:tc>
      </w:tr>
      <w:tr>
        <w:tc>
          <w:tcPr/>
          <w:p>
            <w:pPr>
              <w:pStyle w:val="Compact"/>
              <w:jc w:val="center"/>
            </w:pPr>
            <w:r>
              <w:t xml:space="preserve">Provide technical training</w:t>
            </w:r>
          </w:p>
        </w:tc>
        <w:tc>
          <w:tcPr/>
          <w:p>
            <w:pPr>
              <w:pStyle w:val="Compact"/>
              <w:jc w:val="center"/>
            </w:pPr>
            <w:r>
              <w:t xml:space="preserve">4.75</w:t>
            </w:r>
          </w:p>
        </w:tc>
      </w:tr>
      <w:tr>
        <w:tc>
          <w:tcPr/>
          <w:p>
            <w:pPr>
              <w:pStyle w:val="Compact"/>
              <w:jc w:val="center"/>
            </w:pPr>
            <w:r>
              <w:t xml:space="preserve">Provide monthly food baskets</w:t>
            </w:r>
          </w:p>
        </w:tc>
        <w:tc>
          <w:tcPr/>
          <w:p>
            <w:pPr>
              <w:pStyle w:val="Compact"/>
              <w:jc w:val="center"/>
            </w:pPr>
            <w:r>
              <w:t xml:space="preserve">4.24</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2.13</w:t>
            </w:r>
          </w:p>
        </w:tc>
      </w:tr>
    </w:tbl>
    <w:p>
      <w:pPr>
        <w:pStyle w:val="BodyText"/>
      </w:pPr>
    </w:p>
    <w:bookmarkEnd w:id="33"/>
    <w:bookmarkStart w:id="36" w:name="X16f031975a31f7afb5927f4ed061d09dca67318"/>
    <w:p>
      <w:pPr>
        <w:pStyle w:val="Heading3"/>
      </w:pPr>
      <w:r>
        <w:t xml:space="preserve">2.3 Monetary values of intervention packages per household</w:t>
      </w:r>
    </w:p>
    <w:p>
      <w:pPr>
        <w:pStyle w:val="FirstParagraph"/>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plot-usd-hhd-bin-1.png" id="0" name="Picture"/>
                    <pic:cNvPicPr>
                      <a:picLocks noChangeArrowheads="1" noChangeAspect="1"/>
                    </pic:cNvPicPr>
                  </pic:nvPicPr>
                  <pic:blipFill>
                    <a:blip r:embed="rId3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most common transfer values – in terms of beneficiaries reached – are between USD 10 and USD 20, though it should be noted that a not insignificant number of households (about 7%) were reached by cash transfer interventions valued at USD 100 per household or more. Please note that these monetary values were calculated only from rows with unique beneficiaries and that we are not using the cumulative sums per household.</w:t>
      </w:r>
    </w:p>
    <w:p>
      <w:pPr>
        <w:pStyle w:val="BodyText"/>
      </w:pPr>
    </w:p>
    <w:p>
      <w:pPr>
        <w:pStyle w:val="TableCaption"/>
      </w:pPr>
      <w:r>
        <w:t xml:space="preserve">Cash transfer, hybrid and voucher values per household by cash delivery mechanism (USD)</w:t>
      </w:r>
    </w:p>
    <w:tbl>
      <w:tblPr>
        <w:tblStyle w:val="Table"/>
        <w:tblW w:type="pct" w:w="5000"/>
        <w:tblLook w:firstRow="1" w:lastRow="0" w:firstColumn="0" w:lastColumn="0" w:noHBand="0" w:noVBand="0" w:val="0020"/>
        <w:tblCaption w:val="Cash transfer, hybrid and voucher values per household by cash delivery mechanism (USD)"/>
      </w:tblPr>
      <w:tblGrid>
        <w:gridCol w:w="1525"/>
        <w:gridCol w:w="469"/>
        <w:gridCol w:w="762"/>
        <w:gridCol w:w="762"/>
        <w:gridCol w:w="762"/>
        <w:gridCol w:w="821"/>
        <w:gridCol w:w="879"/>
        <w:gridCol w:w="527"/>
        <w:gridCol w:w="703"/>
        <w:gridCol w:w="703"/>
      </w:tblGrid>
      <w:tr>
        <w:trPr>
          <w:tblHeader w:val="true"/>
        </w:trPr>
        <w:tc>
          <w:tcPr/>
          <w:p>
            <w:pPr>
              <w:pStyle w:val="Compact"/>
              <w:jc w:val="center"/>
            </w:pPr>
            <w:r>
              <w:t xml:space="preserve">cash_delivery_mechanism</w:t>
            </w:r>
          </w:p>
        </w:tc>
        <w:tc>
          <w:tcPr/>
          <w:p>
            <w:pPr>
              <w:pStyle w:val="Compact"/>
              <w:jc w:val="center"/>
            </w:pPr>
            <w:r>
              <w:t xml:space="preserve">&lt;$10</w:t>
            </w:r>
          </w:p>
        </w:tc>
        <w:tc>
          <w:tcPr/>
          <w:p>
            <w:pPr>
              <w:pStyle w:val="Compact"/>
              <w:jc w:val="center"/>
            </w:pPr>
            <w:r>
              <w:t xml:space="preserve">&gt;=$10_&lt;$20</w:t>
            </w:r>
          </w:p>
        </w:tc>
        <w:tc>
          <w:tcPr/>
          <w:p>
            <w:pPr>
              <w:pStyle w:val="Compact"/>
              <w:jc w:val="center"/>
            </w:pPr>
            <w:r>
              <w:t xml:space="preserve">&gt;=$20_&lt;$40</w:t>
            </w:r>
          </w:p>
        </w:tc>
        <w:tc>
          <w:tcPr/>
          <w:p>
            <w:pPr>
              <w:pStyle w:val="Compact"/>
              <w:jc w:val="center"/>
            </w:pPr>
            <w:r>
              <w:t xml:space="preserve">&gt;=$40_&lt;$60</w:t>
            </w:r>
          </w:p>
        </w:tc>
        <w:tc>
          <w:tcPr/>
          <w:p>
            <w:pPr>
              <w:pStyle w:val="Compact"/>
              <w:jc w:val="center"/>
            </w:pPr>
            <w:r>
              <w:t xml:space="preserve">&gt;=$60_&lt;$100</w:t>
            </w:r>
          </w:p>
        </w:tc>
        <w:tc>
          <w:tcPr/>
          <w:p>
            <w:pPr>
              <w:pStyle w:val="Compact"/>
              <w:jc w:val="center"/>
            </w:pPr>
            <w:r>
              <w:t xml:space="preserve">&gt;=$100_&lt;$200</w:t>
            </w:r>
          </w:p>
        </w:tc>
        <w:tc>
          <w:tcPr/>
          <w:p>
            <w:pPr>
              <w:pStyle w:val="Compact"/>
              <w:jc w:val="center"/>
            </w:pPr>
            <w:r>
              <w:t xml:space="preserve">&gt;=$200</w:t>
            </w:r>
          </w:p>
        </w:tc>
        <w:tc>
          <w:tcPr/>
          <w:p>
            <w:pPr>
              <w:pStyle w:val="Compact"/>
              <w:jc w:val="center"/>
            </w:pPr>
            <w:r>
              <w:t xml:space="preserve">total_hhd</w:t>
            </w:r>
          </w:p>
        </w:tc>
        <w:tc>
          <w:tcPr/>
          <w:p>
            <w:pPr>
              <w:pStyle w:val="Compact"/>
              <w:jc w:val="center"/>
            </w:pPr>
            <w:r>
              <w:t xml:space="preserve">pc_of_hhd</w:t>
            </w:r>
          </w:p>
        </w:tc>
      </w:tr>
      <w:tr>
        <w:tc>
          <w:tcPr/>
          <w:p>
            <w:pPr>
              <w:pStyle w:val="Compact"/>
              <w:jc w:val="center"/>
            </w:pPr>
            <w:r>
              <w:t xml:space="preserve">Direct cash payment</w:t>
            </w:r>
          </w:p>
        </w:tc>
        <w:tc>
          <w:tcPr/>
          <w:p>
            <w:pPr>
              <w:pStyle w:val="Compact"/>
              <w:jc w:val="center"/>
            </w:pPr>
            <w:r>
              <w:t xml:space="preserve">6,901</w:t>
            </w:r>
          </w:p>
        </w:tc>
        <w:tc>
          <w:tcPr/>
          <w:p>
            <w:pPr>
              <w:pStyle w:val="Compact"/>
              <w:jc w:val="center"/>
            </w:pPr>
            <w:r>
              <w:t xml:space="preserve">21,224</w:t>
            </w:r>
          </w:p>
        </w:tc>
        <w:tc>
          <w:tcPr/>
          <w:p>
            <w:pPr>
              <w:pStyle w:val="Compact"/>
              <w:jc w:val="center"/>
            </w:pPr>
            <w:r>
              <w:t xml:space="preserve">5,967</w:t>
            </w:r>
          </w:p>
        </w:tc>
        <w:tc>
          <w:tcPr/>
          <w:p>
            <w:pPr>
              <w:pStyle w:val="Compact"/>
              <w:jc w:val="center"/>
            </w:pPr>
            <w:r>
              <w:t xml:space="preserve">8,792</w:t>
            </w:r>
          </w:p>
        </w:tc>
        <w:tc>
          <w:tcPr/>
          <w:p>
            <w:pPr>
              <w:pStyle w:val="Compact"/>
              <w:jc w:val="center"/>
            </w:pPr>
            <w:r>
              <w:t xml:space="preserve">4,759</w:t>
            </w:r>
          </w:p>
        </w:tc>
        <w:tc>
          <w:tcPr/>
          <w:p>
            <w:pPr>
              <w:pStyle w:val="Compact"/>
              <w:jc w:val="center"/>
            </w:pPr>
            <w:r>
              <w:t xml:space="preserve">2,655</w:t>
            </w:r>
          </w:p>
        </w:tc>
        <w:tc>
          <w:tcPr/>
          <w:p>
            <w:pPr>
              <w:pStyle w:val="Compact"/>
              <w:jc w:val="center"/>
            </w:pPr>
            <w:r>
              <w:t xml:space="preserve">230</w:t>
            </w:r>
          </w:p>
        </w:tc>
        <w:tc>
          <w:tcPr/>
          <w:p>
            <w:pPr>
              <w:pStyle w:val="Compact"/>
              <w:jc w:val="center"/>
            </w:pPr>
            <w:r>
              <w:t xml:space="preserve">50,528</w:t>
            </w:r>
          </w:p>
        </w:tc>
        <w:tc>
          <w:tcPr/>
          <w:p>
            <w:pPr>
              <w:pStyle w:val="Compact"/>
              <w:jc w:val="center"/>
            </w:pPr>
            <w:r>
              <w:t xml:space="preserve">84.03</w:t>
            </w:r>
          </w:p>
        </w:tc>
      </w:tr>
      <w:tr>
        <w:tc>
          <w:tcPr/>
          <w:p>
            <w:pPr>
              <w:pStyle w:val="Compact"/>
              <w:jc w:val="center"/>
            </w:pPr>
            <w:r>
              <w:t xml:space="preserve">E-voucher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2,519</w:t>
            </w:r>
          </w:p>
        </w:tc>
        <w:tc>
          <w:tcPr/>
          <w:p>
            <w:pPr>
              <w:pStyle w:val="Compact"/>
              <w:jc w:val="center"/>
            </w:pPr>
            <w:r>
              <w:t xml:space="preserve">NA</w:t>
            </w:r>
          </w:p>
        </w:tc>
        <w:tc>
          <w:tcPr/>
          <w:p>
            <w:pPr>
              <w:pStyle w:val="Compact"/>
              <w:jc w:val="center"/>
            </w:pPr>
            <w:r>
              <w:t xml:space="preserve">929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3,448</w:t>
            </w:r>
          </w:p>
        </w:tc>
        <w:tc>
          <w:tcPr/>
          <w:p>
            <w:pPr>
              <w:pStyle w:val="Compact"/>
              <w:jc w:val="center"/>
            </w:pPr>
            <w:r>
              <w:t xml:space="preserve">5.73</w:t>
            </w:r>
          </w:p>
        </w:tc>
      </w:tr>
      <w:tr>
        <w:tc>
          <w:tcPr/>
          <w:p>
            <w:pPr>
              <w:pStyle w:val="Compact"/>
              <w:jc w:val="center"/>
            </w:pPr>
            <w:r>
              <w:t xml:space="preserve">E-transfer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798</w:t>
            </w:r>
          </w:p>
        </w:tc>
        <w:tc>
          <w:tcPr/>
          <w:p>
            <w:pPr>
              <w:pStyle w:val="Compact"/>
              <w:jc w:val="center"/>
            </w:pPr>
            <w:r>
              <w:t xml:space="preserve">1,161</w:t>
            </w:r>
          </w:p>
        </w:tc>
        <w:tc>
          <w:tcPr/>
          <w:p>
            <w:pPr>
              <w:pStyle w:val="Compact"/>
              <w:jc w:val="center"/>
            </w:pPr>
            <w:r>
              <w:t xml:space="preserve">NA</w:t>
            </w:r>
          </w:p>
        </w:tc>
        <w:tc>
          <w:tcPr/>
          <w:p>
            <w:pPr>
              <w:pStyle w:val="Compact"/>
              <w:jc w:val="center"/>
            </w:pPr>
            <w:r>
              <w:t xml:space="preserve">435</w:t>
            </w:r>
          </w:p>
        </w:tc>
        <w:tc>
          <w:tcPr/>
          <w:p>
            <w:pPr>
              <w:pStyle w:val="Compact"/>
              <w:jc w:val="center"/>
            </w:pPr>
            <w:r>
              <w:t xml:space="preserve">NA</w:t>
            </w:r>
          </w:p>
        </w:tc>
        <w:tc>
          <w:tcPr/>
          <w:p>
            <w:pPr>
              <w:pStyle w:val="Compact"/>
              <w:jc w:val="center"/>
            </w:pPr>
            <w:r>
              <w:t xml:space="preserve">2,394</w:t>
            </w:r>
          </w:p>
        </w:tc>
        <w:tc>
          <w:tcPr/>
          <w:p>
            <w:pPr>
              <w:pStyle w:val="Compact"/>
              <w:jc w:val="center"/>
            </w:pPr>
            <w:r>
              <w:t xml:space="preserve">3.98</w:t>
            </w:r>
          </w:p>
        </w:tc>
      </w:tr>
      <w:tr>
        <w:tc>
          <w:tcPr/>
          <w:p>
            <w:pPr>
              <w:pStyle w:val="Compact"/>
              <w:jc w:val="center"/>
            </w:pPr>
            <w:r>
              <w:t xml:space="preserve">Mobile money</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1,830</w:t>
            </w:r>
          </w:p>
        </w:tc>
        <w:tc>
          <w:tcPr/>
          <w:p>
            <w:pPr>
              <w:pStyle w:val="Compact"/>
              <w:jc w:val="center"/>
            </w:pPr>
            <w:r>
              <w:t xml:space="preserve">3.04</w:t>
            </w:r>
          </w:p>
        </w:tc>
      </w:tr>
      <w:tr>
        <w:tc>
          <w:tcPr/>
          <w:p>
            <w:pPr>
              <w:pStyle w:val="Compact"/>
              <w:jc w:val="center"/>
            </w:pPr>
            <w:r>
              <w:t xml:space="preserve">Money Transfer Agent</w:t>
            </w:r>
          </w:p>
        </w:tc>
        <w:tc>
          <w:tcPr/>
          <w:p>
            <w:pPr>
              <w:pStyle w:val="Compact"/>
              <w:jc w:val="center"/>
            </w:pPr>
            <w:r>
              <w:t xml:space="preserve">517</w:t>
            </w:r>
          </w:p>
        </w:tc>
        <w:tc>
          <w:tcPr/>
          <w:p>
            <w:pPr>
              <w:pStyle w:val="Compact"/>
              <w:jc w:val="center"/>
            </w:pPr>
            <w:r>
              <w:t xml:space="preserve">90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841</w:t>
            </w:r>
          </w:p>
        </w:tc>
        <w:tc>
          <w:tcPr/>
          <w:p>
            <w:pPr>
              <w:pStyle w:val="Compact"/>
              <w:jc w:val="center"/>
            </w:pPr>
            <w:r>
              <w:t xml:space="preserve">1,448</w:t>
            </w:r>
          </w:p>
        </w:tc>
        <w:tc>
          <w:tcPr/>
          <w:p>
            <w:pPr>
              <w:pStyle w:val="Compact"/>
              <w:jc w:val="center"/>
            </w:pPr>
            <w:r>
              <w:t xml:space="preserve">2.41</w:t>
            </w:r>
          </w:p>
        </w:tc>
      </w:tr>
      <w:tr>
        <w:tc>
          <w:tcPr/>
          <w:p>
            <w:pPr>
              <w:pStyle w:val="Compact"/>
              <w:jc w:val="center"/>
            </w:pPr>
            <w:r>
              <w:t xml:space="preserve">Other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w:t>
            </w:r>
          </w:p>
        </w:tc>
        <w:tc>
          <w:tcPr/>
          <w:p>
            <w:pPr>
              <w:pStyle w:val="Compact"/>
              <w:jc w:val="center"/>
            </w:pPr>
            <w:r>
              <w:t xml:space="preserve">403</w:t>
            </w:r>
          </w:p>
        </w:tc>
        <w:tc>
          <w:tcPr/>
          <w:p>
            <w:pPr>
              <w:pStyle w:val="Compact"/>
              <w:jc w:val="center"/>
            </w:pPr>
            <w:r>
              <w:t xml:space="preserve">21</w:t>
            </w:r>
          </w:p>
        </w:tc>
        <w:tc>
          <w:tcPr/>
          <w:p>
            <w:pPr>
              <w:pStyle w:val="Compact"/>
              <w:jc w:val="center"/>
            </w:pPr>
            <w:r>
              <w:t xml:space="preserve">432</w:t>
            </w:r>
          </w:p>
        </w:tc>
        <w:tc>
          <w:tcPr/>
          <w:p>
            <w:pPr>
              <w:pStyle w:val="Compact"/>
              <w:jc w:val="center"/>
            </w:pPr>
            <w:r>
              <w:t xml:space="preserve">0.72</w:t>
            </w:r>
          </w:p>
        </w:tc>
      </w:tr>
      <w:tr>
        <w:tc>
          <w:tcPr/>
          <w:p>
            <w:pPr>
              <w:pStyle w:val="Compact"/>
              <w:jc w:val="center"/>
            </w:pPr>
            <w:r>
              <w:t xml:space="preserve">Paper voucher</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48</w:t>
            </w:r>
          </w:p>
        </w:tc>
        <w:tc>
          <w:tcPr/>
          <w:p>
            <w:pPr>
              <w:pStyle w:val="Compact"/>
              <w:jc w:val="center"/>
            </w:pPr>
            <w:r>
              <w:t xml:space="preserve">48</w:t>
            </w:r>
          </w:p>
        </w:tc>
        <w:tc>
          <w:tcPr/>
          <w:p>
            <w:pPr>
              <w:pStyle w:val="Compact"/>
              <w:jc w:val="center"/>
            </w:pPr>
            <w:r>
              <w:t xml:space="preserve">0.08</w:t>
            </w:r>
          </w:p>
        </w:tc>
      </w:tr>
    </w:tbl>
    <w:p>
      <w:pPr>
        <w:pStyle w:val="BodyText"/>
      </w:pPr>
    </w:p>
    <w:p>
      <w:pPr>
        <w:pStyle w:val="BodyText"/>
      </w:pPr>
      <w:r>
        <w:t xml:space="preserve">by far the most common cash delivery mechanism was direct cash payments – 84.03% of beneficiaries were reached through this mechanism. Transfers made through MOney transfer agents had the highest average transfer amount.</w:t>
      </w:r>
    </w:p>
    <w:p>
      <w:pPr>
        <w:pStyle w:val="BodyText"/>
      </w:pPr>
      <w:r>
        <w:t xml:space="preserve">Next, let us take a look at household package values by activity type:</w:t>
      </w:r>
    </w:p>
    <w:p>
      <w:pPr>
        <w:pStyle w:val="TableCaption"/>
      </w:pPr>
      <w:r>
        <w:t xml:space="preserve">Average value (USD) of household package values per activity</w:t>
      </w:r>
    </w:p>
    <w:tbl>
      <w:tblPr>
        <w:tblStyle w:val="Table"/>
        <w:tblW w:type="pct" w:w="5000"/>
        <w:tblLook w:firstRow="1" w:lastRow="0" w:firstColumn="0" w:lastColumn="0" w:noHBand="0" w:noVBand="0" w:val="0020"/>
        <w:tblCaption w:val="Average value (USD) of household package values per activity"/>
      </w:tblPr>
      <w:tblGrid>
        <w:gridCol w:w="2958"/>
        <w:gridCol w:w="1240"/>
        <w:gridCol w:w="1717"/>
        <w:gridCol w:w="2003"/>
      </w:tblGrid>
      <w:tr>
        <w:trPr>
          <w:tblHeader w:val="true"/>
        </w:trPr>
        <w:tc>
          <w:tcPr/>
          <w:p>
            <w:pPr>
              <w:pStyle w:val="Compact"/>
              <w:jc w:val="center"/>
            </w:pPr>
            <w:r>
              <w:t xml:space="preserve">activity</w:t>
            </w:r>
          </w:p>
        </w:tc>
        <w:tc>
          <w:tcPr/>
          <w:p>
            <w:pPr>
              <w:pStyle w:val="Compact"/>
              <w:jc w:val="center"/>
            </w:pPr>
            <w:r>
              <w:t xml:space="preserve">households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Provide livestock kits</w:t>
            </w:r>
          </w:p>
        </w:tc>
        <w:tc>
          <w:tcPr/>
          <w:p>
            <w:pPr>
              <w:pStyle w:val="Compact"/>
              <w:jc w:val="center"/>
            </w:pPr>
            <w:r>
              <w:t xml:space="preserve">1,030</w:t>
            </w:r>
          </w:p>
        </w:tc>
        <w:tc>
          <w:tcPr/>
          <w:p>
            <w:pPr>
              <w:pStyle w:val="Compact"/>
              <w:jc w:val="center"/>
            </w:pPr>
            <w:r>
              <w:t xml:space="preserve">103,950</w:t>
            </w:r>
          </w:p>
        </w:tc>
        <w:tc>
          <w:tcPr/>
          <w:p>
            <w:pPr>
              <w:pStyle w:val="Compact"/>
              <w:jc w:val="center"/>
            </w:pPr>
            <w:r>
              <w:t xml:space="preserve">100.9</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43,204</w:t>
            </w:r>
          </w:p>
        </w:tc>
        <w:tc>
          <w:tcPr/>
          <w:p>
            <w:pPr>
              <w:pStyle w:val="Compact"/>
              <w:jc w:val="center"/>
            </w:pPr>
            <w:r>
              <w:t xml:space="preserve">2,076,185</w:t>
            </w:r>
          </w:p>
        </w:tc>
        <w:tc>
          <w:tcPr/>
          <w:p>
            <w:pPr>
              <w:pStyle w:val="Compact"/>
              <w:jc w:val="center"/>
            </w:pPr>
            <w:r>
              <w:t xml:space="preserve">48.06</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11,584</w:t>
            </w:r>
          </w:p>
        </w:tc>
        <w:tc>
          <w:tcPr/>
          <w:p>
            <w:pPr>
              <w:pStyle w:val="Compact"/>
              <w:jc w:val="center"/>
            </w:pPr>
            <w:r>
              <w:t xml:space="preserve">420,000</w:t>
            </w:r>
          </w:p>
        </w:tc>
        <w:tc>
          <w:tcPr/>
          <w:p>
            <w:pPr>
              <w:pStyle w:val="Compact"/>
              <w:jc w:val="center"/>
            </w:pPr>
            <w:r>
              <w:t xml:space="preserve">36.26</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22,298</w:t>
            </w:r>
          </w:p>
        </w:tc>
        <w:tc>
          <w:tcPr/>
          <w:p>
            <w:pPr>
              <w:pStyle w:val="Compact"/>
              <w:jc w:val="center"/>
            </w:pPr>
            <w:r>
              <w:t xml:space="preserve">785,768</w:t>
            </w:r>
          </w:p>
        </w:tc>
        <w:tc>
          <w:tcPr/>
          <w:p>
            <w:pPr>
              <w:pStyle w:val="Compact"/>
              <w:jc w:val="center"/>
            </w:pPr>
            <w:r>
              <w:t xml:space="preserve">35.24</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33,187</w:t>
            </w:r>
          </w:p>
        </w:tc>
        <w:tc>
          <w:tcPr/>
          <w:p>
            <w:pPr>
              <w:pStyle w:val="Compact"/>
              <w:jc w:val="center"/>
            </w:pPr>
            <w:r>
              <w:t xml:space="preserve">240,694</w:t>
            </w:r>
          </w:p>
        </w:tc>
        <w:tc>
          <w:tcPr/>
          <w:p>
            <w:pPr>
              <w:pStyle w:val="Compact"/>
              <w:jc w:val="center"/>
            </w:pPr>
            <w:r>
              <w:t xml:space="preserve">7.25</w:t>
            </w:r>
          </w:p>
        </w:tc>
      </w:tr>
      <w:tr>
        <w:tc>
          <w:tcPr/>
          <w:p>
            <w:pPr>
              <w:pStyle w:val="Compact"/>
              <w:jc w:val="center"/>
            </w:pPr>
            <w:r>
              <w:t xml:space="preserve">Provide technical training</w:t>
            </w:r>
          </w:p>
        </w:tc>
        <w:tc>
          <w:tcPr/>
          <w:p>
            <w:pPr>
              <w:pStyle w:val="Compact"/>
              <w:jc w:val="center"/>
            </w:pPr>
            <w:r>
              <w:t xml:space="preserve">45,296</w:t>
            </w:r>
          </w:p>
        </w:tc>
        <w:tc>
          <w:tcPr/>
          <w:p>
            <w:pPr>
              <w:pStyle w:val="Compact"/>
              <w:jc w:val="center"/>
            </w:pPr>
            <w:r>
              <w:t xml:space="preserve">221,821</w:t>
            </w:r>
          </w:p>
        </w:tc>
        <w:tc>
          <w:tcPr/>
          <w:p>
            <w:pPr>
              <w:pStyle w:val="Compact"/>
              <w:jc w:val="center"/>
            </w:pPr>
            <w:r>
              <w:t xml:space="preserve">4.9</w:t>
            </w:r>
          </w:p>
        </w:tc>
      </w:tr>
      <w:tr>
        <w:tc>
          <w:tcPr/>
          <w:p>
            <w:pPr>
              <w:pStyle w:val="Compact"/>
              <w:jc w:val="center"/>
            </w:pPr>
            <w:r>
              <w:t xml:space="preserve">Provide fishery kits</w:t>
            </w:r>
          </w:p>
        </w:tc>
        <w:tc>
          <w:tcPr/>
          <w:p>
            <w:pPr>
              <w:pStyle w:val="Compact"/>
              <w:jc w:val="center"/>
            </w:pPr>
            <w:r>
              <w:t xml:space="preserve">1,601</w:t>
            </w:r>
          </w:p>
        </w:tc>
        <w:tc>
          <w:tcPr/>
          <w:p>
            <w:pPr>
              <w:pStyle w:val="Compact"/>
              <w:jc w:val="center"/>
            </w:pPr>
            <w:r>
              <w:t xml:space="preserve">4,032</w:t>
            </w:r>
          </w:p>
        </w:tc>
        <w:tc>
          <w:tcPr/>
          <w:p>
            <w:pPr>
              <w:pStyle w:val="Compact"/>
              <w:jc w:val="center"/>
            </w:pPr>
            <w:r>
              <w:t xml:space="preserve">2.52</w:t>
            </w:r>
          </w:p>
        </w:tc>
      </w:tr>
      <w:tr>
        <w:tc>
          <w:tcPr/>
          <w:p>
            <w:pPr>
              <w:pStyle w:val="Compact"/>
              <w:jc w:val="center"/>
            </w:pPr>
            <w:r>
              <w:t xml:space="preserve">Provide monthly food baskets</w:t>
            </w:r>
          </w:p>
        </w:tc>
        <w:tc>
          <w:tcPr/>
          <w:p>
            <w:pPr>
              <w:pStyle w:val="Compact"/>
              <w:jc w:val="center"/>
            </w:pPr>
            <w:r>
              <w:t xml:space="preserve">672,804</w:t>
            </w:r>
          </w:p>
        </w:tc>
        <w:tc>
          <w:tcPr/>
          <w:p>
            <w:pPr>
              <w:pStyle w:val="Compact"/>
              <w:jc w:val="center"/>
            </w:pPr>
            <w:r>
              <w:t xml:space="preserve">291,859</w:t>
            </w:r>
          </w:p>
        </w:tc>
        <w:tc>
          <w:tcPr/>
          <w:p>
            <w:pPr>
              <w:pStyle w:val="Compact"/>
              <w:jc w:val="center"/>
            </w:pPr>
            <w:r>
              <w:t xml:space="preserve">0.43</w:t>
            </w:r>
          </w:p>
        </w:tc>
      </w:tr>
    </w:tbl>
    <w:p>
      <w:pPr>
        <w:pStyle w:val="BodyText"/>
      </w:pPr>
    </w:p>
    <w:p>
      <w:pPr>
        <w:pStyle w:val="BodyText"/>
      </w:pPr>
      <w:r>
        <w:t xml:space="preserve">Overall, the highest average cash transfers were from the provision of livestock kits and the lowest averages from fishery kits (after discounting food baskets, where less than 1% of activities reported the package value). It is also unclear if fishery kits and technical training tended to have particularly small cash components or if there were data entry errors. But the average package values are only part of the picture and significant variation in transfer values exists within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arplot-facet-usd-hhd-bin-activity-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It would be fruitful to explore the provision of monthly cash-based transfers in more detail – this activity has a very clear peak at</w:t>
      </w:r>
      <w:r>
        <w:t xml:space="preserve"> </w:t>
      </w:r>
      <w:r>
        <w:rPr>
          <w:rStyle w:val="VerbatimChar"/>
        </w:rPr>
        <w:t xml:space="preserve">&gt;=$10_&lt;$20</w:t>
      </w:r>
      <w:r>
        <w:t xml:space="preserve">. A closer look reveals that this is almost entirely due to the 22,543 beneficiaries who received monthly transfers of USD 10.50/month (or MMK 15,000) per household. It is unclear whether this is a data entry error – but what we do know is that the households that received this type of transfer were not smaller than average; it might also be possible that this activity had been conceived as one singular transfer that had been split across several months.</w:t>
      </w:r>
    </w:p>
    <w:p>
      <w:pPr>
        <w:pStyle w:val="BodyText"/>
      </w:pPr>
      <w:r>
        <w:t xml:space="preserve">This should be followed up with the 7 partners who provided this transfer value to beneficiary households; they are: WFP, Plan International, Save the Children, Myanmar Heart Development Organisation, People for People, World Vision Myanmar and People in Need.</w:t>
      </w:r>
    </w:p>
    <w:p>
      <w:pPr>
        <w:pStyle w:val="BodyText"/>
      </w:pPr>
      <w:r>
        <w:t xml:space="preserve">This amount falls far below the minimum expenditure basket for food identified by the Cash Working Group, which established a floor of MMK 190,555 per household per month. Below is a table which summarises the percentage of the minimum expenditure basket for food which is covered by the different bins we have established for the cash-transfer values:</w:t>
      </w:r>
    </w:p>
    <w:p>
      <w:pPr>
        <w:pStyle w:val="TableCaption"/>
      </w:pPr>
      <w:r>
        <w:t xml:space="preserve">Monthly cash-based transfer by percentage of MEB received</w:t>
      </w:r>
    </w:p>
    <w:tbl>
      <w:tblPr>
        <w:tblStyle w:val="Table"/>
        <w:tblW w:type="pct" w:w="5000"/>
        <w:tblLook w:firstRow="1" w:lastRow="0" w:firstColumn="0" w:lastColumn="0" w:noHBand="0" w:noVBand="0" w:val="0020"/>
        <w:tblCaption w:val="Monthly cash-based transfer by percentage of MEB received"/>
      </w:tblPr>
      <w:tblGrid>
        <w:gridCol w:w="1627"/>
        <w:gridCol w:w="1735"/>
        <w:gridCol w:w="1735"/>
        <w:gridCol w:w="1410"/>
        <w:gridCol w:w="1410"/>
      </w:tblGrid>
      <w:tr>
        <w:trPr>
          <w:tblHeader w:val="true"/>
        </w:trPr>
        <w:tc>
          <w:tcPr/>
          <w:p>
            <w:pPr>
              <w:pStyle w:val="Compact"/>
              <w:jc w:val="center"/>
            </w:pPr>
            <w:r>
              <w:t xml:space="preserve">usd_hhd_bin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households</w:t>
            </w:r>
          </w:p>
        </w:tc>
        <w:tc>
          <w:tcPr/>
          <w:p>
            <w:pPr>
              <w:pStyle w:val="Compact"/>
              <w:jc w:val="center"/>
            </w:pPr>
            <w:r>
              <w:t xml:space="preserve">pc_of_hhd</w:t>
            </w:r>
          </w:p>
        </w:tc>
      </w:tr>
      <w:tr>
        <w:tc>
          <w:tcPr/>
          <w:p>
            <w:pPr>
              <w:pStyle w:val="Compact"/>
              <w:jc w:val="center"/>
            </w:pPr>
            <w:r>
              <w:t xml:space="preserve">&lt;$10</w:t>
            </w:r>
          </w:p>
        </w:tc>
        <w:tc>
          <w:tcPr/>
          <w:p>
            <w:pPr>
              <w:pStyle w:val="Compact"/>
              <w:jc w:val="center"/>
            </w:pPr>
            <w:r>
              <w:t xml:space="preserve">4.21</w:t>
            </w:r>
          </w:p>
        </w:tc>
        <w:tc>
          <w:tcPr/>
          <w:p>
            <w:pPr>
              <w:pStyle w:val="Compact"/>
              <w:jc w:val="center"/>
            </w:pPr>
            <w:r>
              <w:t xml:space="preserve">5.61</w:t>
            </w:r>
          </w:p>
        </w:tc>
        <w:tc>
          <w:tcPr/>
          <w:p>
            <w:pPr>
              <w:pStyle w:val="Compact"/>
              <w:jc w:val="center"/>
            </w:pPr>
            <w:r>
              <w:t xml:space="preserve">5,657</w:t>
            </w:r>
          </w:p>
        </w:tc>
        <w:tc>
          <w:tcPr/>
          <w:p>
            <w:pPr>
              <w:pStyle w:val="Compact"/>
              <w:jc w:val="center"/>
            </w:pPr>
            <w:r>
              <w:t xml:space="preserve">13.11</w:t>
            </w:r>
          </w:p>
        </w:tc>
      </w:tr>
      <w:tr>
        <w:tc>
          <w:tcPr/>
          <w:p>
            <w:pPr>
              <w:pStyle w:val="Compact"/>
              <w:jc w:val="center"/>
            </w:pPr>
            <w:r>
              <w:t xml:space="preserve">&gt;=$10_&lt;$20</w:t>
            </w:r>
          </w:p>
        </w:tc>
        <w:tc>
          <w:tcPr/>
          <w:p>
            <w:pPr>
              <w:pStyle w:val="Compact"/>
              <w:jc w:val="center"/>
            </w:pPr>
            <w:r>
              <w:t xml:space="preserve">7.92</w:t>
            </w:r>
          </w:p>
        </w:tc>
        <w:tc>
          <w:tcPr/>
          <w:p>
            <w:pPr>
              <w:pStyle w:val="Compact"/>
              <w:jc w:val="center"/>
            </w:pPr>
            <w:r>
              <w:t xml:space="preserve">10.57</w:t>
            </w:r>
          </w:p>
        </w:tc>
        <w:tc>
          <w:tcPr/>
          <w:p>
            <w:pPr>
              <w:pStyle w:val="Compact"/>
              <w:jc w:val="center"/>
            </w:pPr>
            <w:r>
              <w:t xml:space="preserve">22,424</w:t>
            </w:r>
          </w:p>
        </w:tc>
        <w:tc>
          <w:tcPr/>
          <w:p>
            <w:pPr>
              <w:pStyle w:val="Compact"/>
              <w:jc w:val="center"/>
            </w:pPr>
            <w:r>
              <w:t xml:space="preserve">51.98</w:t>
            </w:r>
          </w:p>
        </w:tc>
      </w:tr>
      <w:tr>
        <w:tc>
          <w:tcPr/>
          <w:p>
            <w:pPr>
              <w:pStyle w:val="Compact"/>
              <w:jc w:val="center"/>
            </w:pPr>
            <w:r>
              <w:t xml:space="preserve">&gt;=$20_&lt;$40</w:t>
            </w:r>
          </w:p>
        </w:tc>
        <w:tc>
          <w:tcPr/>
          <w:p>
            <w:pPr>
              <w:pStyle w:val="Compact"/>
              <w:jc w:val="center"/>
            </w:pPr>
            <w:r>
              <w:t xml:space="preserve">25.17</w:t>
            </w:r>
          </w:p>
        </w:tc>
        <w:tc>
          <w:tcPr/>
          <w:p>
            <w:pPr>
              <w:pStyle w:val="Compact"/>
              <w:jc w:val="center"/>
            </w:pPr>
            <w:r>
              <w:t xml:space="preserve">33.57</w:t>
            </w:r>
          </w:p>
        </w:tc>
        <w:tc>
          <w:tcPr/>
          <w:p>
            <w:pPr>
              <w:pStyle w:val="Compact"/>
              <w:jc w:val="center"/>
            </w:pPr>
            <w:r>
              <w:t xml:space="preserve">4,738</w:t>
            </w:r>
          </w:p>
        </w:tc>
        <w:tc>
          <w:tcPr/>
          <w:p>
            <w:pPr>
              <w:pStyle w:val="Compact"/>
              <w:jc w:val="center"/>
            </w:pPr>
            <w:r>
              <w:t xml:space="preserve">10.98</w:t>
            </w:r>
          </w:p>
        </w:tc>
      </w:tr>
      <w:tr>
        <w:tc>
          <w:tcPr/>
          <w:p>
            <w:pPr>
              <w:pStyle w:val="Compact"/>
              <w:jc w:val="center"/>
            </w:pPr>
            <w:r>
              <w:t xml:space="preserve">&gt;=$40_&lt;$60</w:t>
            </w:r>
          </w:p>
        </w:tc>
        <w:tc>
          <w:tcPr/>
          <w:p>
            <w:pPr>
              <w:pStyle w:val="Compact"/>
              <w:jc w:val="center"/>
            </w:pPr>
            <w:r>
              <w:t xml:space="preserve">34.06</w:t>
            </w:r>
          </w:p>
        </w:tc>
        <w:tc>
          <w:tcPr/>
          <w:p>
            <w:pPr>
              <w:pStyle w:val="Compact"/>
              <w:jc w:val="center"/>
            </w:pPr>
            <w:r>
              <w:t xml:space="preserve">45.43</w:t>
            </w:r>
          </w:p>
        </w:tc>
        <w:tc>
          <w:tcPr/>
          <w:p>
            <w:pPr>
              <w:pStyle w:val="Compact"/>
              <w:jc w:val="center"/>
            </w:pPr>
            <w:r>
              <w:t xml:space="preserve">5,759</w:t>
            </w:r>
          </w:p>
        </w:tc>
        <w:tc>
          <w:tcPr/>
          <w:p>
            <w:pPr>
              <w:pStyle w:val="Compact"/>
              <w:jc w:val="center"/>
            </w:pPr>
            <w:r>
              <w:t xml:space="preserve">13.35</w:t>
            </w:r>
          </w:p>
        </w:tc>
      </w:tr>
      <w:tr>
        <w:tc>
          <w:tcPr/>
          <w:p>
            <w:pPr>
              <w:pStyle w:val="Compact"/>
              <w:jc w:val="center"/>
            </w:pPr>
            <w:r>
              <w:t xml:space="preserve">&gt;=$60_&lt;$100</w:t>
            </w:r>
          </w:p>
        </w:tc>
        <w:tc>
          <w:tcPr/>
          <w:p>
            <w:pPr>
              <w:pStyle w:val="Compact"/>
              <w:jc w:val="center"/>
            </w:pPr>
            <w:r>
              <w:t xml:space="preserve">53.66</w:t>
            </w:r>
          </w:p>
        </w:tc>
        <w:tc>
          <w:tcPr/>
          <w:p>
            <w:pPr>
              <w:pStyle w:val="Compact"/>
              <w:jc w:val="center"/>
            </w:pPr>
            <w:r>
              <w:t xml:space="preserve">71.58</w:t>
            </w:r>
          </w:p>
        </w:tc>
        <w:tc>
          <w:tcPr/>
          <w:p>
            <w:pPr>
              <w:pStyle w:val="Compact"/>
              <w:jc w:val="center"/>
            </w:pPr>
            <w:r>
              <w:t xml:space="preserve">3,629</w:t>
            </w:r>
          </w:p>
        </w:tc>
        <w:tc>
          <w:tcPr/>
          <w:p>
            <w:pPr>
              <w:pStyle w:val="Compact"/>
              <w:jc w:val="center"/>
            </w:pPr>
            <w:r>
              <w:t xml:space="preserve">8.41</w:t>
            </w:r>
          </w:p>
        </w:tc>
      </w:tr>
      <w:tr>
        <w:tc>
          <w:tcPr/>
          <w:p>
            <w:pPr>
              <w:pStyle w:val="Compact"/>
              <w:jc w:val="center"/>
            </w:pPr>
            <w:r>
              <w:t xml:space="preserve">&gt;=$100_&lt;$200</w:t>
            </w:r>
          </w:p>
        </w:tc>
        <w:tc>
          <w:tcPr/>
          <w:p>
            <w:pPr>
              <w:pStyle w:val="Compact"/>
              <w:jc w:val="center"/>
            </w:pPr>
            <w:r>
              <w:t xml:space="preserve">79.86</w:t>
            </w:r>
          </w:p>
        </w:tc>
        <w:tc>
          <w:tcPr/>
          <w:p>
            <w:pPr>
              <w:pStyle w:val="Compact"/>
              <w:jc w:val="center"/>
            </w:pPr>
            <w:r>
              <w:t xml:space="preserve">106.5</w:t>
            </w:r>
          </w:p>
        </w:tc>
        <w:tc>
          <w:tcPr/>
          <w:p>
            <w:pPr>
              <w:pStyle w:val="Compact"/>
              <w:jc w:val="center"/>
            </w:pPr>
            <w:r>
              <w:t xml:space="preserve">931</w:t>
            </w:r>
          </w:p>
        </w:tc>
        <w:tc>
          <w:tcPr/>
          <w:p>
            <w:pPr>
              <w:pStyle w:val="Compact"/>
              <w:jc w:val="center"/>
            </w:pPr>
            <w:r>
              <w:t xml:space="preserve">2.16</w:t>
            </w:r>
          </w:p>
        </w:tc>
      </w:tr>
      <w:tr>
        <w:tc>
          <w:tcPr/>
          <w:p>
            <w:pPr>
              <w:pStyle w:val="Compact"/>
              <w:jc w:val="center"/>
            </w:pPr>
            <w:r>
              <w:t xml:space="preserve">&gt;=$200</w:t>
            </w:r>
          </w:p>
        </w:tc>
        <w:tc>
          <w:tcPr/>
          <w:p>
            <w:pPr>
              <w:pStyle w:val="Compact"/>
              <w:jc w:val="center"/>
            </w:pPr>
            <w:r>
              <w:t xml:space="preserve">199.2</w:t>
            </w:r>
          </w:p>
        </w:tc>
        <w:tc>
          <w:tcPr/>
          <w:p>
            <w:pPr>
              <w:pStyle w:val="Compact"/>
              <w:jc w:val="center"/>
            </w:pPr>
            <w:r>
              <w:t xml:space="preserve">265.6</w:t>
            </w:r>
          </w:p>
        </w:tc>
        <w:tc>
          <w:tcPr/>
          <w:p>
            <w:pPr>
              <w:pStyle w:val="Compact"/>
              <w:jc w:val="center"/>
            </w:pPr>
            <w:r>
              <w:t xml:space="preserve">4</w:t>
            </w:r>
          </w:p>
        </w:tc>
        <w:tc>
          <w:tcPr/>
          <w:p>
            <w:pPr>
              <w:pStyle w:val="Compact"/>
              <w:jc w:val="center"/>
            </w:pPr>
            <w:r>
              <w:t xml:space="preserve">0.01</w:t>
            </w:r>
          </w:p>
        </w:tc>
      </w:tr>
    </w:tbl>
    <w:p>
      <w:pPr>
        <w:pStyle w:val="BodyText"/>
      </w:pPr>
    </w:p>
    <w:p>
      <w:pPr>
        <w:pStyle w:val="BodyText"/>
      </w:pPr>
      <w:r>
        <w:t xml:space="preserve">Around 10.5% of beneficiaries of monthly cash-based transfers have received more than 50% of the value of the minimum expenditure basket for food. Notably, 13% of beneficiary households have received less than USD 10 per household per month. This underscores the importance of standardisation: beneficiaries have already received very different package amounts and there is a pressing need to collect information on whether cash transfers (and food baskets) have been designed to be full rations, half rations or are instead intended to be supplementary activities. This is key from a coordination standpoint as we cannot consider the food security needs of those who have only received supplementary transfers to have been covered.</w:t>
      </w:r>
    </w:p>
    <w:p>
      <w:pPr>
        <w:pStyle w:val="BodyText"/>
      </w:pPr>
    </w:p>
    <w:bookmarkEnd w:id="36"/>
    <w:bookmarkEnd w:id="37"/>
    <w:bookmarkStart w:id="46" w:name="partners"/>
    <w:p>
      <w:pPr>
        <w:pStyle w:val="Heading2"/>
      </w:pPr>
      <w:r>
        <w:t xml:space="preserve">3. Partners</w:t>
      </w:r>
    </w:p>
    <w:p>
      <w:pPr>
        <w:pStyle w:val="FirstParagraph"/>
      </w:pPr>
      <w:r>
        <w:t xml:space="preserve">Of the implementing partners of the Food Security Cluster, a total of 62 of them classified themselves as implementing partners within the 5Ws. They are fairly evenly split themselves between HRP indicators, with 36 contributing towards food and cash assistance and 39 contributing towards agriculture and other livelihood support. 34 partners have reached less than 10,000 unique beneficiaries and the median unique beneficiaries reached by partners is 6,118. Below are the top 10 partners by HRP indicator. As a side note, Zigway should be considered as a vendor/supplier of WFP, and not the implementing partner – some follow up with WFP will be necessary to rectify this.</w:t>
      </w:r>
    </w:p>
    <w:p>
      <w:pPr>
        <w:pStyle w:val="TableCaption"/>
      </w:pPr>
      <w:r>
        <w:t xml:space="preserve">Top 10 partners by beneficiaries reached, by HRP indicator</w:t>
      </w:r>
    </w:p>
    <w:tbl>
      <w:tblPr>
        <w:tblStyle w:val="Table"/>
        <w:tblW w:type="pct" w:w="5000"/>
        <w:tblLook w:firstRow="1" w:lastRow="0" w:firstColumn="0" w:lastColumn="0" w:noHBand="0" w:noVBand="0" w:val="0020"/>
        <w:tblCaption w:val="Top 10 partners by beneficiaries reached, by HRP indicator"/>
      </w:tblPr>
      <w:tblGrid>
        <w:gridCol w:w="1867"/>
        <w:gridCol w:w="1802"/>
        <w:gridCol w:w="193"/>
        <w:gridCol w:w="1931"/>
        <w:gridCol w:w="2124"/>
      </w:tblGrid>
      <w:tr>
        <w:trPr>
          <w:tblHeader w:val="true"/>
        </w:trPr>
        <w:tc>
          <w:tcPr/>
          <w:p>
            <w:pPr>
              <w:pStyle w:val="Compact"/>
              <w:jc w:val="center"/>
            </w:pPr>
            <w:r>
              <w:t xml:space="preserve">Partners HRP indicator1</w:t>
            </w:r>
          </w:p>
        </w:tc>
        <w:tc>
          <w:tcPr/>
          <w:p>
            <w:pPr>
              <w:pStyle w:val="Compact"/>
              <w:jc w:val="center"/>
            </w:pPr>
            <w:r>
              <w:t xml:space="preserve">1. Number of people who</w:t>
            </w:r>
            <w:r>
              <w:t xml:space="preserve"> </w:t>
            </w:r>
            <w:r>
              <w:t xml:space="preserve">received food and/or cash</w:t>
            </w:r>
            <w:r>
              <w:t xml:space="preserve"> </w:t>
            </w:r>
            <w:r>
              <w:t xml:space="preserve">assistance</w:t>
            </w:r>
          </w:p>
        </w:tc>
        <w:tc>
          <w:tcPr/>
          <w:p>
            <w:pPr>
              <w:pStyle w:val="Compact"/>
            </w:pPr>
          </w:p>
        </w:tc>
        <w:tc>
          <w:tcPr/>
          <w:p>
            <w:pPr>
              <w:pStyle w:val="Compact"/>
              <w:jc w:val="center"/>
            </w:pPr>
            <w:r>
              <w:t xml:space="preserve">Partners HRP indicator2</w:t>
            </w:r>
          </w:p>
        </w:tc>
        <w:tc>
          <w:tcPr/>
          <w:p>
            <w:pPr>
              <w:pStyle w:val="Compact"/>
              <w:jc w:val="center"/>
            </w:pPr>
            <w:r>
              <w:t xml:space="preserve">2. Number of people who</w:t>
            </w:r>
            <w:r>
              <w:t xml:space="preserve"> </w:t>
            </w:r>
            <w:r>
              <w:t xml:space="preserve">received agriculture and other</w:t>
            </w:r>
            <w:r>
              <w:t xml:space="preserve"> </w:t>
            </w:r>
            <w:r>
              <w:t xml:space="preserve">livelihood support</w:t>
            </w:r>
          </w:p>
        </w:tc>
      </w:tr>
      <w:tr>
        <w:tc>
          <w:tcPr/>
          <w:p>
            <w:pPr>
              <w:pStyle w:val="Compact"/>
              <w:jc w:val="center"/>
            </w:pPr>
            <w:r>
              <w:t xml:space="preserve">MRCS</w:t>
            </w:r>
          </w:p>
        </w:tc>
        <w:tc>
          <w:tcPr/>
          <w:p>
            <w:pPr>
              <w:pStyle w:val="Compact"/>
              <w:jc w:val="center"/>
            </w:pPr>
            <w:r>
              <w:t xml:space="preserve">640,223</w:t>
            </w:r>
          </w:p>
        </w:tc>
        <w:tc>
          <w:tcPr/>
          <w:p>
            <w:pPr>
              <w:pStyle w:val="Compact"/>
            </w:pPr>
          </w:p>
        </w:tc>
        <w:tc>
          <w:tcPr/>
          <w:p>
            <w:pPr>
              <w:pStyle w:val="Compact"/>
              <w:jc w:val="center"/>
            </w:pPr>
            <w:r>
              <w:t xml:space="preserve">CESVI Foundation</w:t>
            </w:r>
          </w:p>
        </w:tc>
        <w:tc>
          <w:tcPr/>
          <w:p>
            <w:pPr>
              <w:pStyle w:val="Compact"/>
              <w:jc w:val="center"/>
            </w:pPr>
            <w:r>
              <w:t xml:space="preserve">196,869</w:t>
            </w:r>
          </w:p>
        </w:tc>
      </w:tr>
      <w:tr>
        <w:tc>
          <w:tcPr/>
          <w:p>
            <w:pPr>
              <w:pStyle w:val="Compact"/>
              <w:jc w:val="center"/>
            </w:pPr>
            <w:r>
              <w:t xml:space="preserve">Open Data Myanmar (ODM)</w:t>
            </w:r>
          </w:p>
        </w:tc>
        <w:tc>
          <w:tcPr/>
          <w:p>
            <w:pPr>
              <w:pStyle w:val="Compact"/>
              <w:jc w:val="center"/>
            </w:pPr>
            <w:r>
              <w:t xml:space="preserve">400,933</w:t>
            </w:r>
          </w:p>
        </w:tc>
        <w:tc>
          <w:tcPr/>
          <w:p>
            <w:pPr>
              <w:pStyle w:val="Compact"/>
            </w:pPr>
          </w:p>
        </w:tc>
        <w:tc>
          <w:tcPr/>
          <w:p>
            <w:pPr>
              <w:pStyle w:val="Compact"/>
              <w:jc w:val="center"/>
            </w:pPr>
            <w:r>
              <w:t xml:space="preserve">Center for Social Integrity</w:t>
            </w:r>
            <w:r>
              <w:t xml:space="preserve"> </w:t>
            </w:r>
            <w:r>
              <w:t xml:space="preserve">(CSI)</w:t>
            </w:r>
          </w:p>
        </w:tc>
        <w:tc>
          <w:tcPr/>
          <w:p>
            <w:pPr>
              <w:pStyle w:val="Compact"/>
              <w:jc w:val="center"/>
            </w:pPr>
            <w:r>
              <w:t xml:space="preserve">84,427</w:t>
            </w:r>
          </w:p>
        </w:tc>
      </w:tr>
      <w:tr>
        <w:tc>
          <w:tcPr/>
          <w:p>
            <w:pPr>
              <w:pStyle w:val="Compact"/>
              <w:jc w:val="center"/>
            </w:pPr>
            <w:r>
              <w:t xml:space="preserve">Zigway</w:t>
            </w:r>
          </w:p>
        </w:tc>
        <w:tc>
          <w:tcPr/>
          <w:p>
            <w:pPr>
              <w:pStyle w:val="Compact"/>
              <w:jc w:val="center"/>
            </w:pPr>
            <w:r>
              <w:t xml:space="preserve">223,478</w:t>
            </w:r>
          </w:p>
        </w:tc>
        <w:tc>
          <w:tcPr/>
          <w:p>
            <w:pPr>
              <w:pStyle w:val="Compact"/>
            </w:pPr>
          </w:p>
        </w:tc>
        <w:tc>
          <w:tcPr/>
          <w:p>
            <w:pPr>
              <w:pStyle w:val="Compact"/>
              <w:jc w:val="center"/>
            </w:pPr>
            <w:r>
              <w:t xml:space="preserve">Helen Keller International</w:t>
            </w:r>
          </w:p>
        </w:tc>
        <w:tc>
          <w:tcPr/>
          <w:p>
            <w:pPr>
              <w:pStyle w:val="Compact"/>
              <w:jc w:val="center"/>
            </w:pPr>
            <w:r>
              <w:t xml:space="preserve">57,287</w:t>
            </w:r>
          </w:p>
        </w:tc>
      </w:tr>
      <w:tr>
        <w:tc>
          <w:tcPr/>
          <w:p>
            <w:pPr>
              <w:pStyle w:val="Compact"/>
              <w:jc w:val="center"/>
            </w:pPr>
            <w:r>
              <w:t xml:space="preserve">Hlaingthayar Development</w:t>
            </w:r>
            <w:r>
              <w:t xml:space="preserve"> </w:t>
            </w:r>
            <w:r>
              <w:t xml:space="preserve">Network</w:t>
            </w:r>
          </w:p>
        </w:tc>
        <w:tc>
          <w:tcPr/>
          <w:p>
            <w:pPr>
              <w:pStyle w:val="Compact"/>
              <w:jc w:val="center"/>
            </w:pPr>
            <w:r>
              <w:t xml:space="preserve">204,275</w:t>
            </w:r>
          </w:p>
        </w:tc>
        <w:tc>
          <w:tcPr/>
          <w:p>
            <w:pPr>
              <w:pStyle w:val="Compact"/>
            </w:pPr>
          </w:p>
        </w:tc>
        <w:tc>
          <w:tcPr/>
          <w:p>
            <w:pPr>
              <w:pStyle w:val="Compact"/>
              <w:jc w:val="center"/>
            </w:pPr>
            <w:r>
              <w:t xml:space="preserve">Action for Green Earth</w:t>
            </w:r>
          </w:p>
        </w:tc>
        <w:tc>
          <w:tcPr/>
          <w:p>
            <w:pPr>
              <w:pStyle w:val="Compact"/>
              <w:jc w:val="center"/>
            </w:pPr>
            <w:r>
              <w:t xml:space="preserve">29,425</w:t>
            </w:r>
          </w:p>
        </w:tc>
      </w:tr>
      <w:tr>
        <w:tc>
          <w:tcPr/>
          <w:p>
            <w:pPr>
              <w:pStyle w:val="Compact"/>
              <w:jc w:val="center"/>
            </w:pPr>
            <w:r>
              <w:t xml:space="preserve">Urban Strength (US)</w:t>
            </w:r>
          </w:p>
        </w:tc>
        <w:tc>
          <w:tcPr/>
          <w:p>
            <w:pPr>
              <w:pStyle w:val="Compact"/>
              <w:jc w:val="center"/>
            </w:pPr>
            <w:r>
              <w:t xml:space="preserve">201,732</w:t>
            </w:r>
          </w:p>
        </w:tc>
        <w:tc>
          <w:tcPr/>
          <w:p>
            <w:pPr>
              <w:pStyle w:val="Compact"/>
            </w:pPr>
          </w:p>
        </w:tc>
        <w:tc>
          <w:tcPr/>
          <w:p>
            <w:pPr>
              <w:pStyle w:val="Compact"/>
              <w:jc w:val="center"/>
            </w:pPr>
            <w:r>
              <w:t xml:space="preserve">Action Contre la Faim</w:t>
            </w:r>
          </w:p>
        </w:tc>
        <w:tc>
          <w:tcPr/>
          <w:p>
            <w:pPr>
              <w:pStyle w:val="Compact"/>
              <w:jc w:val="center"/>
            </w:pPr>
            <w:r>
              <w:t xml:space="preserve">23,128</w:t>
            </w:r>
          </w:p>
        </w:tc>
      </w:tr>
      <w:tr>
        <w:tc>
          <w:tcPr/>
          <w:p>
            <w:pPr>
              <w:pStyle w:val="Compact"/>
              <w:jc w:val="center"/>
            </w:pPr>
            <w:r>
              <w:t xml:space="preserve">World Vision Myanmar</w:t>
            </w:r>
          </w:p>
        </w:tc>
        <w:tc>
          <w:tcPr/>
          <w:p>
            <w:pPr>
              <w:pStyle w:val="Compact"/>
              <w:jc w:val="center"/>
            </w:pPr>
            <w:r>
              <w:t xml:space="preserve">180,741</w:t>
            </w:r>
          </w:p>
        </w:tc>
        <w:tc>
          <w:tcPr/>
          <w:p>
            <w:pPr>
              <w:pStyle w:val="Compact"/>
            </w:pPr>
          </w:p>
        </w:tc>
        <w:tc>
          <w:tcPr/>
          <w:p>
            <w:pPr>
              <w:pStyle w:val="Compact"/>
              <w:jc w:val="center"/>
            </w:pPr>
            <w:r>
              <w:t xml:space="preserve">People for People</w:t>
            </w:r>
          </w:p>
        </w:tc>
        <w:tc>
          <w:tcPr/>
          <w:p>
            <w:pPr>
              <w:pStyle w:val="Compact"/>
              <w:jc w:val="center"/>
            </w:pPr>
            <w:r>
              <w:t xml:space="preserve">18,273</w:t>
            </w:r>
          </w:p>
        </w:tc>
      </w:tr>
      <w:tr>
        <w:tc>
          <w:tcPr/>
          <w:p>
            <w:pPr>
              <w:pStyle w:val="Compact"/>
              <w:jc w:val="center"/>
            </w:pPr>
            <w:r>
              <w:t xml:space="preserve">WFP</w:t>
            </w:r>
          </w:p>
        </w:tc>
        <w:tc>
          <w:tcPr/>
          <w:p>
            <w:pPr>
              <w:pStyle w:val="Compact"/>
              <w:jc w:val="center"/>
            </w:pPr>
            <w:r>
              <w:t xml:space="preserve">110,235</w:t>
            </w:r>
          </w:p>
        </w:tc>
        <w:tc>
          <w:tcPr/>
          <w:p>
            <w:pPr>
              <w:pStyle w:val="Compact"/>
            </w:pPr>
          </w:p>
        </w:tc>
        <w:tc>
          <w:tcPr/>
          <w:p>
            <w:pPr>
              <w:pStyle w:val="Compact"/>
              <w:jc w:val="center"/>
            </w:pPr>
            <w:r>
              <w:t xml:space="preserve">World Vision Myanmar</w:t>
            </w:r>
          </w:p>
        </w:tc>
        <w:tc>
          <w:tcPr/>
          <w:p>
            <w:pPr>
              <w:pStyle w:val="Compact"/>
              <w:jc w:val="center"/>
            </w:pPr>
            <w:r>
              <w:t xml:space="preserve">18,040</w:t>
            </w:r>
          </w:p>
        </w:tc>
      </w:tr>
      <w:tr>
        <w:tc>
          <w:tcPr/>
          <w:p>
            <w:pPr>
              <w:pStyle w:val="Compact"/>
              <w:jc w:val="center"/>
            </w:pPr>
            <w:r>
              <w:t xml:space="preserve">Hlaingthayar Youth Network</w:t>
            </w:r>
          </w:p>
        </w:tc>
        <w:tc>
          <w:tcPr/>
          <w:p>
            <w:pPr>
              <w:pStyle w:val="Compact"/>
              <w:jc w:val="center"/>
            </w:pPr>
            <w:r>
              <w:t xml:space="preserve">96,145</w:t>
            </w:r>
          </w:p>
        </w:tc>
        <w:tc>
          <w:tcPr/>
          <w:p>
            <w:pPr>
              <w:pStyle w:val="Compact"/>
            </w:pPr>
          </w:p>
        </w:tc>
        <w:tc>
          <w:tcPr/>
          <w:p>
            <w:pPr>
              <w:pStyle w:val="Compact"/>
              <w:jc w:val="center"/>
            </w:pPr>
            <w:r>
              <w:t xml:space="preserve">Myanmar Heart Development</w:t>
            </w:r>
            <w:r>
              <w:t xml:space="preserve"> </w:t>
            </w:r>
            <w:r>
              <w:t xml:space="preserve">Organization</w:t>
            </w:r>
          </w:p>
        </w:tc>
        <w:tc>
          <w:tcPr/>
          <w:p>
            <w:pPr>
              <w:pStyle w:val="Compact"/>
              <w:jc w:val="center"/>
            </w:pPr>
            <w:r>
              <w:t xml:space="preserve">11,170</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70,664</w:t>
            </w:r>
          </w:p>
        </w:tc>
        <w:tc>
          <w:tcPr/>
          <w:p>
            <w:pPr>
              <w:pStyle w:val="Compact"/>
            </w:pPr>
          </w:p>
        </w:tc>
        <w:tc>
          <w:tcPr/>
          <w:p>
            <w:pPr>
              <w:pStyle w:val="Compact"/>
              <w:jc w:val="center"/>
            </w:pPr>
            <w:r>
              <w:t xml:space="preserve">Da-Nu National Affairs</w:t>
            </w:r>
            <w:r>
              <w:t xml:space="preserve"> </w:t>
            </w:r>
            <w:r>
              <w:t xml:space="preserve">organization (DNAO)</w:t>
            </w:r>
          </w:p>
        </w:tc>
        <w:tc>
          <w:tcPr/>
          <w:p>
            <w:pPr>
              <w:pStyle w:val="Compact"/>
              <w:jc w:val="center"/>
            </w:pPr>
            <w:r>
              <w:t xml:space="preserve">9,266</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70,014</w:t>
            </w:r>
          </w:p>
        </w:tc>
        <w:tc>
          <w:tcPr/>
          <w:p>
            <w:pPr>
              <w:pStyle w:val="Compact"/>
            </w:pPr>
          </w:p>
        </w:tc>
        <w:tc>
          <w:tcPr/>
          <w:p>
            <w:pPr>
              <w:pStyle w:val="Compact"/>
              <w:jc w:val="center"/>
            </w:pPr>
            <w:r>
              <w:t xml:space="preserve">WFP</w:t>
            </w:r>
          </w:p>
        </w:tc>
        <w:tc>
          <w:tcPr/>
          <w:p>
            <w:pPr>
              <w:pStyle w:val="Compact"/>
              <w:jc w:val="center"/>
            </w:pPr>
            <w:r>
              <w:t xml:space="preserve">8,061</w:t>
            </w:r>
          </w:p>
        </w:tc>
      </w:tr>
    </w:tbl>
    <w:p>
      <w:pPr>
        <w:pStyle w:val="BodyText"/>
      </w:pPr>
    </w:p>
    <w:bookmarkStart w:id="38" w:name="Xd360fe506abb11266afddaf3157974fbc2f68b0"/>
    <w:p>
      <w:pPr>
        <w:pStyle w:val="Heading3"/>
      </w:pPr>
      <w:r>
        <w:t xml:space="preserve">3.1 Distribution of partners by beneficiaries and geographic reach</w:t>
      </w:r>
    </w:p>
    <w:p>
      <w:pPr>
        <w:pStyle w:val="FirstParagraph"/>
      </w:pPr>
      <w:r>
        <w:t xml:space="preserve">Whilst there is quite a bit of variation in the number of beneficiaries reached, we can see that partners’ geographic footprints are – on the whole – quite limited. Only 8 partners have a presence in more than 10 townships, with only 13 being present in more than 5 townships. 78% of our partners (clustered along the bottom of the chart) are present in 5 or less townships. This distribution of partners is an impediment to a countrywide response and it is imperative to understand how best to incentivise partners to expand their footprints.</w:t>
      </w:r>
    </w:p>
    <w:p>
      <w:pPr>
        <w:pStyle w:val="BodyText"/>
      </w:pPr>
    </w:p>
    <w:p>
      <w:pPr>
        <w:pStyle w:val="BodyText"/>
      </w:pPr>
    </w:p>
    <w:bookmarkEnd w:id="38"/>
    <w:bookmarkStart w:id="40" w:name="X4c03ecc29698aee34d0209a0cbe8fd3ac03148f"/>
    <w:p>
      <w:pPr>
        <w:pStyle w:val="Heading3"/>
      </w:pPr>
      <w:r>
        <w:t xml:space="preserve">3.2 Maps of number of partners and 2022 people in need by state/region</w:t>
      </w:r>
    </w:p>
    <w:p>
      <w:pPr>
        <w:pStyle w:val="FirstParagraph"/>
      </w:pPr>
      <w:r>
        <w:t xml:space="preserve">Food Security Cluster partners are not well-positioned to meet the needs of the 2022 population in need. Partners are largely concentrated in Kachin, Rakhine and Yangon, with only one partner present in Shan (East) and two in Tanintharyi.</w:t>
      </w:r>
    </w:p>
    <w:p>
      <w:pPr>
        <w:pStyle w:val="BodyText"/>
      </w:pPr>
      <w:r>
        <w:t xml:space="preserve">Overall, 58% of townships, containing 46% of the 2022 PIN, do not have any partners present. This lack of nationwide coverage will be one of the most important constraints that the FSC will face in meeting the 2022 needs of vulnerable, food insecure persons and IDPs – and resolving this will necessitate both increasing partner coverage and finding new partners for the cluster.</w:t>
      </w:r>
    </w:p>
    <w:p>
      <w:pPr>
        <w:pStyle w:val="BodyText"/>
      </w:pPr>
      <w:r>
        <w:drawing>
          <wp:inline>
            <wp:extent cx="5334000" cy="5926666"/>
            <wp:effectExtent b="0" l="0" r="0" t="0"/>
            <wp:docPr descr="" title="" id="1" name="Picture"/>
            <a:graphic>
              <a:graphicData uri="http://schemas.openxmlformats.org/drawingml/2006/picture">
                <pic:pic>
                  <pic:nvPicPr>
                    <pic:cNvPr descr="initial_observations_word_files/figure-docx/map-partners-pin-township-1.png" id="0"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p>
    <w:bookmarkEnd w:id="40"/>
    <w:bookmarkStart w:id="42" w:name="monthly-progress-by-partner"/>
    <w:p>
      <w:pPr>
        <w:pStyle w:val="Heading3"/>
      </w:pPr>
      <w:r>
        <w:t xml:space="preserve">3.3 Monthly progress by partner</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partners-progress-over-time-facet-1.png" id="0"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plot above shows the top 20 partners by number of beneficiaries reached in 2021, with the red line indicating July 2021, when the HRP addendum was approved and published. We can see that many, on the whole, the HRP addendum had a very large effect on the number of beneficiaries reached – most partners enacted a significant ramp up and reached the majority of beneficiaries after it was published. Exceptions to this include organisations such as CESVI, Helen Keller International, Save the Children and Myanmar Heart Development Organisation, who established most of their caseload prior to July 2021.</w:t>
      </w:r>
    </w:p>
    <w:p>
      <w:pPr>
        <w:pStyle w:val="BodyText"/>
      </w:pPr>
    </w:p>
    <w:bookmarkEnd w:id="42"/>
    <w:bookmarkStart w:id="43" w:name="types-of-implementing-partners"/>
    <w:p>
      <w:pPr>
        <w:pStyle w:val="Heading3"/>
      </w:pPr>
      <w:r>
        <w:t xml:space="preserve">3.4 Types of implementing partners</w:t>
      </w:r>
    </w:p>
    <w:p>
      <w:pPr>
        <w:pStyle w:val="TableCaption"/>
      </w:pPr>
      <w:r>
        <w:t xml:space="preserve">Average reach by implementing partner type</w:t>
      </w:r>
    </w:p>
    <w:tbl>
      <w:tblPr>
        <w:tblStyle w:val="Table"/>
        <w:tblW w:type="pct" w:w="5000"/>
        <w:tblLook w:firstRow="1" w:lastRow="0" w:firstColumn="0" w:lastColumn="0" w:noHBand="0" w:noVBand="0" w:val="0020"/>
        <w:tblCaption w:val="Average reach by implementing partner type"/>
      </w:tblPr>
      <w:tblGrid>
        <w:gridCol w:w="2880"/>
        <w:gridCol w:w="2057"/>
        <w:gridCol w:w="1645"/>
        <w:gridCol w:w="1337"/>
      </w:tblGrid>
      <w:tr>
        <w:trPr>
          <w:tblHeader w:val="true"/>
        </w:trPr>
        <w:tc>
          <w:tcPr/>
          <w:p>
            <w:pPr>
              <w:pStyle w:val="Compact"/>
              <w:jc w:val="center"/>
            </w:pPr>
            <w:r>
              <w:t xml:space="preserve">implementing_partner_type</w:t>
            </w:r>
          </w:p>
        </w:tc>
        <w:tc>
          <w:tcPr/>
          <w:p>
            <w:pPr>
              <w:pStyle w:val="Compact"/>
              <w:jc w:val="center"/>
            </w:pPr>
            <w:r>
              <w:t xml:space="preserve">avg_beneficiaries</w:t>
            </w:r>
          </w:p>
        </w:tc>
        <w:tc>
          <w:tcPr/>
          <w:p>
            <w:pPr>
              <w:pStyle w:val="Compact"/>
              <w:jc w:val="center"/>
            </w:pPr>
            <w:r>
              <w:t xml:space="preserve">avg_townships</w:t>
            </w:r>
          </w:p>
        </w:tc>
        <w:tc>
          <w:tcPr/>
          <w:p>
            <w:pPr>
              <w:pStyle w:val="Compact"/>
              <w:jc w:val="center"/>
            </w:pPr>
            <w:r>
              <w:t xml:space="preserve">avg_states</w:t>
            </w:r>
          </w:p>
        </w:tc>
      </w:tr>
      <w:tr>
        <w:tc>
          <w:tcPr/>
          <w:p>
            <w:pPr>
              <w:pStyle w:val="Compact"/>
              <w:jc w:val="center"/>
            </w:pPr>
            <w:r>
              <w:t xml:space="preserve">INGO</w:t>
            </w:r>
          </w:p>
        </w:tc>
        <w:tc>
          <w:tcPr/>
          <w:p>
            <w:pPr>
              <w:pStyle w:val="Compact"/>
              <w:jc w:val="center"/>
            </w:pPr>
            <w:r>
              <w:t xml:space="preserve">153,373</w:t>
            </w:r>
          </w:p>
        </w:tc>
        <w:tc>
          <w:tcPr/>
          <w:p>
            <w:pPr>
              <w:pStyle w:val="Compact"/>
              <w:jc w:val="center"/>
            </w:pPr>
            <w:r>
              <w:t xml:space="preserve">7.55</w:t>
            </w:r>
          </w:p>
        </w:tc>
        <w:tc>
          <w:tcPr/>
          <w:p>
            <w:pPr>
              <w:pStyle w:val="Compact"/>
              <w:jc w:val="center"/>
            </w:pPr>
            <w:r>
              <w:t xml:space="preserve">2.6</w:t>
            </w:r>
          </w:p>
        </w:tc>
      </w:tr>
      <w:tr>
        <w:tc>
          <w:tcPr/>
          <w:p>
            <w:pPr>
              <w:pStyle w:val="Compact"/>
              <w:jc w:val="center"/>
            </w:pPr>
            <w:r>
              <w:t xml:space="preserve">NNGO</w:t>
            </w:r>
          </w:p>
        </w:tc>
        <w:tc>
          <w:tcPr/>
          <w:p>
            <w:pPr>
              <w:pStyle w:val="Compact"/>
              <w:jc w:val="center"/>
            </w:pPr>
            <w:r>
              <w:t xml:space="preserve">110,421</w:t>
            </w:r>
          </w:p>
        </w:tc>
        <w:tc>
          <w:tcPr/>
          <w:p>
            <w:pPr>
              <w:pStyle w:val="Compact"/>
              <w:jc w:val="center"/>
            </w:pPr>
            <w:r>
              <w:t xml:space="preserve">3.1</w:t>
            </w:r>
          </w:p>
        </w:tc>
        <w:tc>
          <w:tcPr/>
          <w:p>
            <w:pPr>
              <w:pStyle w:val="Compact"/>
              <w:jc w:val="center"/>
            </w:pPr>
            <w:r>
              <w:t xml:space="preserve">1.21</w:t>
            </w:r>
          </w:p>
        </w:tc>
      </w:tr>
      <w:tr>
        <w:tc>
          <w:tcPr/>
          <w:p>
            <w:pPr>
              <w:pStyle w:val="Compact"/>
              <w:jc w:val="center"/>
            </w:pPr>
            <w:r>
              <w:t xml:space="preserve">other</w:t>
            </w:r>
          </w:p>
        </w:tc>
        <w:tc>
          <w:tcPr/>
          <w:p>
            <w:pPr>
              <w:pStyle w:val="Compact"/>
              <w:jc w:val="center"/>
            </w:pPr>
            <w:r>
              <w:t xml:space="preserve">73,975</w:t>
            </w:r>
          </w:p>
        </w:tc>
        <w:tc>
          <w:tcPr/>
          <w:p>
            <w:pPr>
              <w:pStyle w:val="Compact"/>
              <w:jc w:val="center"/>
            </w:pPr>
            <w:r>
              <w:t xml:space="preserve">2</w:t>
            </w:r>
          </w:p>
        </w:tc>
        <w:tc>
          <w:tcPr/>
          <w:p>
            <w:pPr>
              <w:pStyle w:val="Compact"/>
              <w:jc w:val="center"/>
            </w:pPr>
            <w:r>
              <w:t xml:space="preserve">1</w:t>
            </w:r>
          </w:p>
        </w:tc>
      </w:tr>
      <w:tr>
        <w:tc>
          <w:tcPr/>
          <w:p>
            <w:pPr>
              <w:pStyle w:val="Compact"/>
              <w:jc w:val="center"/>
            </w:pPr>
            <w:r>
              <w:t xml:space="preserve">UN</w:t>
            </w:r>
          </w:p>
        </w:tc>
        <w:tc>
          <w:tcPr/>
          <w:p>
            <w:pPr>
              <w:pStyle w:val="Compact"/>
              <w:jc w:val="center"/>
            </w:pPr>
            <w:r>
              <w:t xml:space="preserve">1,522,754</w:t>
            </w:r>
          </w:p>
        </w:tc>
        <w:tc>
          <w:tcPr/>
          <w:p>
            <w:pPr>
              <w:pStyle w:val="Compact"/>
              <w:jc w:val="center"/>
            </w:pPr>
            <w:r>
              <w:t xml:space="preserve">54</w:t>
            </w:r>
          </w:p>
        </w:tc>
        <w:tc>
          <w:tcPr/>
          <w:p>
            <w:pPr>
              <w:pStyle w:val="Compact"/>
              <w:jc w:val="center"/>
            </w:pPr>
            <w:r>
              <w:t xml:space="preserve">12</w:t>
            </w:r>
          </w:p>
        </w:tc>
      </w:tr>
    </w:tbl>
    <w:p>
      <w:pPr>
        <w:pStyle w:val="BodyText"/>
      </w:pPr>
    </w:p>
    <w:p>
      <w:pPr>
        <w:pStyle w:val="BodyText"/>
      </w:pPr>
      <w:r>
        <w:t xml:space="preserve">INGOs, on average, reached more beneficiaries across more townships than NNGOs, perhaps due to the generally tighter focus of several community-based organisations. There is only one agency in the</w:t>
      </w:r>
      <w:r>
        <w:t xml:space="preserve"> </w:t>
      </w:r>
      <w:r>
        <w:t xml:space="preserve">“</w:t>
      </w:r>
      <w:r>
        <w:t xml:space="preserve">UN</w:t>
      </w:r>
      <w:r>
        <w:t xml:space="preserve">”</w:t>
      </w:r>
      <w:r>
        <w:t xml:space="preserve"> </w:t>
      </w:r>
      <w:r>
        <w:t xml:space="preserve">category – WFP; the</w:t>
      </w:r>
      <w:r>
        <w:t xml:space="preserve"> </w:t>
      </w:r>
      <w:r>
        <w:t xml:space="preserve">“</w:t>
      </w:r>
      <w:r>
        <w:t xml:space="preserve">other</w:t>
      </w:r>
      <w:r>
        <w:t xml:space="preserve">”</w:t>
      </w:r>
      <w:r>
        <w:t xml:space="preserve"> </w:t>
      </w:r>
      <w:r>
        <w:t xml:space="preserve">category refers to two private limited companies which also implemented food security activities.</w:t>
      </w:r>
    </w:p>
    <w:p>
      <w:pPr>
        <w:pStyle w:val="BodyText"/>
      </w:pPr>
    </w:p>
    <w:bookmarkEnd w:id="43"/>
    <w:bookmarkStart w:id="44" w:name="reporting-organisations"/>
    <w:p>
      <w:pPr>
        <w:pStyle w:val="Heading3"/>
      </w:pPr>
      <w:r>
        <w:t xml:space="preserve">3.5 Reporting organisations</w:t>
      </w:r>
    </w:p>
    <w:p>
      <w:pPr>
        <w:pStyle w:val="FirstParagraph"/>
      </w:pPr>
      <w:r>
        <w:t xml:space="preserve">There are 72 combinations between reporting organisations and implementing partners, 23 of which are instances where the reporting organisation and the implementing partner are the same organisation; once these are filtered out, all the remaining implementing partners correspond to just 11 reporting organisations:</w:t>
      </w:r>
    </w:p>
    <w:p>
      <w:pPr>
        <w:pStyle w:val="TableCaption"/>
      </w:pPr>
      <w:r>
        <w:t xml:space="preserve">Number of implementing partners by reporting organisation</w:t>
      </w:r>
    </w:p>
    <w:tbl>
      <w:tblPr>
        <w:tblStyle w:val="Table"/>
        <w:tblW w:type="pct" w:w="3472"/>
        <w:tblLook w:firstRow="1" w:lastRow="0" w:firstColumn="0" w:lastColumn="0" w:noHBand="0" w:noVBand="0" w:val="0020"/>
        <w:tblCaption w:val="Number of implementing partners by reporting organisation"/>
      </w:tblPr>
      <w:tblGrid>
        <w:gridCol w:w="2750"/>
        <w:gridCol w:w="2750"/>
      </w:tblGrid>
      <w:tr>
        <w:trPr>
          <w:tblHeader w:val="true"/>
        </w:trPr>
        <w:tc>
          <w:tcPr/>
          <w:p>
            <w:pPr>
              <w:pStyle w:val="Compact"/>
              <w:jc w:val="center"/>
            </w:pPr>
            <w:r>
              <w:t xml:space="preserve">reporting_organization</w:t>
            </w:r>
          </w:p>
        </w:tc>
        <w:tc>
          <w:tcPr/>
          <w:p>
            <w:pPr>
              <w:pStyle w:val="Compact"/>
              <w:jc w:val="center"/>
            </w:pPr>
            <w:r>
              <w:t xml:space="preserve">implementing_partners</w:t>
            </w:r>
          </w:p>
        </w:tc>
      </w:tr>
      <w:tr>
        <w:tc>
          <w:tcPr/>
          <w:p>
            <w:pPr>
              <w:pStyle w:val="Compact"/>
              <w:jc w:val="center"/>
            </w:pPr>
            <w:r>
              <w:t xml:space="preserve">WFP</w:t>
            </w:r>
          </w:p>
        </w:tc>
        <w:tc>
          <w:tcPr/>
          <w:p>
            <w:pPr>
              <w:pStyle w:val="Compact"/>
              <w:jc w:val="center"/>
            </w:pPr>
            <w:r>
              <w:t xml:space="preserve">25</w:t>
            </w:r>
          </w:p>
        </w:tc>
      </w:tr>
      <w:tr>
        <w:tc>
          <w:tcPr/>
          <w:p>
            <w:pPr>
              <w:pStyle w:val="Compact"/>
              <w:jc w:val="center"/>
            </w:pPr>
            <w:r>
              <w:t xml:space="preserve">FAO</w:t>
            </w:r>
          </w:p>
        </w:tc>
        <w:tc>
          <w:tcPr/>
          <w:p>
            <w:pPr>
              <w:pStyle w:val="Compact"/>
              <w:jc w:val="center"/>
            </w:pPr>
            <w:r>
              <w:t xml:space="preserve">6</w:t>
            </w:r>
          </w:p>
        </w:tc>
      </w:tr>
      <w:tr>
        <w:tc>
          <w:tcPr/>
          <w:p>
            <w:pPr>
              <w:pStyle w:val="Compact"/>
              <w:jc w:val="center"/>
            </w:pPr>
            <w:r>
              <w:t xml:space="preserve">Finn Church Aid</w:t>
            </w:r>
          </w:p>
        </w:tc>
        <w:tc>
          <w:tcPr/>
          <w:p>
            <w:pPr>
              <w:pStyle w:val="Compact"/>
              <w:jc w:val="center"/>
            </w:pPr>
            <w:r>
              <w:t xml:space="preserve">4</w:t>
            </w:r>
          </w:p>
        </w:tc>
      </w:tr>
      <w:tr>
        <w:tc>
          <w:tcPr/>
          <w:p>
            <w:pPr>
              <w:pStyle w:val="Compact"/>
              <w:jc w:val="center"/>
            </w:pPr>
            <w:r>
              <w:t xml:space="preserve">Save the Children</w:t>
            </w:r>
          </w:p>
        </w:tc>
        <w:tc>
          <w:tcPr/>
          <w:p>
            <w:pPr>
              <w:pStyle w:val="Compact"/>
              <w:jc w:val="center"/>
            </w:pPr>
            <w:r>
              <w:t xml:space="preserve">4</w:t>
            </w:r>
          </w:p>
        </w:tc>
      </w:tr>
      <w:tr>
        <w:tc>
          <w:tcPr/>
          <w:p>
            <w:pPr>
              <w:pStyle w:val="Compact"/>
              <w:jc w:val="center"/>
            </w:pPr>
            <w:r>
              <w:t xml:space="preserve">Cordaid</w:t>
            </w:r>
          </w:p>
        </w:tc>
        <w:tc>
          <w:tcPr/>
          <w:p>
            <w:pPr>
              <w:pStyle w:val="Compact"/>
              <w:jc w:val="center"/>
            </w:pPr>
            <w:r>
              <w:t xml:space="preserve">2</w:t>
            </w:r>
          </w:p>
        </w:tc>
      </w:tr>
      <w:tr>
        <w:tc>
          <w:tcPr/>
          <w:p>
            <w:pPr>
              <w:pStyle w:val="Compact"/>
              <w:jc w:val="center"/>
            </w:pPr>
            <w:r>
              <w:t xml:space="preserve">Mercy Corps</w:t>
            </w:r>
          </w:p>
        </w:tc>
        <w:tc>
          <w:tcPr/>
          <w:p>
            <w:pPr>
              <w:pStyle w:val="Compact"/>
              <w:jc w:val="center"/>
            </w:pPr>
            <w:r>
              <w:t xml:space="preserve">2</w:t>
            </w:r>
          </w:p>
        </w:tc>
      </w:tr>
      <w:tr>
        <w:tc>
          <w:tcPr/>
          <w:p>
            <w:pPr>
              <w:pStyle w:val="Compact"/>
              <w:jc w:val="center"/>
            </w:pPr>
            <w:r>
              <w:t xml:space="preserve">Trocaire</w:t>
            </w:r>
          </w:p>
        </w:tc>
        <w:tc>
          <w:tcPr/>
          <w:p>
            <w:pPr>
              <w:pStyle w:val="Compact"/>
              <w:jc w:val="center"/>
            </w:pPr>
            <w:r>
              <w:t xml:space="preserve">2</w:t>
            </w:r>
          </w:p>
        </w:tc>
      </w:tr>
      <w:tr>
        <w:tc>
          <w:tcPr/>
          <w:p>
            <w:pPr>
              <w:pStyle w:val="Compact"/>
              <w:jc w:val="center"/>
            </w:pPr>
            <w:r>
              <w:t xml:space="preserve">AVSI</w:t>
            </w:r>
          </w:p>
        </w:tc>
        <w:tc>
          <w:tcPr/>
          <w:p>
            <w:pPr>
              <w:pStyle w:val="Compact"/>
              <w:jc w:val="center"/>
            </w:pPr>
            <w:r>
              <w:t xml:space="preserve">1</w:t>
            </w:r>
          </w:p>
        </w:tc>
      </w:tr>
      <w:tr>
        <w:tc>
          <w:tcPr/>
          <w:p>
            <w:pPr>
              <w:pStyle w:val="Compact"/>
              <w:jc w:val="center"/>
            </w:pPr>
            <w:r>
              <w:t xml:space="preserve">Danish Refugee Council</w:t>
            </w:r>
          </w:p>
        </w:tc>
        <w:tc>
          <w:tcPr/>
          <w:p>
            <w:pPr>
              <w:pStyle w:val="Compact"/>
              <w:jc w:val="center"/>
            </w:pPr>
            <w:r>
              <w:t xml:space="preserve">1</w:t>
            </w:r>
          </w:p>
        </w:tc>
      </w:tr>
      <w:tr>
        <w:tc>
          <w:tcPr/>
          <w:p>
            <w:pPr>
              <w:pStyle w:val="Compact"/>
              <w:jc w:val="center"/>
            </w:pPr>
            <w:r>
              <w:t xml:space="preserve">Helvetas</w:t>
            </w:r>
          </w:p>
        </w:tc>
        <w:tc>
          <w:tcPr/>
          <w:p>
            <w:pPr>
              <w:pStyle w:val="Compact"/>
              <w:jc w:val="center"/>
            </w:pPr>
            <w:r>
              <w:t xml:space="preserve">1</w:t>
            </w:r>
          </w:p>
        </w:tc>
      </w:tr>
      <w:tr>
        <w:tc>
          <w:tcPr/>
          <w:p>
            <w:pPr>
              <w:pStyle w:val="Compact"/>
              <w:jc w:val="center"/>
            </w:pPr>
            <w:r>
              <w:t xml:space="preserve">Oxfam</w:t>
            </w:r>
          </w:p>
        </w:tc>
        <w:tc>
          <w:tcPr/>
          <w:p>
            <w:pPr>
              <w:pStyle w:val="Compact"/>
              <w:jc w:val="center"/>
            </w:pPr>
            <w:r>
              <w:t xml:space="preserve">1</w:t>
            </w:r>
          </w:p>
        </w:tc>
      </w:tr>
    </w:tbl>
    <w:p>
      <w:pPr>
        <w:pStyle w:val="BodyText"/>
      </w:pPr>
    </w:p>
    <w:p>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the 5Ws, are FSC partners. However, for this report, we have used</w:t>
      </w:r>
      <w:r>
        <w:t xml:space="preserve"> </w:t>
      </w:r>
      <w:r>
        <w:rPr>
          <w:rStyle w:val="VerbatimChar"/>
        </w:rPr>
        <w:t xml:space="preserve">implementing_partners</w:t>
      </w:r>
      <w:r>
        <w:t xml:space="preserve"> </w:t>
      </w:r>
      <w:r>
        <w:t xml:space="preserve">for most of the analysis as, by their nature, reporting organisations do not have a field presence. As a side note, FAO has not classified itself as an implementing partner, having reported no activities that were directly implemented by them.</w:t>
      </w:r>
    </w:p>
    <w:p>
      <w:pPr>
        <w:pStyle w:val="BodyText"/>
      </w:pPr>
    </w:p>
    <w:bookmarkEnd w:id="44"/>
    <w:bookmarkStart w:id="45" w:name="donors"/>
    <w:p>
      <w:pPr>
        <w:pStyle w:val="Heading3"/>
      </w:pPr>
      <w:r>
        <w:t xml:space="preserve">3.6 Donors</w:t>
      </w:r>
    </w:p>
    <w:p>
      <w:pPr>
        <w:pStyle w:val="FirstParagraph"/>
      </w:pPr>
      <w:r>
        <w:t xml:space="preserve">69% of the rows had the</w:t>
      </w:r>
      <w:r>
        <w:t xml:space="preserve"> </w:t>
      </w:r>
      <w:r>
        <w:rPr>
          <w:rStyle w:val="VerbatimChar"/>
        </w:rPr>
        <w:t xml:space="preserve">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funding has been used in:</w:t>
      </w:r>
    </w:p>
    <w:p>
      <w:pPr>
        <w:pStyle w:val="TableCaption"/>
      </w:pPr>
      <w:r>
        <w:t xml:space="preserve">Top 10 donors by number of beneficairies reached with their funding</w:t>
      </w:r>
    </w:p>
    <w:tbl>
      <w:tblPr>
        <w:tblStyle w:val="Table"/>
        <w:tblW w:type="pct" w:w="4792"/>
        <w:tblLook w:firstRow="1" w:lastRow="0" w:firstColumn="0" w:lastColumn="0" w:noHBand="0" w:noVBand="0" w:val="0020"/>
        <w:tblCaption w:val="Top 10 donors by number of beneficairies reached with their funding"/>
      </w:tblPr>
      <w:tblGrid>
        <w:gridCol w:w="3190"/>
        <w:gridCol w:w="1760"/>
        <w:gridCol w:w="1320"/>
        <w:gridCol w:w="132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pc_of_ben</w:t>
            </w:r>
          </w:p>
        </w:tc>
        <w:tc>
          <w:tcPr/>
          <w:p>
            <w:pPr>
              <w:pStyle w:val="Compact"/>
              <w:jc w:val="center"/>
            </w:pPr>
            <w:r>
              <w:t xml:space="preserve">townships</w:t>
            </w:r>
          </w:p>
        </w:tc>
      </w:tr>
      <w:tr>
        <w:tc>
          <w:tcPr/>
          <w:p>
            <w:pPr>
              <w:pStyle w:val="Compact"/>
              <w:jc w:val="center"/>
            </w:pPr>
            <w:r>
              <w:t xml:space="preserve">Organizational own funds</w:t>
            </w:r>
          </w:p>
        </w:tc>
        <w:tc>
          <w:tcPr/>
          <w:p>
            <w:pPr>
              <w:pStyle w:val="Compact"/>
              <w:jc w:val="center"/>
            </w:pPr>
            <w:r>
              <w:t xml:space="preserve">191,006</w:t>
            </w:r>
          </w:p>
        </w:tc>
        <w:tc>
          <w:tcPr/>
          <w:p>
            <w:pPr>
              <w:pStyle w:val="Compact"/>
              <w:jc w:val="center"/>
            </w:pPr>
            <w:r>
              <w:t xml:space="preserve">5.86</w:t>
            </w:r>
          </w:p>
        </w:tc>
        <w:tc>
          <w:tcPr/>
          <w:p>
            <w:pPr>
              <w:pStyle w:val="Compact"/>
              <w:jc w:val="center"/>
            </w:pPr>
            <w:r>
              <w:t xml:space="preserve">36</w:t>
            </w:r>
          </w:p>
        </w:tc>
      </w:tr>
      <w:tr>
        <w:tc>
          <w:tcPr/>
          <w:p>
            <w:pPr>
              <w:pStyle w:val="Compact"/>
              <w:jc w:val="center"/>
            </w:pPr>
            <w:r>
              <w:t xml:space="preserve">UNDP</w:t>
            </w:r>
          </w:p>
        </w:tc>
        <w:tc>
          <w:tcPr/>
          <w:p>
            <w:pPr>
              <w:pStyle w:val="Compact"/>
              <w:jc w:val="center"/>
            </w:pPr>
            <w:r>
              <w:t xml:space="preserve">118,113</w:t>
            </w:r>
          </w:p>
        </w:tc>
        <w:tc>
          <w:tcPr/>
          <w:p>
            <w:pPr>
              <w:pStyle w:val="Compact"/>
              <w:jc w:val="center"/>
            </w:pPr>
            <w:r>
              <w:t xml:space="preserve">3.62</w:t>
            </w:r>
          </w:p>
        </w:tc>
        <w:tc>
          <w:tcPr/>
          <w:p>
            <w:pPr>
              <w:pStyle w:val="Compact"/>
              <w:jc w:val="center"/>
            </w:pPr>
            <w:r>
              <w:t xml:space="preserve">2</w:t>
            </w:r>
          </w:p>
        </w:tc>
      </w:tr>
      <w:tr>
        <w:tc>
          <w:tcPr/>
          <w:p>
            <w:pPr>
              <w:pStyle w:val="Compact"/>
              <w:jc w:val="center"/>
            </w:pPr>
            <w:r>
              <w:t xml:space="preserve">humanitarian Assitance and</w:t>
            </w:r>
            <w:r>
              <w:t xml:space="preserve"> </w:t>
            </w:r>
            <w:r>
              <w:t xml:space="preserve">resilience Programme</w:t>
            </w:r>
          </w:p>
        </w:tc>
        <w:tc>
          <w:tcPr/>
          <w:p>
            <w:pPr>
              <w:pStyle w:val="Compact"/>
              <w:jc w:val="center"/>
            </w:pPr>
            <w:r>
              <w:t xml:space="preserve">87,502</w:t>
            </w:r>
          </w:p>
        </w:tc>
        <w:tc>
          <w:tcPr/>
          <w:p>
            <w:pPr>
              <w:pStyle w:val="Compact"/>
              <w:jc w:val="center"/>
            </w:pPr>
            <w:r>
              <w:t xml:space="preserve">2.68</w:t>
            </w:r>
          </w:p>
        </w:tc>
        <w:tc>
          <w:tcPr/>
          <w:p>
            <w:pPr>
              <w:pStyle w:val="Compact"/>
              <w:jc w:val="center"/>
            </w:pPr>
            <w:r>
              <w:t xml:space="preserve">7</w:t>
            </w:r>
          </w:p>
        </w:tc>
      </w:tr>
      <w:tr>
        <w:tc>
          <w:tcPr/>
          <w:p>
            <w:pPr>
              <w:pStyle w:val="Compact"/>
              <w:jc w:val="center"/>
            </w:pPr>
            <w:r>
              <w:t xml:space="preserve">AICS</w:t>
            </w:r>
          </w:p>
        </w:tc>
        <w:tc>
          <w:tcPr/>
          <w:p>
            <w:pPr>
              <w:pStyle w:val="Compact"/>
              <w:jc w:val="center"/>
            </w:pPr>
            <w:r>
              <w:t xml:space="preserve">63,986</w:t>
            </w:r>
          </w:p>
        </w:tc>
        <w:tc>
          <w:tcPr/>
          <w:p>
            <w:pPr>
              <w:pStyle w:val="Compact"/>
              <w:jc w:val="center"/>
            </w:pPr>
            <w:r>
              <w:t xml:space="preserve">1.96</w:t>
            </w:r>
          </w:p>
        </w:tc>
        <w:tc>
          <w:tcPr/>
          <w:p>
            <w:pPr>
              <w:pStyle w:val="Compact"/>
              <w:jc w:val="center"/>
            </w:pPr>
            <w:r>
              <w:t xml:space="preserve">5</w:t>
            </w:r>
          </w:p>
        </w:tc>
      </w:tr>
      <w:tr>
        <w:tc>
          <w:tcPr/>
          <w:p>
            <w:pPr>
              <w:pStyle w:val="Compact"/>
              <w:jc w:val="center"/>
            </w:pPr>
            <w:r>
              <w:t xml:space="preserve">MHF</w:t>
            </w:r>
          </w:p>
        </w:tc>
        <w:tc>
          <w:tcPr/>
          <w:p>
            <w:pPr>
              <w:pStyle w:val="Compact"/>
              <w:jc w:val="center"/>
            </w:pPr>
            <w:r>
              <w:t xml:space="preserve">61,056</w:t>
            </w:r>
          </w:p>
        </w:tc>
        <w:tc>
          <w:tcPr/>
          <w:p>
            <w:pPr>
              <w:pStyle w:val="Compact"/>
              <w:jc w:val="center"/>
            </w:pPr>
            <w:r>
              <w:t xml:space="preserve">1.87</w:t>
            </w:r>
          </w:p>
        </w:tc>
        <w:tc>
          <w:tcPr/>
          <w:p>
            <w:pPr>
              <w:pStyle w:val="Compact"/>
              <w:jc w:val="center"/>
            </w:pPr>
            <w:r>
              <w:t xml:space="preserve">11</w:t>
            </w:r>
          </w:p>
        </w:tc>
      </w:tr>
      <w:tr>
        <w:tc>
          <w:tcPr/>
          <w:p>
            <w:pPr>
              <w:pStyle w:val="Compact"/>
              <w:jc w:val="center"/>
            </w:pPr>
            <w:r>
              <w:t xml:space="preserve">King Philanthropies</w:t>
            </w:r>
          </w:p>
        </w:tc>
        <w:tc>
          <w:tcPr/>
          <w:p>
            <w:pPr>
              <w:pStyle w:val="Compact"/>
              <w:jc w:val="center"/>
            </w:pPr>
            <w:r>
              <w:t xml:space="preserve">57,287</w:t>
            </w:r>
          </w:p>
        </w:tc>
        <w:tc>
          <w:tcPr/>
          <w:p>
            <w:pPr>
              <w:pStyle w:val="Compact"/>
              <w:jc w:val="center"/>
            </w:pPr>
            <w:r>
              <w:t xml:space="preserve">1.76</w:t>
            </w:r>
          </w:p>
        </w:tc>
        <w:tc>
          <w:tcPr/>
          <w:p>
            <w:pPr>
              <w:pStyle w:val="Compact"/>
              <w:jc w:val="center"/>
            </w:pPr>
            <w:r>
              <w:t xml:space="preserve">7</w:t>
            </w:r>
          </w:p>
        </w:tc>
      </w:tr>
      <w:tr>
        <w:tc>
          <w:tcPr/>
          <w:p>
            <w:pPr>
              <w:pStyle w:val="Compact"/>
              <w:jc w:val="center"/>
            </w:pPr>
            <w:r>
              <w:t xml:space="preserve">ECHO</w:t>
            </w:r>
          </w:p>
        </w:tc>
        <w:tc>
          <w:tcPr/>
          <w:p>
            <w:pPr>
              <w:pStyle w:val="Compact"/>
              <w:jc w:val="center"/>
            </w:pPr>
            <w:r>
              <w:t xml:space="preserve">26,789</w:t>
            </w:r>
          </w:p>
        </w:tc>
        <w:tc>
          <w:tcPr/>
          <w:p>
            <w:pPr>
              <w:pStyle w:val="Compact"/>
              <w:jc w:val="center"/>
            </w:pPr>
            <w:r>
              <w:t xml:space="preserve">0.82</w:t>
            </w:r>
          </w:p>
        </w:tc>
        <w:tc>
          <w:tcPr/>
          <w:p>
            <w:pPr>
              <w:pStyle w:val="Compact"/>
              <w:jc w:val="center"/>
            </w:pPr>
            <w:r>
              <w:t xml:space="preserve">3</w:t>
            </w:r>
          </w:p>
        </w:tc>
      </w:tr>
      <w:tr>
        <w:tc>
          <w:tcPr/>
          <w:p>
            <w:pPr>
              <w:pStyle w:val="Compact"/>
              <w:jc w:val="center"/>
            </w:pPr>
            <w:r>
              <w:t xml:space="preserve">FCDO</w:t>
            </w:r>
          </w:p>
        </w:tc>
        <w:tc>
          <w:tcPr/>
          <w:p>
            <w:pPr>
              <w:pStyle w:val="Compact"/>
              <w:jc w:val="center"/>
            </w:pPr>
            <w:r>
              <w:t xml:space="preserve">23,282</w:t>
            </w:r>
          </w:p>
        </w:tc>
        <w:tc>
          <w:tcPr/>
          <w:p>
            <w:pPr>
              <w:pStyle w:val="Compact"/>
              <w:jc w:val="center"/>
            </w:pPr>
            <w:r>
              <w:t xml:space="preserve">0.71</w:t>
            </w:r>
          </w:p>
        </w:tc>
        <w:tc>
          <w:tcPr/>
          <w:p>
            <w:pPr>
              <w:pStyle w:val="Compact"/>
              <w:jc w:val="center"/>
            </w:pPr>
            <w:r>
              <w:t xml:space="preserve">3</w:t>
            </w:r>
          </w:p>
        </w:tc>
      </w:tr>
      <w:tr>
        <w:tc>
          <w:tcPr/>
          <w:p>
            <w:pPr>
              <w:pStyle w:val="Compact"/>
              <w:jc w:val="center"/>
            </w:pPr>
            <w:r>
              <w:t xml:space="preserve">LIFT</w:t>
            </w:r>
          </w:p>
        </w:tc>
        <w:tc>
          <w:tcPr/>
          <w:p>
            <w:pPr>
              <w:pStyle w:val="Compact"/>
              <w:jc w:val="center"/>
            </w:pPr>
            <w:r>
              <w:t xml:space="preserve">18,958</w:t>
            </w:r>
          </w:p>
        </w:tc>
        <w:tc>
          <w:tcPr/>
          <w:p>
            <w:pPr>
              <w:pStyle w:val="Compact"/>
              <w:jc w:val="center"/>
            </w:pPr>
            <w:r>
              <w:t xml:space="preserve">0.58</w:t>
            </w:r>
          </w:p>
        </w:tc>
        <w:tc>
          <w:tcPr/>
          <w:p>
            <w:pPr>
              <w:pStyle w:val="Compact"/>
              <w:jc w:val="center"/>
            </w:pPr>
            <w:r>
              <w:t xml:space="preserve">9</w:t>
            </w:r>
          </w:p>
        </w:tc>
      </w:tr>
      <w:tr>
        <w:tc>
          <w:tcPr/>
          <w:p>
            <w:pPr>
              <w:pStyle w:val="Compact"/>
              <w:jc w:val="center"/>
            </w:pPr>
            <w:r>
              <w:t xml:space="preserve">European Union (EU)</w:t>
            </w:r>
          </w:p>
        </w:tc>
        <w:tc>
          <w:tcPr/>
          <w:p>
            <w:pPr>
              <w:pStyle w:val="Compact"/>
              <w:jc w:val="center"/>
            </w:pPr>
            <w:r>
              <w:t xml:space="preserve">13,882</w:t>
            </w:r>
          </w:p>
        </w:tc>
        <w:tc>
          <w:tcPr/>
          <w:p>
            <w:pPr>
              <w:pStyle w:val="Compact"/>
              <w:jc w:val="center"/>
            </w:pPr>
            <w:r>
              <w:t xml:space="preserve">0.43</w:t>
            </w:r>
          </w:p>
        </w:tc>
        <w:tc>
          <w:tcPr/>
          <w:p>
            <w:pPr>
              <w:pStyle w:val="Compact"/>
              <w:jc w:val="center"/>
            </w:pPr>
            <w:r>
              <w:t xml:space="preserve">4</w:t>
            </w:r>
          </w:p>
        </w:tc>
      </w:tr>
      <w:tr>
        <w:tc>
          <w:tcPr/>
          <w:p>
            <w:pPr>
              <w:pStyle w:val="Compact"/>
              <w:jc w:val="center"/>
            </w:pPr>
            <w:r>
              <w:t xml:space="preserve">HELVETAS</w:t>
            </w:r>
          </w:p>
        </w:tc>
        <w:tc>
          <w:tcPr/>
          <w:p>
            <w:pPr>
              <w:pStyle w:val="Compact"/>
              <w:jc w:val="center"/>
            </w:pPr>
            <w:r>
              <w:t xml:space="preserve">13,851</w:t>
            </w:r>
          </w:p>
        </w:tc>
        <w:tc>
          <w:tcPr/>
          <w:p>
            <w:pPr>
              <w:pStyle w:val="Compact"/>
              <w:jc w:val="center"/>
            </w:pPr>
            <w:r>
              <w:t xml:space="preserve">0.42</w:t>
            </w:r>
          </w:p>
        </w:tc>
        <w:tc>
          <w:tcPr/>
          <w:p>
            <w:pPr>
              <w:pStyle w:val="Compact"/>
              <w:jc w:val="center"/>
            </w:pPr>
            <w:r>
              <w:t xml:space="preserve">6</w:t>
            </w:r>
          </w:p>
        </w:tc>
      </w:tr>
    </w:tbl>
    <w:p>
      <w:pPr>
        <w:pStyle w:val="BodyText"/>
      </w:pPr>
    </w:p>
    <w:p>
      <w:pPr>
        <w:pStyle w:val="BodyText"/>
      </w:pPr>
      <w:r>
        <w:t xml:space="preserve">Additionally, we also observe a number of errors, including cases where multiple donors have been combined into one row as well as numerous instances where UNDP, WFP, FAO and UN WOMEN were classified as donors as opposed to reporting organisations. Helvetas should also probably have reported under</w:t>
      </w:r>
      <w:r>
        <w:t xml:space="preserve"> </w:t>
      </w:r>
      <w:r>
        <w:t xml:space="preserve">“</w:t>
      </w:r>
      <w:r>
        <w:t xml:space="preserve">organisations using their own funds</w:t>
      </w:r>
      <w:r>
        <w:t xml:space="preserve">”</w:t>
      </w:r>
      <w:r>
        <w:t xml:space="preserve">.</w:t>
      </w:r>
    </w:p>
    <w:p>
      <w:pPr>
        <w:pStyle w:val="BodyText"/>
      </w:pPr>
    </w:p>
    <w:bookmarkEnd w:id="45"/>
    <w:bookmarkEnd w:id="46"/>
    <w:bookmarkStart w:id="54" w:name="beneficiaries"/>
    <w:p>
      <w:pPr>
        <w:pStyle w:val="Heading2"/>
      </w:pPr>
      <w:r>
        <w:t xml:space="preserve">4. Beneficiaries</w:t>
      </w:r>
    </w:p>
    <w:bookmarkStart w:id="47" w:name="beneficiary-disaggregations"/>
    <w:p>
      <w:pPr>
        <w:pStyle w:val="Heading3"/>
      </w:pPr>
      <w:r>
        <w:t xml:space="preserve">4.1 Beneficiary disaggregations</w:t>
      </w:r>
    </w:p>
    <w:p>
      <w:pPr>
        <w:pStyle w:val="FirstParagraph"/>
      </w:pPr>
      <w:r>
        <w:t xml:space="preserve">Currently, in the 5Ws, the vast majority of beneficiary diasaggregations have been backfilled from census data and do not, consequently, provide an accurate picture of the population that have been reached by Food Security interventions. It is not possible to determine how far reality diverges from what has been reported so far – meaning that we also cannot determine if there has been any bias in beneficiary selection and targetting. It is imperative to begin collecting disaggregated beneficiary data from partners.</w:t>
      </w:r>
    </w:p>
    <w:p>
      <w:pPr>
        <w:pStyle w:val="BodyText"/>
      </w:pPr>
      <w:r>
        <w:t xml:space="preserve">It is entirely possible that partners are collecting this data – disaggregated beneficiary data is one of the most common data required for internal and external reporting – and that it is merely necessary to work with partners to wrangle their data into the 5W format. However, the capacities of partners to disaggregate beneficiary data should be investigated by the cluster and is an important issue that should be brought up in te next plenary session.</w:t>
      </w:r>
    </w:p>
    <w:p>
      <w:pPr>
        <w:pStyle w:val="BodyText"/>
      </w:pPr>
    </w:p>
    <w:bookmarkEnd w:id="47"/>
    <w:bookmarkStart w:id="49" w:name="types-of-beneficiaries"/>
    <w:p>
      <w:pPr>
        <w:pStyle w:val="Heading3"/>
      </w:pPr>
      <w:r>
        <w:t xml:space="preserve">4.2 Types of beneficiaries</w:t>
      </w:r>
    </w:p>
    <w:p>
      <w:pPr>
        <w:pStyle w:val="FirstParagraph"/>
      </w:pPr>
      <w:r>
        <w:t xml:space="preserve">The states and regions in which we are working the most with IDPs are Bago (East), Kachin, Chin, Shan (North) and Kayah. Overall, 82.68% of beneficiaries are from the host/local community, 9.02% are stateless persons from Rakhine and 8.24% are IDPs. Returnees are the rarest type of beneficiary reached, forming only 0.07% of all beneficiaries reached. Each row in the table below shows the percentage of each beneficiary type within each state/region.</w:t>
      </w:r>
    </w:p>
    <w:p>
      <w:pPr>
        <w:pStyle w:val="TableCaption"/>
      </w:pPr>
      <w:r>
        <w:t xml:space="preserve">Percentage breakdown of beneficiary types by state/region</w:t>
      </w:r>
    </w:p>
    <w:tbl>
      <w:tblPr>
        <w:tblStyle w:val="Table"/>
        <w:tblW w:type="pct" w:w="5000"/>
        <w:tblLook w:firstRow="1" w:lastRow="0" w:firstColumn="0" w:lastColumn="0" w:noHBand="0" w:noVBand="0" w:val="0020"/>
        <w:tblCaption w:val="Percentage breakdown of beneficiary types by state/region"/>
      </w:tblPr>
      <w:tblGrid>
        <w:gridCol w:w="1089"/>
        <w:gridCol w:w="1671"/>
        <w:gridCol w:w="1671"/>
        <w:gridCol w:w="871"/>
        <w:gridCol w:w="1453"/>
        <w:gridCol w:w="1162"/>
      </w:tblGrid>
      <w:tr>
        <w:trPr>
          <w:tblHeader w:val="true"/>
        </w:trPr>
        <w:tc>
          <w:tcPr/>
          <w:p>
            <w:pPr>
              <w:pStyle w:val="Compact"/>
              <w:jc w:val="center"/>
            </w:pPr>
            <w:r>
              <w:t xml:space="preserve">state</w:t>
            </w:r>
          </w:p>
        </w:tc>
        <w:tc>
          <w:tcPr/>
          <w:p>
            <w:pPr>
              <w:pStyle w:val="Compact"/>
              <w:jc w:val="center"/>
            </w:pPr>
            <w:r>
              <w:t xml:space="preserve">Host/local Community</w:t>
            </w:r>
          </w:p>
        </w:tc>
        <w:tc>
          <w:tcPr/>
          <w:p>
            <w:pPr>
              <w:pStyle w:val="Compact"/>
              <w:jc w:val="center"/>
            </w:pPr>
            <w:r>
              <w:t xml:space="preserve">Internally Displaced</w:t>
            </w:r>
          </w:p>
        </w:tc>
        <w:tc>
          <w:tcPr/>
          <w:p>
            <w:pPr>
              <w:pStyle w:val="Compact"/>
              <w:jc w:val="center"/>
            </w:pPr>
            <w:r>
              <w:t xml:space="preserve">Returnees</w:t>
            </w:r>
          </w:p>
        </w:tc>
        <w:tc>
          <w:tcPr/>
          <w:p>
            <w:pPr>
              <w:pStyle w:val="Compact"/>
              <w:jc w:val="center"/>
            </w:pPr>
            <w:r>
              <w:t xml:space="preserve">Rakhine stateless</w:t>
            </w:r>
          </w:p>
        </w:tc>
        <w:tc>
          <w:tcPr/>
          <w:p>
            <w:pPr>
              <w:pStyle w:val="Compact"/>
              <w:jc w:val="center"/>
            </w:pPr>
            <w:r>
              <w:t xml:space="preserve">beneficiaries</w:t>
            </w:r>
          </w:p>
        </w:tc>
      </w:tr>
      <w:tr>
        <w:tc>
          <w:tcPr/>
          <w:p>
            <w:pPr>
              <w:pStyle w:val="Compact"/>
              <w:jc w:val="center"/>
            </w:pPr>
            <w:r>
              <w:t xml:space="preserve">Ayeyarwady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99,481</w:t>
            </w:r>
          </w:p>
        </w:tc>
      </w:tr>
      <w:tr>
        <w:tc>
          <w:tcPr/>
          <w:p>
            <w:pPr>
              <w:pStyle w:val="Compact"/>
              <w:jc w:val="center"/>
            </w:pPr>
            <w:r>
              <w:t xml:space="preserve">Bago (East)</w:t>
            </w:r>
          </w:p>
        </w:tc>
        <w:tc>
          <w:tcPr/>
          <w:p>
            <w:pPr>
              <w:pStyle w:val="Compact"/>
              <w:jc w:val="center"/>
            </w:pPr>
            <w:r>
              <w:t xml:space="preserve">66.42</w:t>
            </w:r>
          </w:p>
        </w:tc>
        <w:tc>
          <w:tcPr/>
          <w:p>
            <w:pPr>
              <w:pStyle w:val="Compact"/>
              <w:jc w:val="center"/>
            </w:pPr>
            <w:r>
              <w:t xml:space="preserve">33.31</w:t>
            </w:r>
          </w:p>
        </w:tc>
        <w:tc>
          <w:tcPr/>
          <w:p>
            <w:pPr>
              <w:pStyle w:val="Compact"/>
              <w:jc w:val="center"/>
            </w:pPr>
            <w:r>
              <w:t xml:space="preserve">0.27</w:t>
            </w:r>
          </w:p>
        </w:tc>
        <w:tc>
          <w:tcPr/>
          <w:p>
            <w:pPr>
              <w:pStyle w:val="Compact"/>
              <w:jc w:val="center"/>
            </w:pPr>
            <w:r>
              <w:t xml:space="preserve">NA</w:t>
            </w:r>
          </w:p>
        </w:tc>
        <w:tc>
          <w:tcPr/>
          <w:p>
            <w:pPr>
              <w:pStyle w:val="Compact"/>
              <w:jc w:val="center"/>
            </w:pPr>
            <w:r>
              <w:t xml:space="preserve">12,974</w:t>
            </w:r>
          </w:p>
        </w:tc>
      </w:tr>
      <w:tr>
        <w:tc>
          <w:tcPr/>
          <w:p>
            <w:pPr>
              <w:pStyle w:val="Compact"/>
              <w:jc w:val="center"/>
            </w:pPr>
            <w:r>
              <w:t xml:space="preserve">Chin</w:t>
            </w:r>
          </w:p>
        </w:tc>
        <w:tc>
          <w:tcPr/>
          <w:p>
            <w:pPr>
              <w:pStyle w:val="Compact"/>
              <w:jc w:val="center"/>
            </w:pPr>
            <w:r>
              <w:t xml:space="preserve">7.35</w:t>
            </w:r>
          </w:p>
        </w:tc>
        <w:tc>
          <w:tcPr/>
          <w:p>
            <w:pPr>
              <w:pStyle w:val="Compact"/>
              <w:jc w:val="center"/>
            </w:pPr>
            <w:r>
              <w:t xml:space="preserve">92.65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17,005</w:t>
            </w:r>
          </w:p>
        </w:tc>
      </w:tr>
      <w:tr>
        <w:tc>
          <w:tcPr/>
          <w:p>
            <w:pPr>
              <w:pStyle w:val="Compact"/>
              <w:jc w:val="center"/>
            </w:pPr>
            <w:r>
              <w:t xml:space="preserve">Kachin</w:t>
            </w:r>
          </w:p>
        </w:tc>
        <w:tc>
          <w:tcPr/>
          <w:p>
            <w:pPr>
              <w:pStyle w:val="Compact"/>
              <w:jc w:val="center"/>
            </w:pPr>
            <w:r>
              <w:t xml:space="preserve">7.68</w:t>
            </w:r>
          </w:p>
        </w:tc>
        <w:tc>
          <w:tcPr/>
          <w:p>
            <w:pPr>
              <w:pStyle w:val="Compact"/>
              <w:jc w:val="center"/>
            </w:pPr>
            <w:r>
              <w:t xml:space="preserve">90.65</w:t>
            </w:r>
          </w:p>
        </w:tc>
        <w:tc>
          <w:tcPr/>
          <w:p>
            <w:pPr>
              <w:pStyle w:val="Compact"/>
              <w:jc w:val="center"/>
            </w:pPr>
            <w:r>
              <w:t xml:space="preserve">1.67</w:t>
            </w:r>
          </w:p>
        </w:tc>
        <w:tc>
          <w:tcPr/>
          <w:p>
            <w:pPr>
              <w:pStyle w:val="Compact"/>
              <w:jc w:val="center"/>
            </w:pPr>
            <w:r>
              <w:t xml:space="preserve">NA</w:t>
            </w:r>
          </w:p>
        </w:tc>
        <w:tc>
          <w:tcPr/>
          <w:p>
            <w:pPr>
              <w:pStyle w:val="Compact"/>
              <w:jc w:val="center"/>
            </w:pPr>
            <w:r>
              <w:t xml:space="preserve">89,818</w:t>
            </w:r>
          </w:p>
        </w:tc>
      </w:tr>
      <w:tr>
        <w:tc>
          <w:tcPr/>
          <w:p>
            <w:pPr>
              <w:pStyle w:val="Compact"/>
              <w:jc w:val="center"/>
            </w:pPr>
            <w:r>
              <w:t xml:space="preserve">Kayah</w:t>
            </w:r>
          </w:p>
        </w:tc>
        <w:tc>
          <w:tcPr/>
          <w:p>
            <w:pPr>
              <w:pStyle w:val="Compact"/>
              <w:jc w:val="center"/>
            </w:pPr>
            <w:r>
              <w:t xml:space="preserve">46.88</w:t>
            </w:r>
          </w:p>
        </w:tc>
        <w:tc>
          <w:tcPr/>
          <w:p>
            <w:pPr>
              <w:pStyle w:val="Compact"/>
              <w:jc w:val="center"/>
            </w:pPr>
            <w:r>
              <w:t xml:space="preserve">53.12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17,746</w:t>
            </w:r>
          </w:p>
        </w:tc>
      </w:tr>
      <w:tr>
        <w:tc>
          <w:tcPr/>
          <w:p>
            <w:pPr>
              <w:pStyle w:val="Compact"/>
              <w:jc w:val="center"/>
            </w:pPr>
            <w:r>
              <w:t xml:space="preserve">Kayin</w:t>
            </w:r>
          </w:p>
        </w:tc>
        <w:tc>
          <w:tcPr/>
          <w:p>
            <w:pPr>
              <w:pStyle w:val="Compact"/>
              <w:jc w:val="center"/>
            </w:pPr>
            <w:r>
              <w:t xml:space="preserve">67.37</w:t>
            </w:r>
          </w:p>
        </w:tc>
        <w:tc>
          <w:tcPr/>
          <w:p>
            <w:pPr>
              <w:pStyle w:val="Compact"/>
              <w:jc w:val="center"/>
            </w:pPr>
            <w:r>
              <w:t xml:space="preserve">32.63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68,108</w:t>
            </w:r>
          </w:p>
        </w:tc>
      </w:tr>
      <w:tr>
        <w:tc>
          <w:tcPr/>
          <w:p>
            <w:pPr>
              <w:pStyle w:val="Compact"/>
              <w:jc w:val="center"/>
            </w:pPr>
            <w:r>
              <w:t xml:space="preserve">Magway</w:t>
            </w:r>
          </w:p>
        </w:tc>
        <w:tc>
          <w:tcPr/>
          <w:p>
            <w:pPr>
              <w:pStyle w:val="Compact"/>
              <w:jc w:val="center"/>
            </w:pPr>
            <w:r>
              <w:t xml:space="preserve">99.03</w:t>
            </w:r>
          </w:p>
        </w:tc>
        <w:tc>
          <w:tcPr/>
          <w:p>
            <w:pPr>
              <w:pStyle w:val="Compact"/>
              <w:jc w:val="center"/>
            </w:pPr>
            <w:r>
              <w:t xml:space="preserve">0.97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96,767</w:t>
            </w:r>
          </w:p>
        </w:tc>
      </w:tr>
      <w:tr>
        <w:tc>
          <w:tcPr/>
          <w:p>
            <w:pPr>
              <w:pStyle w:val="Compact"/>
              <w:jc w:val="center"/>
            </w:pPr>
            <w:r>
              <w:t xml:space="preserve">Mandalay</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143,526</w:t>
            </w:r>
          </w:p>
        </w:tc>
      </w:tr>
      <w:tr>
        <w:tc>
          <w:tcPr/>
          <w:p>
            <w:pPr>
              <w:pStyle w:val="Compact"/>
              <w:jc w:val="center"/>
            </w:pPr>
            <w:r>
              <w:t xml:space="preserve">Mon</w:t>
            </w:r>
          </w:p>
        </w:tc>
        <w:tc>
          <w:tcPr/>
          <w:p>
            <w:pPr>
              <w:pStyle w:val="Compact"/>
              <w:jc w:val="center"/>
            </w:pPr>
            <w:r>
              <w:t xml:space="preserve">92.5</w:t>
            </w:r>
          </w:p>
        </w:tc>
        <w:tc>
          <w:tcPr/>
          <w:p>
            <w:pPr>
              <w:pStyle w:val="Compact"/>
              <w:jc w:val="center"/>
            </w:pPr>
            <w:r>
              <w:t xml:space="preserve">5.88</w:t>
            </w:r>
          </w:p>
        </w:tc>
        <w:tc>
          <w:tcPr/>
          <w:p>
            <w:pPr>
              <w:pStyle w:val="Compact"/>
              <w:jc w:val="center"/>
            </w:pPr>
            <w:r>
              <w:t xml:space="preserve">1.62</w:t>
            </w:r>
          </w:p>
        </w:tc>
        <w:tc>
          <w:tcPr/>
          <w:p>
            <w:pPr>
              <w:pStyle w:val="Compact"/>
              <w:jc w:val="center"/>
            </w:pPr>
            <w:r>
              <w:t xml:space="preserve">NA</w:t>
            </w:r>
          </w:p>
        </w:tc>
        <w:tc>
          <w:tcPr/>
          <w:p>
            <w:pPr>
              <w:pStyle w:val="Compact"/>
              <w:jc w:val="center"/>
            </w:pPr>
            <w:r>
              <w:t xml:space="preserve">48,181</w:t>
            </w:r>
          </w:p>
        </w:tc>
      </w:tr>
      <w:tr>
        <w:tc>
          <w:tcPr/>
          <w:p>
            <w:pPr>
              <w:pStyle w:val="Compact"/>
              <w:jc w:val="center"/>
            </w:pPr>
            <w:r>
              <w:t xml:space="preserve">Rakhine</w:t>
            </w:r>
          </w:p>
        </w:tc>
        <w:tc>
          <w:tcPr/>
          <w:p>
            <w:pPr>
              <w:pStyle w:val="Compact"/>
              <w:jc w:val="center"/>
            </w:pPr>
            <w:r>
              <w:t xml:space="preserve">34.39</w:t>
            </w:r>
          </w:p>
        </w:tc>
        <w:tc>
          <w:tcPr/>
          <w:p>
            <w:pPr>
              <w:pStyle w:val="Compact"/>
              <w:jc w:val="center"/>
            </w:pPr>
            <w:r>
              <w:t xml:space="preserve">10.16</w:t>
            </w:r>
          </w:p>
        </w:tc>
        <w:tc>
          <w:tcPr/>
          <w:p>
            <w:pPr>
              <w:pStyle w:val="Compact"/>
              <w:jc w:val="center"/>
            </w:pPr>
            <w:r>
              <w:t xml:space="preserve">NA</w:t>
            </w:r>
          </w:p>
        </w:tc>
        <w:tc>
          <w:tcPr/>
          <w:p>
            <w:pPr>
              <w:pStyle w:val="Compact"/>
              <w:jc w:val="center"/>
            </w:pPr>
            <w:r>
              <w:t xml:space="preserve">55.45</w:t>
            </w:r>
          </w:p>
        </w:tc>
        <w:tc>
          <w:tcPr/>
          <w:p>
            <w:pPr>
              <w:pStyle w:val="Compact"/>
              <w:jc w:val="center"/>
            </w:pPr>
            <w:r>
              <w:t xml:space="preserve">530,202</w:t>
            </w:r>
          </w:p>
        </w:tc>
      </w:tr>
      <w:tr>
        <w:tc>
          <w:tcPr/>
          <w:p>
            <w:pPr>
              <w:pStyle w:val="Compact"/>
              <w:jc w:val="center"/>
            </w:pPr>
            <w:r>
              <w:t xml:space="preserve">Sagaing</w:t>
            </w:r>
          </w:p>
        </w:tc>
        <w:tc>
          <w:tcPr/>
          <w:p>
            <w:pPr>
              <w:pStyle w:val="Compact"/>
              <w:jc w:val="center"/>
            </w:pPr>
            <w:r>
              <w:t xml:space="preserve">25.29</w:t>
            </w:r>
          </w:p>
        </w:tc>
        <w:tc>
          <w:tcPr/>
          <w:p>
            <w:pPr>
              <w:pStyle w:val="Compact"/>
              <w:jc w:val="center"/>
            </w:pPr>
            <w:r>
              <w:t xml:space="preserve">74.71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31,985</w:t>
            </w:r>
          </w:p>
        </w:tc>
      </w:tr>
      <w:tr>
        <w:tc>
          <w:tcPr/>
          <w:p>
            <w:pPr>
              <w:pStyle w:val="Compact"/>
              <w:jc w:val="center"/>
            </w:pPr>
            <w:r>
              <w:t xml:space="preserve">Shan (East)</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510</w:t>
            </w:r>
          </w:p>
        </w:tc>
      </w:tr>
      <w:tr>
        <w:tc>
          <w:tcPr/>
          <w:p>
            <w:pPr>
              <w:pStyle w:val="Compact"/>
              <w:jc w:val="center"/>
            </w:pPr>
            <w:r>
              <w:t xml:space="preserve">Shan (North)</w:t>
            </w:r>
          </w:p>
        </w:tc>
        <w:tc>
          <w:tcPr/>
          <w:p>
            <w:pPr>
              <w:pStyle w:val="Compact"/>
              <w:jc w:val="center"/>
            </w:pPr>
            <w:r>
              <w:t xml:space="preserve">26.44</w:t>
            </w:r>
          </w:p>
        </w:tc>
        <w:tc>
          <w:tcPr/>
          <w:p>
            <w:pPr>
              <w:pStyle w:val="Compact"/>
              <w:jc w:val="center"/>
            </w:pPr>
            <w:r>
              <w:t xml:space="preserve">73.56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73,103</w:t>
            </w:r>
          </w:p>
        </w:tc>
      </w:tr>
      <w:tr>
        <w:tc>
          <w:tcPr/>
          <w:p>
            <w:pPr>
              <w:pStyle w:val="Compact"/>
              <w:jc w:val="center"/>
            </w:pPr>
            <w:r>
              <w:t xml:space="preserve">Shan (South)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15,511</w:t>
            </w:r>
          </w:p>
        </w:tc>
      </w:tr>
      <w:tr>
        <w:tc>
          <w:tcPr/>
          <w:p>
            <w:pPr>
              <w:pStyle w:val="Compact"/>
              <w:jc w:val="center"/>
            </w:pPr>
            <w:r>
              <w:t xml:space="preserve">Tanintharyi</w:t>
            </w:r>
          </w:p>
        </w:tc>
        <w:tc>
          <w:tcPr/>
          <w:p>
            <w:pPr>
              <w:pStyle w:val="Compact"/>
              <w:jc w:val="center"/>
            </w:pPr>
            <w:r>
              <w:t xml:space="preserve">95.64</w:t>
            </w:r>
          </w:p>
        </w:tc>
        <w:tc>
          <w:tcPr/>
          <w:p>
            <w:pPr>
              <w:pStyle w:val="Compact"/>
              <w:jc w:val="center"/>
            </w:pPr>
            <w:r>
              <w:t xml:space="preserve">4.13</w:t>
            </w:r>
          </w:p>
        </w:tc>
        <w:tc>
          <w:tcPr/>
          <w:p>
            <w:pPr>
              <w:pStyle w:val="Compact"/>
              <w:jc w:val="center"/>
            </w:pPr>
            <w:r>
              <w:t xml:space="preserve">0.22</w:t>
            </w:r>
          </w:p>
        </w:tc>
        <w:tc>
          <w:tcPr/>
          <w:p>
            <w:pPr>
              <w:pStyle w:val="Compact"/>
              <w:jc w:val="center"/>
            </w:pPr>
            <w:r>
              <w:t xml:space="preserve">NA</w:t>
            </w:r>
          </w:p>
        </w:tc>
        <w:tc>
          <w:tcPr/>
          <w:p>
            <w:pPr>
              <w:pStyle w:val="Compact"/>
              <w:jc w:val="center"/>
            </w:pPr>
            <w:r>
              <w:t xml:space="preserve">4,476</w:t>
            </w:r>
          </w:p>
        </w:tc>
      </w:tr>
      <w:tr>
        <w:tc>
          <w:tcPr/>
          <w:p>
            <w:pPr>
              <w:pStyle w:val="Compact"/>
              <w:jc w:val="center"/>
            </w:pPr>
            <w:r>
              <w:t xml:space="preserve">Yangon</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2,011,575</w:t>
            </w:r>
          </w:p>
        </w:tc>
      </w:tr>
      <w:tr>
        <w:tc>
          <w:tcPr/>
          <w:p>
            <w:pPr>
              <w:pStyle w:val="Compact"/>
              <w:jc w:val="center"/>
            </w:pPr>
            <w:r>
              <w:t xml:space="preserve">Total</w:t>
            </w:r>
          </w:p>
        </w:tc>
        <w:tc>
          <w:tcPr/>
          <w:p>
            <w:pPr>
              <w:pStyle w:val="Compact"/>
              <w:jc w:val="center"/>
            </w:pPr>
            <w:r>
              <w:t xml:space="preserve">82.68</w:t>
            </w:r>
          </w:p>
        </w:tc>
        <w:tc>
          <w:tcPr/>
          <w:p>
            <w:pPr>
              <w:pStyle w:val="Compact"/>
              <w:jc w:val="center"/>
            </w:pPr>
            <w:r>
              <w:t xml:space="preserve">8.24</w:t>
            </w:r>
          </w:p>
        </w:tc>
        <w:tc>
          <w:tcPr/>
          <w:p>
            <w:pPr>
              <w:pStyle w:val="Compact"/>
              <w:jc w:val="center"/>
            </w:pPr>
            <w:r>
              <w:t xml:space="preserve">0.07</w:t>
            </w:r>
          </w:p>
        </w:tc>
        <w:tc>
          <w:tcPr/>
          <w:p>
            <w:pPr>
              <w:pStyle w:val="Compact"/>
              <w:jc w:val="center"/>
            </w:pPr>
            <w:r>
              <w:t xml:space="preserve">9.02</w:t>
            </w:r>
          </w:p>
        </w:tc>
        <w:tc>
          <w:tcPr/>
          <w:p>
            <w:pPr>
              <w:pStyle w:val="Compact"/>
              <w:jc w:val="center"/>
            </w:pPr>
            <w:r>
              <w:t xml:space="preserve">NA</w:t>
            </w:r>
          </w:p>
        </w:tc>
      </w:tr>
    </w:tbl>
    <w:p>
      <w:pPr>
        <w:pStyle w:val="BodyText"/>
      </w:pPr>
    </w:p>
    <w:p>
      <w:pPr>
        <w:pStyle w:val="BodyText"/>
      </w:pPr>
      <w:r>
        <w:t xml:space="preserve">Compared to only the 2021 HRP targets (as the IERP does not have breakdowns of the target by beneficiary type), we can see that whilst targets have been mostly exceeded, neither the targets for returnees/resettled in Kachin or Shan (North) nor targets for IDPs in Rakhine or Kayin have been met. Interestingly, for Rakhine, the targets for the host/local population have been greatly exceeded, perhaps indicating that once targets were met, all further allocations were targetted at the host/local communities. In Bago (East), Chin, Kayin and particularly Shan (North), the targets for IDPs have been greatly exceeded, in comparison to the 2021 HRP targets:</w:t>
      </w:r>
    </w:p>
    <w:p>
      <w:pPr>
        <w:pStyle w:val="TableCaption"/>
      </w:pPr>
      <w:r>
        <w:t xml:space="preserve">Percentage of 2021 HRP target reached by beneficiary type</w:t>
      </w:r>
    </w:p>
    <w:tbl>
      <w:tblPr>
        <w:tblStyle w:val="Table"/>
        <w:tblW w:type="pct" w:w="5000"/>
        <w:tblLook w:firstRow="1" w:lastRow="0" w:firstColumn="0" w:lastColumn="0" w:noHBand="0" w:noVBand="0" w:val="0020"/>
        <w:tblCaption w:val="Percentage of 2021 HRP target reached by beneficiary type"/>
      </w:tblPr>
      <w:tblGrid>
        <w:gridCol w:w="1485"/>
        <w:gridCol w:w="1386"/>
        <w:gridCol w:w="792"/>
        <w:gridCol w:w="1287"/>
        <w:gridCol w:w="2079"/>
        <w:gridCol w:w="891"/>
      </w:tblGrid>
      <w:tr>
        <w:trPr>
          <w:tblHeader w:val="true"/>
        </w:trPr>
        <w:tc>
          <w:tcPr/>
          <w:p>
            <w:pPr>
              <w:pStyle w:val="Compact"/>
              <w:jc w:val="center"/>
            </w:pPr>
            <w:r>
              <w:t xml:space="preserve">state</w:t>
            </w:r>
          </w:p>
        </w:tc>
        <w:tc>
          <w:tcPr/>
          <w:p>
            <w:pPr>
              <w:pStyle w:val="Compact"/>
              <w:jc w:val="center"/>
            </w:pPr>
            <w:r>
              <w:t xml:space="preserve">host_local%</w:t>
            </w:r>
          </w:p>
        </w:tc>
        <w:tc>
          <w:tcPr/>
          <w:p>
            <w:pPr>
              <w:pStyle w:val="Compact"/>
              <w:jc w:val="center"/>
            </w:pPr>
            <w:r>
              <w:t xml:space="preserve">idp%</w:t>
            </w:r>
          </w:p>
        </w:tc>
        <w:tc>
          <w:tcPr/>
          <w:p>
            <w:pPr>
              <w:pStyle w:val="Compact"/>
              <w:jc w:val="center"/>
            </w:pPr>
            <w:r>
              <w:t xml:space="preserve">returnees%</w:t>
            </w:r>
          </w:p>
        </w:tc>
        <w:tc>
          <w:tcPr/>
          <w:p>
            <w:pPr>
              <w:pStyle w:val="Compact"/>
              <w:jc w:val="center"/>
            </w:pPr>
            <w:r>
              <w:t xml:space="preserve">rakhine_stateless%</w:t>
            </w:r>
          </w:p>
        </w:tc>
        <w:tc>
          <w:tcPr/>
          <w:p>
            <w:pPr>
              <w:pStyle w:val="Compact"/>
              <w:jc w:val="center"/>
            </w:pPr>
            <w:r>
              <w:t xml:space="preserve">total%</w:t>
            </w:r>
          </w:p>
        </w:tc>
      </w:tr>
      <w:tr>
        <w:tc>
          <w:tcPr/>
          <w:p>
            <w:pPr>
              <w:pStyle w:val="Compact"/>
              <w:jc w:val="center"/>
            </w:pPr>
            <w:r>
              <w:t xml:space="preserve">Bago (East)</w:t>
            </w:r>
          </w:p>
        </w:tc>
        <w:tc>
          <w:tcPr/>
          <w:p>
            <w:pPr>
              <w:pStyle w:val="Compact"/>
              <w:jc w:val="center"/>
            </w:pPr>
            <w:r>
              <w:t xml:space="preserve">NA</w:t>
            </w:r>
          </w:p>
        </w:tc>
        <w:tc>
          <w:tcPr/>
          <w:p>
            <w:pPr>
              <w:pStyle w:val="Compact"/>
              <w:jc w:val="center"/>
            </w:pPr>
            <w:r>
              <w:t xml:space="preserve">172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173.4</w:t>
            </w:r>
          </w:p>
        </w:tc>
      </w:tr>
      <w:tr>
        <w:tc>
          <w:tcPr/>
          <w:p>
            <w:pPr>
              <w:pStyle w:val="Compact"/>
              <w:jc w:val="center"/>
            </w:pPr>
            <w:r>
              <w:t xml:space="preserve">Chin</w:t>
            </w:r>
          </w:p>
        </w:tc>
        <w:tc>
          <w:tcPr/>
          <w:p>
            <w:pPr>
              <w:pStyle w:val="Compact"/>
              <w:jc w:val="center"/>
            </w:pPr>
            <w:r>
              <w:t xml:space="preserve">0</w:t>
            </w:r>
          </w:p>
        </w:tc>
        <w:tc>
          <w:tcPr/>
          <w:p>
            <w:pPr>
              <w:pStyle w:val="Compact"/>
              <w:jc w:val="center"/>
            </w:pPr>
            <w:r>
              <w:t xml:space="preserve">200.7</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156.9</w:t>
            </w:r>
          </w:p>
        </w:tc>
      </w:tr>
      <w:tr>
        <w:tc>
          <w:tcPr/>
          <w:p>
            <w:pPr>
              <w:pStyle w:val="Compact"/>
              <w:jc w:val="center"/>
            </w:pPr>
            <w:r>
              <w:t xml:space="preserve">Kachin</w:t>
            </w:r>
          </w:p>
        </w:tc>
        <w:tc>
          <w:tcPr/>
          <w:p>
            <w:pPr>
              <w:pStyle w:val="Compact"/>
              <w:jc w:val="center"/>
            </w:pPr>
            <w:r>
              <w:t xml:space="preserve">88.67</w:t>
            </w:r>
          </w:p>
        </w:tc>
        <w:tc>
          <w:tcPr/>
          <w:p>
            <w:pPr>
              <w:pStyle w:val="Compact"/>
              <w:jc w:val="center"/>
            </w:pPr>
            <w:r>
              <w:t xml:space="preserve">110.4</w:t>
            </w:r>
          </w:p>
        </w:tc>
        <w:tc>
          <w:tcPr/>
          <w:p>
            <w:pPr>
              <w:pStyle w:val="Compact"/>
              <w:jc w:val="center"/>
            </w:pPr>
            <w:r>
              <w:t xml:space="preserve">32.88</w:t>
            </w:r>
          </w:p>
        </w:tc>
        <w:tc>
          <w:tcPr/>
          <w:p>
            <w:pPr>
              <w:pStyle w:val="Compact"/>
              <w:jc w:val="center"/>
            </w:pPr>
            <w:r>
              <w:t xml:space="preserve">NA</w:t>
            </w:r>
          </w:p>
        </w:tc>
        <w:tc>
          <w:tcPr/>
          <w:p>
            <w:pPr>
              <w:pStyle w:val="Compact"/>
              <w:jc w:val="center"/>
            </w:pPr>
            <w:r>
              <w:t xml:space="preserve">104.3</w:t>
            </w:r>
          </w:p>
        </w:tc>
      </w:tr>
      <w:tr>
        <w:tc>
          <w:tcPr/>
          <w:p>
            <w:pPr>
              <w:pStyle w:val="Compact"/>
              <w:jc w:val="center"/>
            </w:pPr>
            <w:r>
              <w:t xml:space="preserve">Kayin</w:t>
            </w:r>
          </w:p>
        </w:tc>
        <w:tc>
          <w:tcPr/>
          <w:p>
            <w:pPr>
              <w:pStyle w:val="Compact"/>
              <w:jc w:val="center"/>
            </w:pPr>
            <w:r>
              <w:t xml:space="preserve">NA</w:t>
            </w:r>
          </w:p>
        </w:tc>
        <w:tc>
          <w:tcPr/>
          <w:p>
            <w:pPr>
              <w:pStyle w:val="Compact"/>
              <w:jc w:val="center"/>
            </w:pPr>
            <w:r>
              <w:t xml:space="preserve">168.1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197</w:t>
            </w:r>
          </w:p>
        </w:tc>
      </w:tr>
      <w:tr>
        <w:tc>
          <w:tcPr/>
          <w:p>
            <w:pPr>
              <w:pStyle w:val="Compact"/>
              <w:jc w:val="center"/>
            </w:pPr>
            <w:r>
              <w:t xml:space="preserve">Rakhine</w:t>
            </w:r>
          </w:p>
        </w:tc>
        <w:tc>
          <w:tcPr/>
          <w:p>
            <w:pPr>
              <w:pStyle w:val="Compact"/>
              <w:jc w:val="center"/>
            </w:pPr>
            <w:r>
              <w:t xml:space="preserve">409.9</w:t>
            </w:r>
          </w:p>
        </w:tc>
        <w:tc>
          <w:tcPr/>
          <w:p>
            <w:pPr>
              <w:pStyle w:val="Compact"/>
              <w:jc w:val="center"/>
            </w:pPr>
            <w:r>
              <w:t xml:space="preserve">32.71</w:t>
            </w:r>
          </w:p>
        </w:tc>
        <w:tc>
          <w:tcPr/>
          <w:p>
            <w:pPr>
              <w:pStyle w:val="Compact"/>
              <w:jc w:val="center"/>
            </w:pPr>
            <w:r>
              <w:t xml:space="preserve">NA</w:t>
            </w:r>
          </w:p>
        </w:tc>
        <w:tc>
          <w:tcPr/>
          <w:p>
            <w:pPr>
              <w:pStyle w:val="Compact"/>
              <w:jc w:val="center"/>
            </w:pPr>
            <w:r>
              <w:t xml:space="preserve">105.8</w:t>
            </w:r>
          </w:p>
        </w:tc>
        <w:tc>
          <w:tcPr/>
          <w:p>
            <w:pPr>
              <w:pStyle w:val="Compact"/>
              <w:jc w:val="center"/>
            </w:pPr>
            <w:r>
              <w:t xml:space="preserve">108.8</w:t>
            </w:r>
          </w:p>
        </w:tc>
      </w:tr>
      <w:tr>
        <w:tc>
          <w:tcPr/>
          <w:p>
            <w:pPr>
              <w:pStyle w:val="Compact"/>
              <w:jc w:val="center"/>
            </w:pPr>
            <w:r>
              <w:t xml:space="preserve">Shan (North)</w:t>
            </w:r>
          </w:p>
        </w:tc>
        <w:tc>
          <w:tcPr/>
          <w:p>
            <w:pPr>
              <w:pStyle w:val="Compact"/>
              <w:jc w:val="center"/>
            </w:pPr>
            <w:r>
              <w:t xml:space="preserve">135.6</w:t>
            </w:r>
          </w:p>
        </w:tc>
        <w:tc>
          <w:tcPr/>
          <w:p>
            <w:pPr>
              <w:pStyle w:val="Compact"/>
              <w:jc w:val="center"/>
            </w:pPr>
            <w:r>
              <w:t xml:space="preserve">751.3</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400.2</w:t>
            </w:r>
          </w:p>
        </w:tc>
      </w:tr>
      <w:tr>
        <w:tc>
          <w:tcPr/>
          <w:p>
            <w:pPr>
              <w:pStyle w:val="Compact"/>
              <w:jc w:val="center"/>
            </w:pPr>
            <w:r>
              <w:t xml:space="preserve">Shan (South)</w:t>
            </w:r>
          </w:p>
        </w:tc>
        <w:tc>
          <w:tcPr/>
          <w:p>
            <w:pPr>
              <w:pStyle w:val="Compact"/>
              <w:jc w:val="center"/>
            </w:pPr>
            <w:r>
              <w:t xml:space="preserve">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0</w:t>
            </w:r>
          </w:p>
        </w:tc>
      </w:tr>
    </w:tbl>
    <w:p>
      <w:pPr>
        <w:pStyle w:val="BodyText"/>
      </w:pPr>
    </w:p>
    <w:p>
      <w:pPr>
        <w:pStyle w:val="BodyText"/>
      </w:pPr>
      <w:r>
        <w:t xml:space="preserve">Stateless persons from Rakhine have the largest average household sizes, with returnees having the largest variations in household size. With reference to the plot below, the thick bar in the middle of each box shows the average household size for each beneficiary type – this value is also shown in the text label below the line. The lower and upper borders of each box indicate the values for the 25th and 75th percentiles respectively. For instance, we can see that households at the 25th percentile of households in host/local communities have only four members and households that have around 5 members have more members than 75% of all the households in that group. Outliers are marked by dots. We note a lot of potential data entry errors where less than one person per household was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initial_observations_word_files/figure-docx/boxplot-household-size-beneficiary-type-1.png" id="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9"/>
    <w:bookmarkStart w:id="51" w:name="monthly-progress-by-beneficiary-type"/>
    <w:p>
      <w:pPr>
        <w:pStyle w:val="Heading3"/>
      </w:pPr>
      <w:r>
        <w:t xml:space="preserve">4.3 Monthly progress by beneficiary type</w:t>
      </w:r>
    </w:p>
    <w:p>
      <w:pPr>
        <w:pStyle w:val="FirstParagraph"/>
      </w:pPr>
      <w:r>
        <w:drawing>
          <wp:inline>
            <wp:extent cx="5334000" cy="2370666"/>
            <wp:effectExtent b="0" l="0" r="0" t="0"/>
            <wp:docPr descr="" title="" id="1" name="Picture"/>
            <a:graphic>
              <a:graphicData uri="http://schemas.openxmlformats.org/drawingml/2006/picture">
                <pic:pic>
                  <pic:nvPicPr>
                    <pic:cNvPr descr="initial_observations_word_files/figure-docx/beneficiary-types-progress-over-time-facet-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Whilst the numbers of IDPs and Returnees reached did see significant increases after July 2021, we do not observe any evidence that this was the result of the HRP addendum, rather than the continuation of already existing plans. However, we do note a significant increase in the numbers of persons in the host/local community reached after July 2021 – 75% of all host/local community beneficiaries were reached after the publication of the HRP addendum. Conversely, the progress amongst state Rakhine persons slowed substantially after the publication of the addendum; as we have mentioned earlier, once targets were reached for stateless persons, additional allocations were directed at the host/local community – whether this was due to access issues or that the host/local community in Rakhine were evaluated to be as food insecure as the stateless population remains to be investigated.</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after_hrp</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Reached by beneficiary type, before and after HRP addendum</w:t>
      </w:r>
    </w:p>
    <w:tbl>
      <w:tblPr>
        <w:tblStyle w:val="Table"/>
        <w:tblW w:type="pct" w:w="5000"/>
        <w:tblLook w:firstRow="1" w:lastRow="0" w:firstColumn="0" w:lastColumn="0" w:noHBand="0" w:noVBand="0" w:val="0020"/>
        <w:tblCaption w:val="Reached by beneficiary type, before and after HRP addendum"/>
      </w:tblPr>
      <w:tblGrid>
        <w:gridCol w:w="2023"/>
        <w:gridCol w:w="1584"/>
        <w:gridCol w:w="1496"/>
        <w:gridCol w:w="1056"/>
        <w:gridCol w:w="880"/>
        <w:gridCol w:w="880"/>
      </w:tblGrid>
      <w:tr>
        <w:trPr>
          <w:tblHeader w:val="true"/>
        </w:trPr>
        <w:tc>
          <w:tcPr/>
          <w:p>
            <w:pPr>
              <w:pStyle w:val="Compact"/>
              <w:jc w:val="center"/>
            </w:pPr>
            <w:r>
              <w:t xml:space="preserve">beneficiary_type</w:t>
            </w:r>
          </w:p>
        </w:tc>
        <w:tc>
          <w:tcPr/>
          <w:p>
            <w:pPr>
              <w:pStyle w:val="Compact"/>
              <w:jc w:val="center"/>
            </w:pPr>
            <w:r>
              <w:t xml:space="preserve">before_addendum</w:t>
            </w:r>
          </w:p>
        </w:tc>
        <w:tc>
          <w:tcPr/>
          <w:p>
            <w:pPr>
              <w:pStyle w:val="Compact"/>
              <w:jc w:val="center"/>
            </w:pPr>
            <w:r>
              <w:t xml:space="preserve">after_addendum</w:t>
            </w:r>
          </w:p>
        </w:tc>
        <w:tc>
          <w:tcPr/>
          <w:p>
            <w:pPr>
              <w:pStyle w:val="Compact"/>
              <w:jc w:val="center"/>
            </w:pPr>
            <w:r>
              <w:t xml:space="preserve">Total</w:t>
            </w:r>
          </w:p>
        </w:tc>
        <w:tc>
          <w:tcPr/>
          <w:p>
            <w:pPr>
              <w:pStyle w:val="Compact"/>
              <w:jc w:val="center"/>
            </w:pPr>
            <w:r>
              <w:t xml:space="preserve">%before</w:t>
            </w:r>
          </w:p>
        </w:tc>
        <w:tc>
          <w:tcPr/>
          <w:p>
            <w:pPr>
              <w:pStyle w:val="Compact"/>
              <w:jc w:val="center"/>
            </w:pPr>
            <w:r>
              <w:t xml:space="preserve">%after</w:t>
            </w:r>
          </w:p>
        </w:tc>
      </w:tr>
      <w:tr>
        <w:tc>
          <w:tcPr/>
          <w:p>
            <w:pPr>
              <w:pStyle w:val="Compact"/>
              <w:jc w:val="center"/>
            </w:pPr>
            <w:r>
              <w:t xml:space="preserve">Host/local Community</w:t>
            </w:r>
          </w:p>
        </w:tc>
        <w:tc>
          <w:tcPr/>
          <w:p>
            <w:pPr>
              <w:pStyle w:val="Compact"/>
              <w:jc w:val="center"/>
            </w:pPr>
            <w:r>
              <w:t xml:space="preserve">667,103</w:t>
            </w:r>
          </w:p>
        </w:tc>
        <w:tc>
          <w:tcPr/>
          <w:p>
            <w:pPr>
              <w:pStyle w:val="Compact"/>
              <w:jc w:val="center"/>
            </w:pPr>
            <w:r>
              <w:t xml:space="preserve">2,028,907</w:t>
            </w:r>
          </w:p>
        </w:tc>
        <w:tc>
          <w:tcPr/>
          <w:p>
            <w:pPr>
              <w:pStyle w:val="Compact"/>
              <w:jc w:val="center"/>
            </w:pPr>
            <w:r>
              <w:t xml:space="preserve">2,696,010</w:t>
            </w:r>
          </w:p>
        </w:tc>
        <w:tc>
          <w:tcPr/>
          <w:p>
            <w:pPr>
              <w:pStyle w:val="Compact"/>
              <w:jc w:val="center"/>
            </w:pPr>
            <w:r>
              <w:t xml:space="preserve">24.74</w:t>
            </w:r>
          </w:p>
        </w:tc>
        <w:tc>
          <w:tcPr/>
          <w:p>
            <w:pPr>
              <w:pStyle w:val="Compact"/>
              <w:jc w:val="center"/>
            </w:pPr>
            <w:r>
              <w:t xml:space="preserve">75.26</w:t>
            </w:r>
          </w:p>
        </w:tc>
      </w:tr>
      <w:tr>
        <w:tc>
          <w:tcPr/>
          <w:p>
            <w:pPr>
              <w:pStyle w:val="Compact"/>
              <w:jc w:val="center"/>
            </w:pPr>
            <w:r>
              <w:t xml:space="preserve">Rakhine stateless</w:t>
            </w:r>
          </w:p>
        </w:tc>
        <w:tc>
          <w:tcPr/>
          <w:p>
            <w:pPr>
              <w:pStyle w:val="Compact"/>
              <w:jc w:val="center"/>
            </w:pPr>
            <w:r>
              <w:t xml:space="preserve">246,891</w:t>
            </w:r>
          </w:p>
        </w:tc>
        <w:tc>
          <w:tcPr/>
          <w:p>
            <w:pPr>
              <w:pStyle w:val="Compact"/>
              <w:jc w:val="center"/>
            </w:pPr>
            <w:r>
              <w:t xml:space="preserve">47,101</w:t>
            </w:r>
          </w:p>
        </w:tc>
        <w:tc>
          <w:tcPr/>
          <w:p>
            <w:pPr>
              <w:pStyle w:val="Compact"/>
              <w:jc w:val="center"/>
            </w:pPr>
            <w:r>
              <w:t xml:space="preserve">293,992</w:t>
            </w:r>
          </w:p>
        </w:tc>
        <w:tc>
          <w:tcPr/>
          <w:p>
            <w:pPr>
              <w:pStyle w:val="Compact"/>
              <w:jc w:val="center"/>
            </w:pPr>
            <w:r>
              <w:t xml:space="preserve">83.98</w:t>
            </w:r>
          </w:p>
        </w:tc>
        <w:tc>
          <w:tcPr/>
          <w:p>
            <w:pPr>
              <w:pStyle w:val="Compact"/>
              <w:jc w:val="center"/>
            </w:pPr>
            <w:r>
              <w:t xml:space="preserve">16.02</w:t>
            </w:r>
          </w:p>
        </w:tc>
      </w:tr>
      <w:tr>
        <w:tc>
          <w:tcPr/>
          <w:p>
            <w:pPr>
              <w:pStyle w:val="Compact"/>
              <w:jc w:val="center"/>
            </w:pPr>
            <w:r>
              <w:t xml:space="preserve">Internally Displaced</w:t>
            </w:r>
          </w:p>
        </w:tc>
        <w:tc>
          <w:tcPr/>
          <w:p>
            <w:pPr>
              <w:pStyle w:val="Compact"/>
              <w:jc w:val="center"/>
            </w:pPr>
            <w:r>
              <w:t xml:space="preserve">145,206</w:t>
            </w:r>
          </w:p>
        </w:tc>
        <w:tc>
          <w:tcPr/>
          <w:p>
            <w:pPr>
              <w:pStyle w:val="Compact"/>
              <w:jc w:val="center"/>
            </w:pPr>
            <w:r>
              <w:t xml:space="preserve">123,436</w:t>
            </w:r>
          </w:p>
        </w:tc>
        <w:tc>
          <w:tcPr/>
          <w:p>
            <w:pPr>
              <w:pStyle w:val="Compact"/>
              <w:jc w:val="center"/>
            </w:pPr>
            <w:r>
              <w:t xml:space="preserve">268,642</w:t>
            </w:r>
          </w:p>
        </w:tc>
        <w:tc>
          <w:tcPr/>
          <w:p>
            <w:pPr>
              <w:pStyle w:val="Compact"/>
              <w:jc w:val="center"/>
            </w:pPr>
            <w:r>
              <w:t xml:space="preserve">54.05</w:t>
            </w:r>
          </w:p>
        </w:tc>
        <w:tc>
          <w:tcPr/>
          <w:p>
            <w:pPr>
              <w:pStyle w:val="Compact"/>
              <w:jc w:val="center"/>
            </w:pPr>
            <w:r>
              <w:t xml:space="preserve">45.95</w:t>
            </w:r>
          </w:p>
        </w:tc>
      </w:tr>
      <w:tr>
        <w:tc>
          <w:tcPr/>
          <w:p>
            <w:pPr>
              <w:pStyle w:val="Compact"/>
              <w:jc w:val="center"/>
            </w:pPr>
            <w:r>
              <w:t xml:space="preserve">Returnees</w:t>
            </w:r>
          </w:p>
        </w:tc>
        <w:tc>
          <w:tcPr/>
          <w:p>
            <w:pPr>
              <w:pStyle w:val="Compact"/>
              <w:jc w:val="center"/>
            </w:pPr>
            <w:r>
              <w:t xml:space="preserve">1,046</w:t>
            </w:r>
          </w:p>
        </w:tc>
        <w:tc>
          <w:tcPr/>
          <w:p>
            <w:pPr>
              <w:pStyle w:val="Compact"/>
              <w:jc w:val="center"/>
            </w:pPr>
            <w:r>
              <w:t xml:space="preserve">1,278</w:t>
            </w:r>
          </w:p>
        </w:tc>
        <w:tc>
          <w:tcPr/>
          <w:p>
            <w:pPr>
              <w:pStyle w:val="Compact"/>
              <w:jc w:val="center"/>
            </w:pPr>
            <w:r>
              <w:t xml:space="preserve">2,324</w:t>
            </w:r>
          </w:p>
        </w:tc>
        <w:tc>
          <w:tcPr/>
          <w:p>
            <w:pPr>
              <w:pStyle w:val="Compact"/>
              <w:jc w:val="center"/>
            </w:pPr>
            <w:r>
              <w:t xml:space="preserve">45.01</w:t>
            </w:r>
          </w:p>
        </w:tc>
        <w:tc>
          <w:tcPr/>
          <w:p>
            <w:pPr>
              <w:pStyle w:val="Compact"/>
              <w:jc w:val="center"/>
            </w:pPr>
            <w:r>
              <w:t xml:space="preserve">54.99</w:t>
            </w:r>
          </w:p>
        </w:tc>
      </w:tr>
    </w:tbl>
    <w:p>
      <w:pPr>
        <w:pStyle w:val="BodyText"/>
      </w:pPr>
    </w:p>
    <w:bookmarkEnd w:id="51"/>
    <w:bookmarkStart w:id="52" w:name="gaps-in-monthly-programming"/>
    <w:p>
      <w:pPr>
        <w:pStyle w:val="Heading3"/>
      </w:pPr>
      <w:r>
        <w:t xml:space="preserve">4.4 Gaps in monthly programming</w:t>
      </w:r>
    </w:p>
    <w:p>
      <w:pPr>
        <w:pStyle w:val="TableCaption"/>
      </w:pPr>
      <w:r>
        <w:t xml:space="preserve">Number of beneficiaries and locations by duration of gaps in implementation</w:t>
      </w:r>
    </w:p>
    <w:tbl>
      <w:tblPr>
        <w:tblStyle w:val="Table"/>
        <w:tblW w:type="pct" w:w="4514"/>
        <w:tblLook w:firstRow="1" w:lastRow="0" w:firstColumn="0" w:lastColumn="0" w:noHBand="0" w:noVBand="0" w:val="0020"/>
        <w:tblCaption w:val="Number of beneficiaries and locations by duration of gaps in implementation"/>
      </w:tblPr>
      <w:tblGrid>
        <w:gridCol w:w="1430"/>
        <w:gridCol w:w="1320"/>
        <w:gridCol w:w="1320"/>
        <w:gridCol w:w="1760"/>
        <w:gridCol w:w="1320"/>
      </w:tblGrid>
      <w:tr>
        <w:trPr>
          <w:tblHeader w:val="true"/>
        </w:trPr>
        <w:tc>
          <w:tcPr/>
          <w:p>
            <w:pPr>
              <w:pStyle w:val="Compact"/>
              <w:jc w:val="center"/>
            </w:pPr>
            <w:r>
              <w:t xml:space="preserve">gap_months</w:t>
            </w:r>
          </w:p>
        </w:tc>
        <w:tc>
          <w:tcPr/>
          <w:p>
            <w:pPr>
              <w:pStyle w:val="Compact"/>
              <w:jc w:val="center"/>
            </w:pPr>
            <w:r>
              <w:t xml:space="preserve">locations</w:t>
            </w:r>
          </w:p>
        </w:tc>
        <w:tc>
          <w:tcPr/>
          <w:p>
            <w:pPr>
              <w:pStyle w:val="Compact"/>
              <w:jc w:val="center"/>
            </w:pPr>
            <w:r>
              <w:t xml:space="preserve">townships</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0</w:t>
            </w:r>
          </w:p>
        </w:tc>
        <w:tc>
          <w:tcPr/>
          <w:p>
            <w:pPr>
              <w:pStyle w:val="Compact"/>
              <w:jc w:val="center"/>
            </w:pPr>
            <w:r>
              <w:t xml:space="preserve">283</w:t>
            </w:r>
          </w:p>
        </w:tc>
        <w:tc>
          <w:tcPr/>
          <w:p>
            <w:pPr>
              <w:pStyle w:val="Compact"/>
              <w:jc w:val="center"/>
            </w:pPr>
            <w:r>
              <w:t xml:space="preserve">35</w:t>
            </w:r>
          </w:p>
        </w:tc>
        <w:tc>
          <w:tcPr/>
          <w:p>
            <w:pPr>
              <w:pStyle w:val="Compact"/>
              <w:jc w:val="center"/>
            </w:pPr>
            <w:r>
              <w:t xml:space="preserve">457,448</w:t>
            </w:r>
          </w:p>
        </w:tc>
        <w:tc>
          <w:tcPr/>
          <w:p>
            <w:pPr>
              <w:pStyle w:val="Compact"/>
              <w:jc w:val="center"/>
            </w:pPr>
            <w:r>
              <w:t xml:space="preserve">51.48</w:t>
            </w:r>
          </w:p>
        </w:tc>
      </w:tr>
      <w:tr>
        <w:tc>
          <w:tcPr/>
          <w:p>
            <w:pPr>
              <w:pStyle w:val="Compact"/>
              <w:jc w:val="center"/>
            </w:pPr>
            <w:r>
              <w:t xml:space="preserve">1</w:t>
            </w:r>
          </w:p>
        </w:tc>
        <w:tc>
          <w:tcPr/>
          <w:p>
            <w:pPr>
              <w:pStyle w:val="Compact"/>
              <w:jc w:val="center"/>
            </w:pPr>
            <w:r>
              <w:t xml:space="preserve">51</w:t>
            </w:r>
          </w:p>
        </w:tc>
        <w:tc>
          <w:tcPr/>
          <w:p>
            <w:pPr>
              <w:pStyle w:val="Compact"/>
              <w:jc w:val="center"/>
            </w:pPr>
            <w:r>
              <w:t xml:space="preserve">21</w:t>
            </w:r>
          </w:p>
        </w:tc>
        <w:tc>
          <w:tcPr/>
          <w:p>
            <w:pPr>
              <w:pStyle w:val="Compact"/>
              <w:jc w:val="center"/>
            </w:pPr>
            <w:r>
              <w:t xml:space="preserve">73,704</w:t>
            </w:r>
          </w:p>
        </w:tc>
        <w:tc>
          <w:tcPr/>
          <w:p>
            <w:pPr>
              <w:pStyle w:val="Compact"/>
              <w:jc w:val="center"/>
            </w:pPr>
            <w:r>
              <w:t xml:space="preserve">8.29</w:t>
            </w:r>
          </w:p>
        </w:tc>
      </w:tr>
      <w:tr>
        <w:tc>
          <w:tcPr/>
          <w:p>
            <w:pPr>
              <w:pStyle w:val="Compact"/>
              <w:jc w:val="center"/>
            </w:pPr>
            <w:r>
              <w:t xml:space="preserve">2</w:t>
            </w:r>
          </w:p>
        </w:tc>
        <w:tc>
          <w:tcPr/>
          <w:p>
            <w:pPr>
              <w:pStyle w:val="Compact"/>
              <w:jc w:val="center"/>
            </w:pPr>
            <w:r>
              <w:t xml:space="preserve">122</w:t>
            </w:r>
          </w:p>
        </w:tc>
        <w:tc>
          <w:tcPr/>
          <w:p>
            <w:pPr>
              <w:pStyle w:val="Compact"/>
              <w:jc w:val="center"/>
            </w:pPr>
            <w:r>
              <w:t xml:space="preserve">22</w:t>
            </w:r>
          </w:p>
        </w:tc>
        <w:tc>
          <w:tcPr/>
          <w:p>
            <w:pPr>
              <w:pStyle w:val="Compact"/>
              <w:jc w:val="center"/>
            </w:pPr>
            <w:r>
              <w:t xml:space="preserve">63,397</w:t>
            </w:r>
          </w:p>
        </w:tc>
        <w:tc>
          <w:tcPr/>
          <w:p>
            <w:pPr>
              <w:pStyle w:val="Compact"/>
              <w:jc w:val="center"/>
            </w:pPr>
            <w:r>
              <w:t xml:space="preserve">7.13</w:t>
            </w:r>
          </w:p>
        </w:tc>
      </w:tr>
      <w:tr>
        <w:tc>
          <w:tcPr/>
          <w:p>
            <w:pPr>
              <w:pStyle w:val="Compact"/>
              <w:jc w:val="center"/>
            </w:pPr>
            <w:r>
              <w:t xml:space="preserve">3</w:t>
            </w:r>
          </w:p>
        </w:tc>
        <w:tc>
          <w:tcPr/>
          <w:p>
            <w:pPr>
              <w:pStyle w:val="Compact"/>
              <w:jc w:val="center"/>
            </w:pPr>
            <w:r>
              <w:t xml:space="preserve">406</w:t>
            </w:r>
          </w:p>
        </w:tc>
        <w:tc>
          <w:tcPr/>
          <w:p>
            <w:pPr>
              <w:pStyle w:val="Compact"/>
              <w:jc w:val="center"/>
            </w:pPr>
            <w:r>
              <w:t xml:space="preserve">12</w:t>
            </w:r>
          </w:p>
        </w:tc>
        <w:tc>
          <w:tcPr/>
          <w:p>
            <w:pPr>
              <w:pStyle w:val="Compact"/>
              <w:jc w:val="center"/>
            </w:pPr>
            <w:r>
              <w:t xml:space="preserve">236,978</w:t>
            </w:r>
          </w:p>
        </w:tc>
        <w:tc>
          <w:tcPr/>
          <w:p>
            <w:pPr>
              <w:pStyle w:val="Compact"/>
              <w:jc w:val="center"/>
            </w:pPr>
            <w:r>
              <w:t xml:space="preserve">26.67</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8,485</w:t>
            </w:r>
          </w:p>
        </w:tc>
        <w:tc>
          <w:tcPr/>
          <w:p>
            <w:pPr>
              <w:pStyle w:val="Compact"/>
              <w:jc w:val="center"/>
            </w:pPr>
            <w:r>
              <w:t xml:space="preserve">0.95</w:t>
            </w:r>
          </w:p>
        </w:tc>
      </w:tr>
      <w:tr>
        <w:tc>
          <w:tcPr/>
          <w:p>
            <w:pPr>
              <w:pStyle w:val="Compact"/>
              <w:jc w:val="center"/>
            </w:pPr>
            <w:r>
              <w:t xml:space="preserve">5</w:t>
            </w:r>
          </w:p>
        </w:tc>
        <w:tc>
          <w:tcPr/>
          <w:p>
            <w:pPr>
              <w:pStyle w:val="Compact"/>
              <w:jc w:val="center"/>
            </w:pPr>
            <w:r>
              <w:t xml:space="preserve">9</w:t>
            </w:r>
          </w:p>
        </w:tc>
        <w:tc>
          <w:tcPr/>
          <w:p>
            <w:pPr>
              <w:pStyle w:val="Compact"/>
              <w:jc w:val="center"/>
            </w:pPr>
            <w:r>
              <w:t xml:space="preserve">5</w:t>
            </w:r>
          </w:p>
        </w:tc>
        <w:tc>
          <w:tcPr/>
          <w:p>
            <w:pPr>
              <w:pStyle w:val="Compact"/>
              <w:jc w:val="center"/>
            </w:pPr>
            <w:r>
              <w:t xml:space="preserve">28,195</w:t>
            </w:r>
          </w:p>
        </w:tc>
        <w:tc>
          <w:tcPr/>
          <w:p>
            <w:pPr>
              <w:pStyle w:val="Compact"/>
              <w:jc w:val="center"/>
            </w:pPr>
            <w:r>
              <w:t xml:space="preserve">3.17</w:t>
            </w:r>
          </w:p>
        </w:tc>
      </w:tr>
      <w:tr>
        <w:tc>
          <w:tcPr/>
          <w:p>
            <w:pPr>
              <w:pStyle w:val="Compact"/>
              <w:jc w:val="center"/>
            </w:pPr>
            <w:r>
              <w:t xml:space="preserve">8</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20,393</w:t>
            </w:r>
          </w:p>
        </w:tc>
        <w:tc>
          <w:tcPr/>
          <w:p>
            <w:pPr>
              <w:pStyle w:val="Compact"/>
              <w:jc w:val="center"/>
            </w:pPr>
            <w:r>
              <w:t xml:space="preserve">2.29</w:t>
            </w:r>
          </w:p>
        </w:tc>
      </w:tr>
    </w:tbl>
    <w:p>
      <w:pPr>
        <w:pStyle w:val="BodyText"/>
      </w:pPr>
    </w:p>
    <w:p>
      <w:pPr>
        <w:pStyle w:val="BodyText"/>
      </w:pPr>
      <w:r>
        <w:t xml:space="preserve">49% of beneficiaries experienced gaps or delays in monthly programming, with the most common delay being 3 months. The 8-month delay was the provision of monthly food baskets in Buthidaung, where distributions only occurred in February and November 2021. The 5-month delays were all from locations in Rakhine and Kachin. Overall, gaps in monthly programming were experienced in 39 townships, with the majority orginating from Kachin, Ayeyarwady and Rakhine.</w:t>
      </w:r>
    </w:p>
    <w:p>
      <w:pPr>
        <w:pStyle w:val="BodyText"/>
      </w:pPr>
      <w:r>
        <w:t xml:space="preserve">There are 276 entries coded as being implemented on a monthly basis that have not recurred – that is, they have only been implemented once: we should check with partners if these are merely the first instances, or if there have been issues with access, security or funding or if they are errors in data entry.</w:t>
      </w:r>
    </w:p>
    <w:p>
      <w:pPr>
        <w:pStyle w:val="BodyText"/>
      </w:pPr>
    </w:p>
    <w:bookmarkEnd w:id="52"/>
    <w:bookmarkStart w:id="53" w:name="Xf274a158ea318c9ffc403d2e59a9faba61d2bd6"/>
    <w:p>
      <w:pPr>
        <w:pStyle w:val="Heading3"/>
      </w:pPr>
      <w:r>
        <w:t xml:space="preserve">4.5 Potential for post-distribution monitoring</w:t>
      </w:r>
    </w:p>
    <w:p>
      <w:pPr>
        <w:pStyle w:val="FirstParagraph"/>
      </w:pPr>
      <w:r>
        <w:t xml:space="preserve">The table below shows activities which have been implemented for 6 months or more, the number of locations they were implemented in and the number of unique beneficiaries reached by activities meeting these criteria. The possibility of joint monitoring – or at least the joint review and analysis of monitoring data – will be explored, in consultation with these partners. The rationale being that 6 months of implementation should be a long enough period of time to make impact monitoring feasible; additionally, joint monitoring will be further facilitated by the similarity of these activities, almost all of which are recurrent cash transfers or distributions of food baskets.</w:t>
      </w:r>
    </w:p>
    <w:p>
      <w:pPr>
        <w:pStyle w:val="TableCaption"/>
      </w:pPr>
      <w:r>
        <w:t xml:space="preserve">Number of beneficiaries, by activity, who have received at least 6 months of recurrent food security support</w:t>
      </w:r>
    </w:p>
    <w:tbl>
      <w:tblPr>
        <w:tblStyle w:val="Table"/>
        <w:tblW w:type="pct" w:w="4861"/>
        <w:tblLook w:firstRow="1" w:lastRow="0" w:firstColumn="0" w:lastColumn="0" w:noHBand="0" w:noVBand="0" w:val="0020"/>
        <w:tblCaption w:val="Number of beneficiaries, by activity, who have received at least 6 months of recurrent food security support"/>
      </w:tblPr>
      <w:tblGrid>
        <w:gridCol w:w="3410"/>
        <w:gridCol w:w="1210"/>
        <w:gridCol w:w="1320"/>
        <w:gridCol w:w="1760"/>
      </w:tblGrid>
      <w:tr>
        <w:trPr>
          <w:tblHeader w:val="true"/>
        </w:trPr>
        <w:tc>
          <w:tcPr/>
          <w:p>
            <w:pPr>
              <w:pStyle w:val="Compact"/>
              <w:jc w:val="center"/>
            </w:pPr>
            <w:r>
              <w:t xml:space="preserve">activity</w:t>
            </w:r>
          </w:p>
        </w:tc>
        <w:tc>
          <w:tcPr/>
          <w:p>
            <w:pPr>
              <w:pStyle w:val="Compact"/>
              <w:jc w:val="center"/>
            </w:pPr>
            <w:r>
              <w:t xml:space="preserve">partners</w:t>
            </w:r>
          </w:p>
        </w:tc>
        <w:tc>
          <w:tcPr/>
          <w:p>
            <w:pPr>
              <w:pStyle w:val="Compact"/>
              <w:jc w:val="center"/>
            </w:pPr>
            <w:r>
              <w:t xml:space="preserve">locations</w:t>
            </w:r>
          </w:p>
        </w:tc>
        <w:tc>
          <w:tcPr/>
          <w:p>
            <w:pPr>
              <w:pStyle w:val="Compact"/>
              <w:jc w:val="center"/>
            </w:pPr>
            <w:r>
              <w:t xml:space="preserve">beneficiaries</w:t>
            </w:r>
          </w:p>
        </w:tc>
      </w:tr>
      <w:tr>
        <w:tc>
          <w:tcPr/>
          <w:p>
            <w:pPr>
              <w:pStyle w:val="Compact"/>
              <w:jc w:val="center"/>
            </w:pPr>
            <w:r>
              <w:t xml:space="preserve">Provide monthly cash-based</w:t>
            </w:r>
            <w:r>
              <w:t xml:space="preserve"> </w:t>
            </w:r>
            <w:r>
              <w:t xml:space="preserve">transfers</w:t>
            </w:r>
          </w:p>
        </w:tc>
        <w:tc>
          <w:tcPr/>
          <w:p>
            <w:pPr>
              <w:pStyle w:val="Compact"/>
              <w:jc w:val="center"/>
            </w:pPr>
            <w:r>
              <w:t xml:space="preserve">7</w:t>
            </w:r>
          </w:p>
        </w:tc>
        <w:tc>
          <w:tcPr/>
          <w:p>
            <w:pPr>
              <w:pStyle w:val="Compact"/>
              <w:jc w:val="center"/>
            </w:pPr>
            <w:r>
              <w:t xml:space="preserve">231</w:t>
            </w:r>
          </w:p>
        </w:tc>
        <w:tc>
          <w:tcPr/>
          <w:p>
            <w:pPr>
              <w:pStyle w:val="Compact"/>
              <w:jc w:val="center"/>
            </w:pPr>
            <w:r>
              <w:t xml:space="preserve">194,400</w:t>
            </w:r>
          </w:p>
        </w:tc>
      </w:tr>
      <w:tr>
        <w:tc>
          <w:tcPr/>
          <w:p>
            <w:pPr>
              <w:pStyle w:val="Compact"/>
              <w:jc w:val="center"/>
            </w:pPr>
            <w:r>
              <w:t xml:space="preserve">Provide monthly food baskets</w:t>
            </w:r>
          </w:p>
        </w:tc>
        <w:tc>
          <w:tcPr/>
          <w:p>
            <w:pPr>
              <w:pStyle w:val="Compact"/>
              <w:jc w:val="center"/>
            </w:pPr>
            <w:r>
              <w:t xml:space="preserve">7</w:t>
            </w:r>
          </w:p>
        </w:tc>
        <w:tc>
          <w:tcPr/>
          <w:p>
            <w:pPr>
              <w:pStyle w:val="Compact"/>
              <w:jc w:val="center"/>
            </w:pPr>
            <w:r>
              <w:t xml:space="preserve">44</w:t>
            </w:r>
          </w:p>
        </w:tc>
        <w:tc>
          <w:tcPr/>
          <w:p>
            <w:pPr>
              <w:pStyle w:val="Compact"/>
              <w:jc w:val="center"/>
            </w:pPr>
            <w:r>
              <w:t xml:space="preserve">147,819</w:t>
            </w:r>
          </w:p>
        </w:tc>
      </w:tr>
      <w:tr>
        <w:tc>
          <w:tcPr/>
          <w:p>
            <w:pPr>
              <w:pStyle w:val="Compact"/>
              <w:jc w:val="center"/>
            </w:pPr>
            <w:r>
              <w:t xml:space="preserve">Provide technical training</w:t>
            </w:r>
          </w:p>
        </w:tc>
        <w:tc>
          <w:tcPr/>
          <w:p>
            <w:pPr>
              <w:pStyle w:val="Compact"/>
              <w:jc w:val="center"/>
            </w:pPr>
            <w:r>
              <w:t xml:space="preserve">2</w:t>
            </w:r>
          </w:p>
        </w:tc>
        <w:tc>
          <w:tcPr/>
          <w:p>
            <w:pPr>
              <w:pStyle w:val="Compact"/>
              <w:jc w:val="center"/>
            </w:pPr>
            <w:r>
              <w:t xml:space="preserve">413</w:t>
            </w:r>
          </w:p>
        </w:tc>
        <w:tc>
          <w:tcPr/>
          <w:p>
            <w:pPr>
              <w:pStyle w:val="Compact"/>
              <w:jc w:val="center"/>
            </w:pPr>
            <w:r>
              <w:t xml:space="preserve">57,887</w:t>
            </w:r>
          </w:p>
        </w:tc>
      </w:tr>
      <w:tr>
        <w:tc>
          <w:tcPr/>
          <w:p>
            <w:pPr>
              <w:pStyle w:val="Compact"/>
              <w:jc w:val="center"/>
            </w:pPr>
            <w:r>
              <w:t xml:space="preserve">Provide crops &amp; vegetables</w:t>
            </w:r>
            <w:r>
              <w:t xml:space="preserve"> </w:t>
            </w:r>
            <w:r>
              <w:t xml:space="preserve">kits</w:t>
            </w:r>
          </w:p>
        </w:tc>
        <w:tc>
          <w:tcPr/>
          <w:p>
            <w:pPr>
              <w:pStyle w:val="Compact"/>
              <w:jc w:val="center"/>
            </w:pPr>
            <w:r>
              <w:t xml:space="preserve">1</w:t>
            </w:r>
          </w:p>
        </w:tc>
        <w:tc>
          <w:tcPr/>
          <w:p>
            <w:pPr>
              <w:pStyle w:val="Compact"/>
              <w:jc w:val="center"/>
            </w:pPr>
            <w:r>
              <w:t xml:space="preserve">406</w:t>
            </w:r>
          </w:p>
        </w:tc>
        <w:tc>
          <w:tcPr/>
          <w:p>
            <w:pPr>
              <w:pStyle w:val="Compact"/>
              <w:jc w:val="center"/>
            </w:pPr>
            <w:r>
              <w:t xml:space="preserve">57,287</w:t>
            </w:r>
          </w:p>
        </w:tc>
      </w:tr>
      <w:tr>
        <w:tc>
          <w:tcPr/>
          <w:p>
            <w:pPr>
              <w:pStyle w:val="Compact"/>
              <w:jc w:val="center"/>
            </w:pPr>
            <w:r>
              <w:t xml:space="preserve">Provide support for income</w:t>
            </w:r>
            <w:r>
              <w:t xml:space="preserve"> </w:t>
            </w:r>
            <w:r>
              <w:t xml:space="preserve">generation</w:t>
            </w:r>
          </w:p>
        </w:tc>
        <w:tc>
          <w:tcPr/>
          <w:p>
            <w:pPr>
              <w:pStyle w:val="Compact"/>
              <w:jc w:val="center"/>
            </w:pPr>
            <w:r>
              <w:t xml:space="preserve">1</w:t>
            </w:r>
          </w:p>
        </w:tc>
        <w:tc>
          <w:tcPr/>
          <w:p>
            <w:pPr>
              <w:pStyle w:val="Compact"/>
              <w:jc w:val="center"/>
            </w:pPr>
            <w:r>
              <w:t xml:space="preserve">407</w:t>
            </w:r>
          </w:p>
        </w:tc>
        <w:tc>
          <w:tcPr/>
          <w:p>
            <w:pPr>
              <w:pStyle w:val="Compact"/>
              <w:jc w:val="center"/>
            </w:pPr>
            <w:r>
              <w:t xml:space="preserve">57,287</w:t>
            </w:r>
          </w:p>
        </w:tc>
      </w:tr>
      <w:tr>
        <w:tc>
          <w:tcPr/>
          <w:p>
            <w:pPr>
              <w:pStyle w:val="Compact"/>
              <w:jc w:val="center"/>
            </w:pPr>
            <w:r>
              <w:t xml:space="preserve">Cash for Work / Food for</w:t>
            </w:r>
            <w:r>
              <w:t xml:space="preserve"> </w:t>
            </w:r>
            <w:r>
              <w:t xml:space="preserve">Assets</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245</w:t>
            </w:r>
          </w:p>
        </w:tc>
      </w:tr>
    </w:tbl>
    <w:p>
      <w:pPr>
        <w:pStyle w:val="BodyText"/>
      </w:pPr>
    </w:p>
    <w:p>
      <w:pPr>
        <w:pStyle w:val="BodyText"/>
      </w:pPr>
      <w:r>
        <w:t xml:space="preserve">These are the partners who have implemented monthly food baskets and monthly cash-based transfers for more than 6 months:</w:t>
      </w: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Partners who have implemented cash transfers and food baskets for at least 6 months</w:t>
      </w:r>
    </w:p>
    <w:tbl>
      <w:tblPr>
        <w:tblStyle w:val="Table"/>
        <w:tblW w:type="pct" w:w="5000"/>
        <w:tblLook w:firstRow="1" w:lastRow="0" w:firstColumn="0" w:lastColumn="0" w:noHBand="0" w:noVBand="0" w:val="0020"/>
        <w:tblCaption w:val="Partners who have implemented cash transfers and food baskets for at least 6 months"/>
      </w:tblPr>
      <w:tblGrid>
        <w:gridCol w:w="2520"/>
        <w:gridCol w:w="2610"/>
        <w:gridCol w:w="2790"/>
      </w:tblGrid>
      <w:tr>
        <w:trPr>
          <w:tblHeader w:val="true"/>
        </w:trPr>
        <w:tc>
          <w:tcPr/>
          <w:p>
            <w:pPr>
              <w:pStyle w:val="Compact"/>
              <w:jc w:val="center"/>
            </w:pPr>
            <w:r>
              <w:t xml:space="preserve">implementing_partners</w:t>
            </w:r>
          </w:p>
        </w:tc>
        <w:tc>
          <w:tcPr/>
          <w:p>
            <w:pPr>
              <w:pStyle w:val="Compact"/>
              <w:jc w:val="center"/>
            </w:pPr>
            <w:r>
              <w:t xml:space="preserve">Provide monthly cash-based</w:t>
            </w:r>
            <w:r>
              <w:t xml:space="preserve"> </w:t>
            </w:r>
            <w:r>
              <w:t xml:space="preserve">transfers</w:t>
            </w:r>
          </w:p>
        </w:tc>
        <w:tc>
          <w:tcPr/>
          <w:p>
            <w:pPr>
              <w:pStyle w:val="Compact"/>
              <w:jc w:val="center"/>
            </w:pPr>
            <w:r>
              <w:t xml:space="preserve">Provide monthly food baskets</w:t>
            </w:r>
          </w:p>
        </w:tc>
      </w:tr>
      <w:tr>
        <w:tc>
          <w:tcPr/>
          <w:p>
            <w:pPr>
              <w:pStyle w:val="Compact"/>
              <w:jc w:val="center"/>
            </w:pPr>
            <w:r>
              <w:t xml:space="preserve">Karuna Mission Social</w:t>
            </w:r>
            <w:r>
              <w:t xml:space="preserve"> </w:t>
            </w:r>
            <w:r>
              <w:t xml:space="preserve">Solidarity</w:t>
            </w:r>
          </w:p>
        </w:tc>
        <w:tc>
          <w:tcPr/>
          <w:p>
            <w:pPr>
              <w:pStyle w:val="Compact"/>
              <w:jc w:val="center"/>
            </w:pPr>
            <w:r>
              <w:t xml:space="preserve">51,702</w:t>
            </w:r>
          </w:p>
        </w:tc>
        <w:tc>
          <w:tcPr/>
          <w:p>
            <w:pPr>
              <w:pStyle w:val="Compact"/>
              <w:jc w:val="center"/>
            </w:pPr>
            <w:r>
              <w:t xml:space="preserve">85</w:t>
            </w:r>
          </w:p>
        </w:tc>
      </w:tr>
      <w:tr>
        <w:tc>
          <w:tcPr/>
          <w:p>
            <w:pPr>
              <w:pStyle w:val="Compact"/>
              <w:jc w:val="center"/>
            </w:pPr>
            <w:r>
              <w:t xml:space="preserve">Myanmar Heart Development</w:t>
            </w:r>
            <w:r>
              <w:t xml:space="preserve"> </w:t>
            </w:r>
            <w:r>
              <w:t xml:space="preserve">Organization</w:t>
            </w:r>
          </w:p>
        </w:tc>
        <w:tc>
          <w:tcPr/>
          <w:p>
            <w:pPr>
              <w:pStyle w:val="Compact"/>
              <w:jc w:val="center"/>
            </w:pPr>
            <w:r>
              <w:t xml:space="preserve">30,185</w:t>
            </w:r>
          </w:p>
        </w:tc>
        <w:tc>
          <w:tcPr/>
          <w:p>
            <w:pPr>
              <w:pStyle w:val="Compact"/>
              <w:jc w:val="center"/>
            </w:pPr>
            <w:r>
              <w:t xml:space="preserve">57,638</w:t>
            </w:r>
          </w:p>
        </w:tc>
      </w:tr>
      <w:tr>
        <w:tc>
          <w:tcPr/>
          <w:p>
            <w:pPr>
              <w:pStyle w:val="Compact"/>
              <w:jc w:val="center"/>
            </w:pPr>
            <w:r>
              <w:t xml:space="preserve">People for People</w:t>
            </w:r>
          </w:p>
        </w:tc>
        <w:tc>
          <w:tcPr/>
          <w:p>
            <w:pPr>
              <w:pStyle w:val="Compact"/>
              <w:jc w:val="center"/>
            </w:pPr>
            <w:r>
              <w:t xml:space="preserve">23,982</w:t>
            </w:r>
          </w:p>
        </w:tc>
        <w:tc>
          <w:tcPr/>
          <w:p>
            <w:pPr>
              <w:pStyle w:val="Compact"/>
              <w:jc w:val="center"/>
            </w:pPr>
            <w:r>
              <w:t xml:space="preserve">NA</w:t>
            </w:r>
          </w:p>
        </w:tc>
      </w:tr>
      <w:tr>
        <w:tc>
          <w:tcPr/>
          <w:p>
            <w:pPr>
              <w:pStyle w:val="Compact"/>
              <w:jc w:val="center"/>
            </w:pPr>
            <w:r>
              <w:t xml:space="preserve">Plan International</w:t>
            </w:r>
          </w:p>
        </w:tc>
        <w:tc>
          <w:tcPr/>
          <w:p>
            <w:pPr>
              <w:pStyle w:val="Compact"/>
              <w:jc w:val="center"/>
            </w:pPr>
            <w:r>
              <w:t xml:space="preserve">37,657</w:t>
            </w:r>
          </w:p>
        </w:tc>
        <w:tc>
          <w:tcPr/>
          <w:p>
            <w:pPr>
              <w:pStyle w:val="Compact"/>
              <w:jc w:val="center"/>
            </w:pPr>
            <w:r>
              <w:t xml:space="preserve">NA</w:t>
            </w:r>
          </w:p>
        </w:tc>
      </w:tr>
      <w:tr>
        <w:tc>
          <w:tcPr/>
          <w:p>
            <w:pPr>
              <w:pStyle w:val="Compact"/>
              <w:jc w:val="center"/>
            </w:pPr>
            <w:r>
              <w:t xml:space="preserve">Save the Children</w:t>
            </w:r>
          </w:p>
        </w:tc>
        <w:tc>
          <w:tcPr/>
          <w:p>
            <w:pPr>
              <w:pStyle w:val="Compact"/>
              <w:jc w:val="center"/>
            </w:pPr>
            <w:r>
              <w:t xml:space="preserve">144</w:t>
            </w:r>
          </w:p>
        </w:tc>
        <w:tc>
          <w:tcPr/>
          <w:p>
            <w:pPr>
              <w:pStyle w:val="Compact"/>
              <w:jc w:val="center"/>
            </w:pPr>
            <w:r>
              <w:t xml:space="preserve">NA</w:t>
            </w:r>
          </w:p>
        </w:tc>
      </w:tr>
      <w:tr>
        <w:tc>
          <w:tcPr/>
          <w:p>
            <w:pPr>
              <w:pStyle w:val="Compact"/>
              <w:jc w:val="center"/>
            </w:pPr>
            <w:r>
              <w:t xml:space="preserve">WFP</w:t>
            </w:r>
          </w:p>
        </w:tc>
        <w:tc>
          <w:tcPr/>
          <w:p>
            <w:pPr>
              <w:pStyle w:val="Compact"/>
              <w:jc w:val="center"/>
            </w:pPr>
            <w:r>
              <w:t xml:space="preserve">39,192</w:t>
            </w:r>
          </w:p>
        </w:tc>
        <w:tc>
          <w:tcPr/>
          <w:p>
            <w:pPr>
              <w:pStyle w:val="Compact"/>
              <w:jc w:val="center"/>
            </w:pPr>
            <w:r>
              <w:t xml:space="preserve">42,002</w:t>
            </w:r>
          </w:p>
        </w:tc>
      </w:tr>
      <w:tr>
        <w:tc>
          <w:tcPr/>
          <w:p>
            <w:pPr>
              <w:pStyle w:val="Compact"/>
              <w:jc w:val="center"/>
            </w:pPr>
            <w:r>
              <w:t xml:space="preserve">World Vision Myanmar</w:t>
            </w:r>
          </w:p>
        </w:tc>
        <w:tc>
          <w:tcPr/>
          <w:p>
            <w:pPr>
              <w:pStyle w:val="Compact"/>
              <w:jc w:val="center"/>
            </w:pPr>
            <w:r>
              <w:t xml:space="preserve">11,538</w:t>
            </w:r>
          </w:p>
        </w:tc>
        <w:tc>
          <w:tcPr/>
          <w:p>
            <w:pPr>
              <w:pStyle w:val="Compact"/>
              <w:jc w:val="center"/>
            </w:pPr>
            <w:r>
              <w:t xml:space="preserve">19,559</w:t>
            </w:r>
          </w:p>
        </w:tc>
      </w:tr>
      <w:tr>
        <w:tc>
          <w:tcPr/>
          <w:p>
            <w:pPr>
              <w:pStyle w:val="Compact"/>
              <w:jc w:val="center"/>
            </w:pPr>
            <w:r>
              <w:t xml:space="preserve">Action for Green Earth</w:t>
            </w:r>
          </w:p>
        </w:tc>
        <w:tc>
          <w:tcPr/>
          <w:p>
            <w:pPr>
              <w:pStyle w:val="Compact"/>
              <w:jc w:val="center"/>
            </w:pPr>
            <w:r>
              <w:t xml:space="preserve">NA</w:t>
            </w:r>
          </w:p>
        </w:tc>
        <w:tc>
          <w:tcPr/>
          <w:p>
            <w:pPr>
              <w:pStyle w:val="Compact"/>
              <w:jc w:val="center"/>
            </w:pPr>
            <w:r>
              <w:t xml:space="preserve">18,755</w:t>
            </w:r>
          </w:p>
        </w:tc>
      </w:tr>
      <w:tr>
        <w:tc>
          <w:tcPr/>
          <w:p>
            <w:pPr>
              <w:pStyle w:val="Compact"/>
              <w:jc w:val="center"/>
            </w:pPr>
            <w:r>
              <w:t xml:space="preserve">People Hope Community</w:t>
            </w:r>
            <w:r>
              <w:t xml:space="preserve"> </w:t>
            </w:r>
            <w:r>
              <w:t xml:space="preserve">Development (PHCD)</w:t>
            </w:r>
          </w:p>
        </w:tc>
        <w:tc>
          <w:tcPr/>
          <w:p>
            <w:pPr>
              <w:pStyle w:val="Compact"/>
              <w:jc w:val="center"/>
            </w:pPr>
            <w:r>
              <w:t xml:space="preserve">NA</w:t>
            </w:r>
          </w:p>
        </w:tc>
        <w:tc>
          <w:tcPr/>
          <w:p>
            <w:pPr>
              <w:pStyle w:val="Compact"/>
              <w:jc w:val="center"/>
            </w:pPr>
            <w:r>
              <w:t xml:space="preserve">8,872</w:t>
            </w:r>
          </w:p>
        </w:tc>
      </w:tr>
      <w:tr>
        <w:tc>
          <w:tcPr/>
          <w:p>
            <w:pPr>
              <w:pStyle w:val="Compact"/>
              <w:jc w:val="center"/>
            </w:pPr>
            <w:r>
              <w:t xml:space="preserve">Together for Sustainable</w:t>
            </w:r>
            <w:r>
              <w:t xml:space="preserve"> </w:t>
            </w:r>
            <w:r>
              <w:t xml:space="preserve">Development</w:t>
            </w:r>
          </w:p>
        </w:tc>
        <w:tc>
          <w:tcPr/>
          <w:p>
            <w:pPr>
              <w:pStyle w:val="Compact"/>
              <w:jc w:val="center"/>
            </w:pPr>
            <w:r>
              <w:t xml:space="preserve">NA</w:t>
            </w:r>
          </w:p>
        </w:tc>
        <w:tc>
          <w:tcPr/>
          <w:p>
            <w:pPr>
              <w:pStyle w:val="Compact"/>
              <w:jc w:val="center"/>
            </w:pPr>
            <w:r>
              <w:t xml:space="preserve">908</w:t>
            </w:r>
          </w:p>
        </w:tc>
      </w:tr>
    </w:tbl>
    <w:p>
      <w:pPr>
        <w:pStyle w:val="BodyText"/>
      </w:pPr>
    </w:p>
    <w:bookmarkEnd w:id="53"/>
    <w:bookmarkEnd w:id="54"/>
    <w:bookmarkStart w:id="55" w:name="next-steps"/>
    <w:p>
      <w:pPr>
        <w:pStyle w:val="Heading2"/>
      </w:pPr>
      <w:r>
        <w:t xml:space="preserve">5. Next steps</w:t>
      </w:r>
    </w:p>
    <w:p>
      <w:pPr>
        <w:numPr>
          <w:ilvl w:val="0"/>
          <w:numId w:val="1001"/>
        </w:numPr>
      </w:pPr>
      <w:r>
        <w:t xml:space="preserve">Communicate to partners that Yangon is severely oversubscribed in comparison to the rest of the country, above all in the townships of Hlaingtharya, Shwepyithar, Dagon Myothit (Seikkan), Dala and North Okkalapa.</w:t>
      </w:r>
    </w:p>
    <w:p>
      <w:pPr>
        <w:numPr>
          <w:ilvl w:val="0"/>
          <w:numId w:val="1001"/>
        </w:numPr>
      </w:pPr>
      <w:r>
        <w:t xml:space="preserve">Collect existing intervention packages from partners in order to begin the process of standardisation and to support the review of food baskets for their caloric and nutritional value. Perform additional analysis to understand if beneficiaries in close proximity to each other have received widely divergent package values. Additionally, speak with partners to understand why cash transfer values vary even within the same activity implemented by the same partner.</w:t>
      </w:r>
    </w:p>
    <w:p>
      <w:pPr>
        <w:numPr>
          <w:ilvl w:val="0"/>
          <w:numId w:val="1001"/>
        </w:numPr>
      </w:pPr>
      <w:r>
        <w:t xml:space="preserve">Revisit areas which have only received smaller supplementary transfers – a transfer of around USD 10 per household per month cannot be considered to have covered the food security needs for that area – other partners may be necessary to cover the gap.</w:t>
      </w:r>
    </w:p>
    <w:p>
      <w:pPr>
        <w:numPr>
          <w:ilvl w:val="0"/>
          <w:numId w:val="1001"/>
        </w:numPr>
      </w:pPr>
      <w:r>
        <w:t xml:space="preserve">Advocate for the expansion of partners’ geographic footprints to reach the remaining 179 townships which have yet to benefit from any FSC activities. The effects of the current crisis in Myanmar have not been determined by an epicentre or a stormpath and there is no programmatic rationale for the response to be so uneven. This advocacy should be targetted at the ICCG, Cluster partners and at donors.</w:t>
      </w:r>
    </w:p>
    <w:p>
      <w:pPr>
        <w:numPr>
          <w:ilvl w:val="0"/>
          <w:numId w:val="1001"/>
        </w:numPr>
      </w:pPr>
      <w:r>
        <w:t xml:space="preserve">Collect 5W data from other clusters so that multi-sector coverage may be reviewed. Clean and process conflict data so that it may be cross-referenced with partners’ coverage. Share raw data with other Clusters to improve coordination.</w:t>
      </w:r>
    </w:p>
    <w:p>
      <w:pPr>
        <w:numPr>
          <w:ilvl w:val="0"/>
          <w:numId w:val="1001"/>
        </w:numPr>
      </w:pPr>
      <w:r>
        <w:t xml:space="preserve">Work with partners to determine their current capacities to submit age and sex-disaggregated beneficiary data. Develop a workplan to ensure that they can meet reporting requirements.</w:t>
      </w:r>
    </w:p>
    <w:p>
      <w:pPr>
        <w:numPr>
          <w:ilvl w:val="0"/>
          <w:numId w:val="1001"/>
        </w:numPr>
      </w:pPr>
      <w:r>
        <w:t xml:space="preserve">Solicit monitoring reports from partners and explore the possibility of joint monitoring.</w:t>
      </w:r>
    </w:p>
    <w:p>
      <w:pPr>
        <w:numPr>
          <w:ilvl w:val="0"/>
          <w:numId w:val="1001"/>
        </w:numPr>
      </w:pPr>
      <w:r>
        <w:t xml:space="preserve">Revise the 5W template – in consultation with partners – in order to address the data collection issues identified.</w:t>
      </w:r>
    </w:p>
    <w:p>
      <w:pPr>
        <w:pStyle w:val="FirstParagraph"/>
      </w:pPr>
    </w:p>
    <w:bookmarkEnd w:id="55"/>
    <w:bookmarkStart w:id="56" w:name="reference-table-townships"/>
    <w:p>
      <w:pPr>
        <w:pStyle w:val="Heading2"/>
      </w:pPr>
      <w:r>
        <w:t xml:space="preserve">6. Reference table – townships</w:t>
      </w:r>
    </w:p>
    <w:p>
      <w:pPr>
        <w:pStyle w:val="FirstParagraph"/>
      </w:pPr>
      <w:r>
        <w:t xml:space="preserve">The reference table below may be sorted and filtered by any of the columns.</w:t>
      </w:r>
    </w:p>
    <w:p>
      <w:pPr>
        <w:pStyle w:val="BodyText"/>
      </w:pPr>
    </w:p>
    <w:bookmarkEnd w:id="56"/>
    <w:bookmarkStart w:id="57" w:name="X46bf58964331e8dae124e8d3239b5349ba1321e"/>
    <w:p>
      <w:pPr>
        <w:pStyle w:val="Heading2"/>
      </w:pPr>
      <w:r>
        <w:t xml:space="preserve">7. Interactive maps – 2022 PIN and 2021 beneficiaries reached</w:t>
      </w:r>
    </w:p>
    <w:p>
      <w:pPr>
        <w:pStyle w:val="FirstParagraph"/>
      </w:pPr>
    </w:p>
    <w:p>
      <w:pPr>
        <w:pStyle w:val="BodyText"/>
      </w:pP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dcterms:created xsi:type="dcterms:W3CDTF">2022-01-29T08:34:41Z</dcterms:created>
  <dcterms:modified xsi:type="dcterms:W3CDTF">2022-01-29T08:34:41Z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