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38A85" w14:textId="3460167B" w:rsidR="00CA451D" w:rsidRDefault="00D90752" w:rsidP="006E7F2B">
      <w:pPr>
        <w:pStyle w:val="Heading1"/>
        <w:jc w:val="center"/>
      </w:pPr>
      <w:r>
        <w:t xml:space="preserve">Model Introduction and </w:t>
      </w:r>
      <w:r w:rsidR="006E7F2B" w:rsidRPr="006E7F2B">
        <w:t xml:space="preserve">User Guide for </w:t>
      </w:r>
      <w:r>
        <w:t>P</w:t>
      </w:r>
      <w:r w:rsidR="006E7F2B" w:rsidRPr="006E7F2B">
        <w:t xml:space="preserve">oultry </w:t>
      </w:r>
      <w:r w:rsidR="006E7F2B">
        <w:t xml:space="preserve">QMRA </w:t>
      </w:r>
      <w:r>
        <w:t>M</w:t>
      </w:r>
      <w:r w:rsidR="006E7F2B" w:rsidRPr="006E7F2B">
        <w:t>odel</w:t>
      </w:r>
    </w:p>
    <w:p w14:paraId="1F57E277" w14:textId="0B1802E7" w:rsidR="006E7F2B" w:rsidRDefault="006E7F2B" w:rsidP="006E7F2B">
      <w:r>
        <w:t>Author: Yiyi Li</w:t>
      </w:r>
    </w:p>
    <w:p w14:paraId="33DB8F71" w14:textId="36FA9593" w:rsidR="006E7F2B" w:rsidRDefault="006E7F2B" w:rsidP="006E7F2B">
      <w:r>
        <w:t xml:space="preserve">Date of last update: </w:t>
      </w:r>
      <w:r w:rsidR="004F6A75">
        <w:t>11</w:t>
      </w:r>
      <w:r>
        <w:t>/</w:t>
      </w:r>
      <w:r w:rsidR="004F6A75">
        <w:t>11</w:t>
      </w:r>
      <w:r>
        <w:t xml:space="preserve">/2025 </w:t>
      </w:r>
    </w:p>
    <w:p w14:paraId="61347C44" w14:textId="4D2D2303" w:rsidR="006E7F2B" w:rsidRDefault="006E7F2B" w:rsidP="006E7F2B">
      <w:pPr>
        <w:pStyle w:val="Heading2"/>
      </w:pPr>
      <w:r>
        <w:t xml:space="preserve">Overview </w:t>
      </w:r>
    </w:p>
    <w:p w14:paraId="73F2EC55" w14:textId="446D20E8" w:rsidR="006E7F2B" w:rsidRPr="006E7F2B" w:rsidRDefault="004F6A75" w:rsidP="004F6A75">
      <w:r w:rsidRPr="00D87124">
        <w:t xml:space="preserve">Prevalence-based performance standards have guided </w:t>
      </w:r>
      <w:r w:rsidRPr="00D87124">
        <w:rPr>
          <w:i/>
          <w:iCs/>
        </w:rPr>
        <w:t>Salmonella</w:t>
      </w:r>
      <w:r w:rsidRPr="00D87124">
        <w:t xml:space="preserve"> control in poultry industry, but concentration- and virulence-based final product standards could target the </w:t>
      </w:r>
      <w:proofErr w:type="gramStart"/>
      <w:r w:rsidRPr="00D87124">
        <w:t>most risky</w:t>
      </w:r>
      <w:proofErr w:type="gramEnd"/>
      <w:r w:rsidRPr="00D87124">
        <w:t xml:space="preserve"> contamination more specifically. We adapted our previous risk assessment for chicken parts</w:t>
      </w:r>
      <w:r w:rsidRPr="00D87124">
        <w:rPr>
          <w:rFonts w:hint="eastAsia"/>
          <w:lang w:eastAsia="zh-CN"/>
        </w:rPr>
        <w:t xml:space="preserve"> </w:t>
      </w:r>
      <w:r w:rsidRPr="00D87124">
        <w:t>to comminuted turkey to assess the risk in products implicated by different final product standards</w:t>
      </w:r>
      <w:r w:rsidRPr="00D87124">
        <w:rPr>
          <w:lang w:eastAsia="zh-CN"/>
        </w:rPr>
        <w:t xml:space="preserve">, </w:t>
      </w:r>
      <w:r w:rsidRPr="00D87124">
        <w:t>incorporat</w:t>
      </w:r>
      <w:r w:rsidRPr="00D87124">
        <w:rPr>
          <w:lang w:eastAsia="zh-CN"/>
        </w:rPr>
        <w:t>ing</w:t>
      </w:r>
      <w:r w:rsidRPr="00D87124">
        <w:t xml:space="preserve"> assumptions from FSIS 2024 risk assessments</w:t>
      </w:r>
      <w:r w:rsidRPr="00D87124">
        <w:rPr>
          <w:rFonts w:hint="eastAsia"/>
          <w:lang w:eastAsia="zh-CN"/>
        </w:rPr>
        <w:t>.</w:t>
      </w:r>
      <w:r w:rsidRPr="00D87124">
        <w:t xml:space="preserve"> We simulated the attributable fraction of illnesses from products contaminated over three level thresholds (0.0031 CFU/g, 1 CFU/g, and 10 CFU/g) and/or containing a serotype in three lists (“Top 3 most prevalent </w:t>
      </w:r>
      <w:r w:rsidRPr="008971FA">
        <w:t>higher-</w:t>
      </w:r>
      <w:r w:rsidRPr="00D87124">
        <w:t xml:space="preserve">virulence serotypes”, “All higher-virulence serotypes”, and “Higher-virulence proportion of each serotype”). Results showed that 87% of illnesses were attributed to the 0.56% of products with </w:t>
      </w:r>
      <w:r w:rsidRPr="00D87124">
        <w:rPr>
          <w:i/>
          <w:iCs/>
        </w:rPr>
        <w:t>Salmonella</w:t>
      </w:r>
      <w:r w:rsidRPr="00D87124">
        <w:t xml:space="preserve"> exceeding 10 CFU/g. Under more specific criteria of level “AND” serotype, 60% of illnesses were attributed to the 0.14% of products contaminated with </w:t>
      </w:r>
      <w:r w:rsidRPr="00D87124">
        <w:rPr>
          <w:i/>
          <w:iCs/>
        </w:rPr>
        <w:t>Salmonella</w:t>
      </w:r>
      <w:r w:rsidRPr="00D87124">
        <w:t xml:space="preserve"> exceeding 10 CFU/g and one of the three most prevalent higher-virulence serotypes. Further, applying genomic-based clustering information, 75% of illnesses were attributed to slightly more products (0.19%) containing </w:t>
      </w:r>
      <w:r w:rsidRPr="00D87124">
        <w:rPr>
          <w:i/>
          <w:iCs/>
        </w:rPr>
        <w:t>Salmonella</w:t>
      </w:r>
      <w:r w:rsidRPr="00D87124">
        <w:t xml:space="preserve"> exceeding 10 CFU/g and higher-virulence proportion of each serotype. Under the less specific standard, however, 99% of illnesses were attributed to the 5.7% of products containing </w:t>
      </w:r>
      <w:r w:rsidRPr="00D87124">
        <w:rPr>
          <w:i/>
          <w:iCs/>
        </w:rPr>
        <w:t>Salmonella</w:t>
      </w:r>
      <w:r w:rsidRPr="00D87124">
        <w:t xml:space="preserve"> exceeding 10 CFU/g “OR” one of the three most prevalent higher-virulence serotypes. Our study demonstrated that most salmonellosis risk is concentrated in comminuted turkey products with high levels of higher-virulence contaminations. Importantly, more specifically targeting those products could efficiently reduce public health risk while minimizing products implicated.</w:t>
      </w:r>
    </w:p>
    <w:p w14:paraId="507C29BB" w14:textId="61339AEA" w:rsidR="006E7F2B" w:rsidRDefault="00D90752" w:rsidP="004F6A75">
      <w:pPr>
        <w:pStyle w:val="Heading2"/>
      </w:pPr>
      <w:r>
        <w:t>Raw data</w:t>
      </w:r>
    </w:p>
    <w:p w14:paraId="0CF593D1" w14:textId="31A527E2" w:rsidR="00D90752" w:rsidRDefault="00D90752" w:rsidP="00D90752">
      <w:pPr>
        <w:rPr>
          <w:rFonts w:cs="Times New Roman"/>
        </w:rPr>
      </w:pPr>
      <w:r>
        <w:t xml:space="preserve">The raw data </w:t>
      </w:r>
      <w:r w:rsidRPr="00D87124">
        <w:rPr>
          <w:rFonts w:cs="Times New Roman"/>
        </w:rPr>
        <w:t>w</w:t>
      </w:r>
      <w:r>
        <w:rPr>
          <w:rFonts w:cs="Times New Roman"/>
        </w:rPr>
        <w:t>as</w:t>
      </w:r>
      <w:r w:rsidRPr="00D87124">
        <w:rPr>
          <w:rFonts w:cs="Times New Roman"/>
        </w:rPr>
        <w:t xml:space="preserve"> retrieved from FSIS Laboratory Sampling Data Webpage in September 2024</w:t>
      </w:r>
      <w:r>
        <w:rPr>
          <w:rFonts w:cs="Times New Roman"/>
        </w:rPr>
        <w:t xml:space="preserve">. </w:t>
      </w:r>
    </w:p>
    <w:p w14:paraId="169DF0EE" w14:textId="77777777" w:rsidR="00D90752" w:rsidRDefault="00D90752" w:rsidP="00D90752">
      <w:pPr>
        <w:pStyle w:val="Heading2"/>
      </w:pPr>
      <w:r>
        <w:t>Level fitting and Serotype distribution</w:t>
      </w:r>
    </w:p>
    <w:p w14:paraId="2F604533" w14:textId="173F9430" w:rsidR="00D90752" w:rsidRPr="00D90752" w:rsidRDefault="00D90752" w:rsidP="00D90752">
      <w:r>
        <w:t>“</w:t>
      </w:r>
      <w:proofErr w:type="spellStart"/>
      <w:r w:rsidRPr="00D90752">
        <w:t>Poultry_Level_Fitting_Sereotype_Distribution</w:t>
      </w:r>
      <w:r>
        <w:t>.rmd</w:t>
      </w:r>
      <w:proofErr w:type="spellEnd"/>
      <w:r>
        <w:t>” file includes the code for fitting log</w:t>
      </w:r>
      <w:r w:rsidRPr="00D90752">
        <w:rPr>
          <w:vertAlign w:val="subscript"/>
        </w:rPr>
        <w:t>10</w:t>
      </w:r>
      <w:r>
        <w:t xml:space="preserve">-normal distribution for data using MPN method and qPCR method. The code to extract the serotype distribution for both datasets (2016-2021 and 2023-2024) is also included in this </w:t>
      </w:r>
      <w:proofErr w:type="spellStart"/>
      <w:r>
        <w:t>rmd</w:t>
      </w:r>
      <w:proofErr w:type="spellEnd"/>
      <w:r>
        <w:t xml:space="preserve"> file.   </w:t>
      </w:r>
    </w:p>
    <w:p w14:paraId="41987137" w14:textId="759DF5CC" w:rsidR="00D90752" w:rsidRPr="00D90752" w:rsidRDefault="00D90752" w:rsidP="00D90752">
      <w:pPr>
        <w:pStyle w:val="Heading2"/>
      </w:pPr>
      <w:r>
        <w:t xml:space="preserve">Risk model  </w:t>
      </w:r>
    </w:p>
    <w:p w14:paraId="7EB91343" w14:textId="30522EF4" w:rsidR="006E7F2B" w:rsidRDefault="00D90752" w:rsidP="006E7F2B">
      <w:r>
        <w:t>“</w:t>
      </w:r>
      <w:r w:rsidRPr="00D90752">
        <w:t xml:space="preserve">Turkey </w:t>
      </w:r>
      <w:proofErr w:type="spellStart"/>
      <w:r w:rsidRPr="00D90752">
        <w:t>model_majority_clustering</w:t>
      </w:r>
      <w:r>
        <w:t>.rmd</w:t>
      </w:r>
      <w:proofErr w:type="spellEnd"/>
      <w:r>
        <w:t xml:space="preserve">” file contains the code to run the QMRA using serotype-specific dose-response model with majority clustering method. </w:t>
      </w:r>
    </w:p>
    <w:p w14:paraId="2EDD3A72" w14:textId="713CA69E" w:rsidR="00D90752" w:rsidRDefault="00D90752" w:rsidP="00D90752">
      <w:r>
        <w:t>“</w:t>
      </w:r>
      <w:r w:rsidRPr="00D90752">
        <w:t xml:space="preserve">Turkey </w:t>
      </w:r>
      <w:proofErr w:type="spellStart"/>
      <w:r w:rsidRPr="00D90752">
        <w:t>model_</w:t>
      </w:r>
      <w:r>
        <w:t>proportion</w:t>
      </w:r>
      <w:r w:rsidRPr="00D90752">
        <w:t>_clustering</w:t>
      </w:r>
      <w:r>
        <w:t>.rmd</w:t>
      </w:r>
      <w:proofErr w:type="spellEnd"/>
      <w:r>
        <w:t xml:space="preserve">” file contains the code to run the QMRA using serotype-specific dose-response model with </w:t>
      </w:r>
      <w:r>
        <w:t>proportion</w:t>
      </w:r>
      <w:r>
        <w:t xml:space="preserve"> clustering method. </w:t>
      </w:r>
    </w:p>
    <w:p w14:paraId="71EF5916" w14:textId="608022DA" w:rsidR="00D90752" w:rsidRDefault="00D90752" w:rsidP="00D90752">
      <w:r>
        <w:t>Frist, run the</w:t>
      </w:r>
      <w:r w:rsidR="00D03931">
        <w:t xml:space="preserve"> first chunk to load required library and</w:t>
      </w:r>
      <w:r>
        <w:t xml:space="preserve"> functions</w:t>
      </w:r>
      <w:r w:rsidR="00D03931">
        <w:t xml:space="preserve">. Then, run the chunks (started from Lines 16XX) for model runs for different scenarios. Note: use the instructions to set your inputs and variables.  </w:t>
      </w:r>
    </w:p>
    <w:p w14:paraId="3C684D1A" w14:textId="77777777" w:rsidR="00D90752" w:rsidRPr="006E7F2B" w:rsidRDefault="00D90752" w:rsidP="006E7F2B"/>
    <w:sectPr w:rsidR="00D90752" w:rsidRPr="006E7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9C"/>
    <w:rsid w:val="004F6A75"/>
    <w:rsid w:val="006E7F2B"/>
    <w:rsid w:val="00CA451D"/>
    <w:rsid w:val="00D03931"/>
    <w:rsid w:val="00D67F9C"/>
    <w:rsid w:val="00D9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98AB"/>
  <w15:chartTrackingRefBased/>
  <w15:docId w15:val="{A17517CC-0583-4636-BEDA-1805729F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F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D7D31" w:themeColor="accen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7F2B"/>
    <w:rPr>
      <w:rFonts w:asciiTheme="majorHAnsi" w:eastAsiaTheme="majorEastAsia" w:hAnsiTheme="majorHAnsi" w:cstheme="majorBidi"/>
      <w:color w:val="ED7D31" w:themeColor="accent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Yiyi</dc:creator>
  <cp:keywords/>
  <dc:description/>
  <cp:lastModifiedBy>Li, Yiyi</cp:lastModifiedBy>
  <cp:revision>5</cp:revision>
  <dcterms:created xsi:type="dcterms:W3CDTF">2025-08-06T23:51:00Z</dcterms:created>
  <dcterms:modified xsi:type="dcterms:W3CDTF">2025-11-11T22:25:00Z</dcterms:modified>
</cp:coreProperties>
</file>