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BEEB" w14:textId="77777777" w:rsidR="006D7F96" w:rsidRDefault="006D7F96" w:rsidP="006D7F96">
      <w:r w:rsidRPr="00F315CC">
        <w:rPr>
          <w:b/>
          <w:bCs/>
        </w:rPr>
        <w:t xml:space="preserve">Table </w:t>
      </w:r>
      <w:r>
        <w:rPr>
          <w:b/>
          <w:bCs/>
        </w:rPr>
        <w:t>S3</w:t>
      </w:r>
      <w:r>
        <w:t xml:space="preserve">: Summary of share table simulation on milk cartons time in the system, population change, and </w:t>
      </w:r>
      <w:proofErr w:type="gramStart"/>
      <w:r>
        <w:t>percent</w:t>
      </w:r>
      <w:proofErr w:type="gramEnd"/>
      <w:r>
        <w:t xml:space="preserve"> of milk cartons that spoiled. </w:t>
      </w:r>
    </w:p>
    <w:tbl>
      <w:tblPr>
        <w:tblStyle w:val="TableGrid"/>
        <w:tblW w:w="9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7"/>
        <w:gridCol w:w="1681"/>
        <w:gridCol w:w="1782"/>
        <w:gridCol w:w="1580"/>
        <w:gridCol w:w="1681"/>
        <w:gridCol w:w="1682"/>
      </w:tblGrid>
      <w:tr w:rsidR="006D7F96" w14:paraId="672D6F75" w14:textId="77777777" w:rsidTr="00420B23">
        <w:trPr>
          <w:trHeight w:val="917"/>
        </w:trPr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14:paraId="330D30E9" w14:textId="77777777" w:rsidR="006D7F96" w:rsidRDefault="006D7F96" w:rsidP="00420B23"/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14:paraId="1C1A37EF" w14:textId="77777777" w:rsidR="006D7F96" w:rsidRDefault="006D7F96" w:rsidP="00420B23">
            <w:pPr>
              <w:jc w:val="center"/>
            </w:pPr>
            <w:r w:rsidRPr="00E974B7">
              <w:t xml:space="preserve">Time in </w:t>
            </w:r>
            <w:r>
              <w:t xml:space="preserve">the </w:t>
            </w:r>
            <w:r w:rsidRPr="00E974B7">
              <w:t>system (minutes- median)</w:t>
            </w: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34E084C5" w14:textId="77777777" w:rsidR="006D7F96" w:rsidRDefault="006D7F96" w:rsidP="00420B23">
            <w:pPr>
              <w:jc w:val="center"/>
            </w:pPr>
            <w:r w:rsidRPr="00E974B7">
              <w:t xml:space="preserve">Time in </w:t>
            </w:r>
            <w:r>
              <w:t xml:space="preserve">the </w:t>
            </w:r>
            <w:r w:rsidRPr="00E974B7">
              <w:t>system (minutes- 2.5</w:t>
            </w:r>
            <w:r w:rsidRPr="00E974B7">
              <w:rPr>
                <w:vertAlign w:val="superscript"/>
              </w:rPr>
              <w:t>th</w:t>
            </w:r>
            <w:r w:rsidRPr="00E974B7">
              <w:t xml:space="preserve"> – 97.5</w:t>
            </w:r>
            <w:r w:rsidRPr="00E974B7">
              <w:rPr>
                <w:vertAlign w:val="superscript"/>
              </w:rPr>
              <w:t>th</w:t>
            </w:r>
            <w:r w:rsidRPr="00E974B7">
              <w:t xml:space="preserve"> quantiles)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</w:tcPr>
          <w:p w14:paraId="24525535" w14:textId="77777777" w:rsidR="006D7F96" w:rsidRDefault="006D7F96" w:rsidP="00420B23">
            <w:pPr>
              <w:jc w:val="center"/>
            </w:pPr>
            <w:r w:rsidRPr="00E974B7">
              <w:t>Population change (log CFU/ mL - median)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14:paraId="059B8B5A" w14:textId="77777777" w:rsidR="006D7F96" w:rsidRDefault="006D7F96" w:rsidP="00420B23">
            <w:pPr>
              <w:jc w:val="center"/>
            </w:pPr>
            <w:r w:rsidRPr="00E974B7">
              <w:t>Population change (2.5</w:t>
            </w:r>
            <w:r w:rsidRPr="00E974B7">
              <w:rPr>
                <w:vertAlign w:val="superscript"/>
              </w:rPr>
              <w:t>th</w:t>
            </w:r>
            <w:r w:rsidRPr="00E974B7">
              <w:t xml:space="preserve"> – 97.5</w:t>
            </w:r>
            <w:r w:rsidRPr="00E974B7">
              <w:rPr>
                <w:vertAlign w:val="superscript"/>
              </w:rPr>
              <w:t>th</w:t>
            </w:r>
            <w:r w:rsidRPr="00E974B7">
              <w:t xml:space="preserve"> quantiles)</w:t>
            </w:r>
          </w:p>
          <w:p w14:paraId="3B3DBEE8" w14:textId="77777777" w:rsidR="006D7F96" w:rsidRDefault="006D7F96" w:rsidP="00420B23">
            <w:pPr>
              <w:jc w:val="center"/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</w:tcPr>
          <w:p w14:paraId="4AD1A17F" w14:textId="77777777" w:rsidR="006D7F96" w:rsidRPr="00E974B7" w:rsidRDefault="006D7F96" w:rsidP="00420B23">
            <w:pPr>
              <w:jc w:val="center"/>
            </w:pPr>
            <w:r w:rsidRPr="00E974B7">
              <w:t>Percentage of milk spoiled (%)</w:t>
            </w:r>
            <w:r>
              <w:t>, above 6 log</w:t>
            </w:r>
            <w:r>
              <w:rPr>
                <w:vertAlign w:val="subscript"/>
              </w:rPr>
              <w:t>10</w:t>
            </w:r>
            <w:r>
              <w:t xml:space="preserve"> CFU/ mL</w:t>
            </w:r>
          </w:p>
        </w:tc>
      </w:tr>
      <w:tr w:rsidR="006D7F96" w14:paraId="5478CB1E" w14:textId="77777777" w:rsidTr="00420B23">
        <w:trPr>
          <w:trHeight w:val="532"/>
        </w:trPr>
        <w:tc>
          <w:tcPr>
            <w:tcW w:w="1577" w:type="dxa"/>
            <w:tcBorders>
              <w:top w:val="single" w:sz="4" w:space="0" w:color="auto"/>
            </w:tcBorders>
          </w:tcPr>
          <w:p w14:paraId="5519D20A" w14:textId="77777777" w:rsidR="006D7F96" w:rsidRPr="008F1074" w:rsidRDefault="006D7F96" w:rsidP="00420B23">
            <w:r w:rsidRPr="008F1074">
              <w:t>Non-Share</w:t>
            </w:r>
            <w:r>
              <w:t>d</w:t>
            </w:r>
            <w:r w:rsidRPr="008F1074">
              <w:t xml:space="preserve"> Milk</w:t>
            </w: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5A9BB11C" w14:textId="77777777" w:rsidR="006D7F96" w:rsidRPr="00080ED3" w:rsidRDefault="006D7F96" w:rsidP="00420B23">
            <w:pPr>
              <w:jc w:val="right"/>
            </w:pPr>
            <w:r>
              <w:t>81</w:t>
            </w:r>
          </w:p>
        </w:tc>
        <w:tc>
          <w:tcPr>
            <w:tcW w:w="1782" w:type="dxa"/>
            <w:tcBorders>
              <w:top w:val="single" w:sz="4" w:space="0" w:color="auto"/>
            </w:tcBorders>
          </w:tcPr>
          <w:p w14:paraId="21E65318" w14:textId="77777777" w:rsidR="006D7F96" w:rsidRPr="00080ED3" w:rsidRDefault="006D7F96" w:rsidP="00420B23">
            <w:pPr>
              <w:jc w:val="right"/>
            </w:pPr>
            <w:r>
              <w:t>4</w:t>
            </w:r>
            <w:r w:rsidRPr="00080ED3">
              <w:t xml:space="preserve"> - </w:t>
            </w:r>
            <w:r>
              <w:t>123</w:t>
            </w:r>
          </w:p>
        </w:tc>
        <w:tc>
          <w:tcPr>
            <w:tcW w:w="1580" w:type="dxa"/>
            <w:tcBorders>
              <w:top w:val="single" w:sz="4" w:space="0" w:color="auto"/>
            </w:tcBorders>
          </w:tcPr>
          <w:p w14:paraId="1C0E83FB" w14:textId="77777777" w:rsidR="006D7F96" w:rsidRPr="00080ED3" w:rsidRDefault="006D7F96" w:rsidP="00420B23">
            <w:pPr>
              <w:jc w:val="right"/>
            </w:pPr>
            <w:r w:rsidRPr="00080ED3">
              <w:t>0.</w:t>
            </w:r>
            <w:r>
              <w:t>095</w:t>
            </w: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73E9F9DD" w14:textId="77777777" w:rsidR="006D7F96" w:rsidRPr="00080ED3" w:rsidRDefault="006D7F96" w:rsidP="00420B23">
            <w:pPr>
              <w:jc w:val="right"/>
            </w:pPr>
            <w:r w:rsidRPr="00080ED3">
              <w:t>0.00</w:t>
            </w:r>
            <w:r>
              <w:t>3</w:t>
            </w:r>
            <w:r w:rsidRPr="00080ED3">
              <w:t>-0.1</w:t>
            </w:r>
            <w:r>
              <w:t>6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14:paraId="722390A3" w14:textId="77777777" w:rsidR="006D7F96" w:rsidRPr="00080ED3" w:rsidRDefault="006D7F96" w:rsidP="00420B23">
            <w:pPr>
              <w:jc w:val="right"/>
            </w:pPr>
            <w:r w:rsidRPr="00080ED3">
              <w:t>0%</w:t>
            </w:r>
          </w:p>
          <w:p w14:paraId="5970B912" w14:textId="77777777" w:rsidR="006D7F96" w:rsidRPr="00080ED3" w:rsidRDefault="006D7F96" w:rsidP="00420B23">
            <w:pPr>
              <w:jc w:val="right"/>
            </w:pPr>
            <w:r>
              <w:t xml:space="preserve">0 </w:t>
            </w:r>
            <w:r w:rsidRPr="00080ED3">
              <w:t xml:space="preserve">/ </w:t>
            </w:r>
            <w:r>
              <w:t>347,497</w:t>
            </w:r>
          </w:p>
        </w:tc>
      </w:tr>
      <w:tr w:rsidR="006D7F96" w14:paraId="48E054FA" w14:textId="77777777" w:rsidTr="00420B23">
        <w:trPr>
          <w:trHeight w:val="273"/>
        </w:trPr>
        <w:tc>
          <w:tcPr>
            <w:tcW w:w="1577" w:type="dxa"/>
          </w:tcPr>
          <w:p w14:paraId="39152719" w14:textId="77777777" w:rsidR="006D7F96" w:rsidRPr="008F1074" w:rsidRDefault="006D7F96" w:rsidP="00420B23">
            <w:r w:rsidRPr="008F1074">
              <w:t>Shared Milk</w:t>
            </w:r>
          </w:p>
        </w:tc>
        <w:tc>
          <w:tcPr>
            <w:tcW w:w="1681" w:type="dxa"/>
          </w:tcPr>
          <w:p w14:paraId="7B89C4D1" w14:textId="77777777" w:rsidR="006D7F96" w:rsidRPr="00080ED3" w:rsidRDefault="006D7F96" w:rsidP="00420B23">
            <w:pPr>
              <w:jc w:val="right"/>
            </w:pPr>
            <w:r w:rsidRPr="00080ED3">
              <w:t>1</w:t>
            </w:r>
            <w:r>
              <w:t>19</w:t>
            </w:r>
          </w:p>
        </w:tc>
        <w:tc>
          <w:tcPr>
            <w:tcW w:w="1782" w:type="dxa"/>
          </w:tcPr>
          <w:p w14:paraId="6F5084DA" w14:textId="77777777" w:rsidR="006D7F96" w:rsidRPr="00080ED3" w:rsidRDefault="006D7F96" w:rsidP="00420B23">
            <w:pPr>
              <w:jc w:val="right"/>
            </w:pPr>
            <w:r>
              <w:t xml:space="preserve">9 </w:t>
            </w:r>
            <w:r w:rsidRPr="00080ED3">
              <w:t>-</w:t>
            </w:r>
            <w:r>
              <w:t xml:space="preserve"> </w:t>
            </w:r>
            <w:r w:rsidRPr="00080ED3">
              <w:t>1</w:t>
            </w:r>
            <w:r>
              <w:t>,489</w:t>
            </w:r>
          </w:p>
        </w:tc>
        <w:tc>
          <w:tcPr>
            <w:tcW w:w="1580" w:type="dxa"/>
          </w:tcPr>
          <w:p w14:paraId="7F059401" w14:textId="77777777" w:rsidR="006D7F96" w:rsidRPr="00080ED3" w:rsidRDefault="006D7F96" w:rsidP="00420B23">
            <w:pPr>
              <w:jc w:val="right"/>
            </w:pPr>
            <w:r w:rsidRPr="00080ED3">
              <w:t>0.</w:t>
            </w:r>
            <w:r>
              <w:t>16</w:t>
            </w:r>
          </w:p>
        </w:tc>
        <w:tc>
          <w:tcPr>
            <w:tcW w:w="1681" w:type="dxa"/>
          </w:tcPr>
          <w:p w14:paraId="140BF176" w14:textId="77777777" w:rsidR="006D7F96" w:rsidRPr="00080ED3" w:rsidRDefault="006D7F96" w:rsidP="00420B23">
            <w:pPr>
              <w:jc w:val="right"/>
            </w:pPr>
            <w:r w:rsidRPr="00080ED3">
              <w:t>0.0</w:t>
            </w:r>
            <w:r>
              <w:t>06</w:t>
            </w:r>
            <w:r w:rsidRPr="00080ED3">
              <w:t>-1.</w:t>
            </w:r>
            <w:r>
              <w:t>17</w:t>
            </w:r>
          </w:p>
        </w:tc>
        <w:tc>
          <w:tcPr>
            <w:tcW w:w="1682" w:type="dxa"/>
          </w:tcPr>
          <w:p w14:paraId="293B0287" w14:textId="77777777" w:rsidR="006D7F96" w:rsidRPr="00080ED3" w:rsidRDefault="006D7F96" w:rsidP="00420B23">
            <w:pPr>
              <w:jc w:val="right"/>
            </w:pPr>
            <w:r>
              <w:t>0.004</w:t>
            </w:r>
            <w:r w:rsidRPr="00080ED3">
              <w:t>%</w:t>
            </w:r>
          </w:p>
          <w:p w14:paraId="57DCB388" w14:textId="77777777" w:rsidR="006D7F96" w:rsidRPr="00080ED3" w:rsidRDefault="006D7F96" w:rsidP="00420B23">
            <w:pPr>
              <w:jc w:val="right"/>
            </w:pPr>
            <w:r>
              <w:t>4</w:t>
            </w:r>
            <w:r w:rsidRPr="00080ED3">
              <w:t xml:space="preserve"> / </w:t>
            </w:r>
            <w:r>
              <w:t>103,309</w:t>
            </w:r>
          </w:p>
        </w:tc>
      </w:tr>
      <w:tr w:rsidR="006D7F96" w14:paraId="7BDAAE3D" w14:textId="77777777" w:rsidTr="00420B23">
        <w:trPr>
          <w:trHeight w:val="258"/>
        </w:trPr>
        <w:tc>
          <w:tcPr>
            <w:tcW w:w="1577" w:type="dxa"/>
            <w:tcBorders>
              <w:bottom w:val="single" w:sz="4" w:space="0" w:color="auto"/>
            </w:tcBorders>
          </w:tcPr>
          <w:p w14:paraId="6128DC3A" w14:textId="77777777" w:rsidR="006D7F96" w:rsidRPr="008F1074" w:rsidRDefault="006D7F96" w:rsidP="00420B23">
            <w:r w:rsidRPr="008F1074">
              <w:t>Overall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77957C00" w14:textId="77777777" w:rsidR="006D7F96" w:rsidRPr="00080ED3" w:rsidRDefault="006D7F96" w:rsidP="00420B23">
            <w:pPr>
              <w:jc w:val="right"/>
            </w:pPr>
            <w:r>
              <w:t>85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CC31186" w14:textId="77777777" w:rsidR="006D7F96" w:rsidRPr="00080ED3" w:rsidRDefault="006D7F96" w:rsidP="00420B23">
            <w:pPr>
              <w:jc w:val="right"/>
            </w:pPr>
            <w:r>
              <w:t xml:space="preserve">4 </w:t>
            </w:r>
            <w:r w:rsidRPr="00080ED3">
              <w:t>-</w:t>
            </w:r>
            <w:r>
              <w:t xml:space="preserve"> </w:t>
            </w:r>
            <w:r w:rsidRPr="00080ED3">
              <w:t>1</w:t>
            </w:r>
            <w:r>
              <w:t>,</w:t>
            </w:r>
            <w:r w:rsidRPr="00080ED3">
              <w:t>4</w:t>
            </w:r>
            <w:r>
              <w:t>80</w:t>
            </w: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22840F88" w14:textId="77777777" w:rsidR="006D7F96" w:rsidRPr="00080ED3" w:rsidRDefault="006D7F96" w:rsidP="00420B23">
            <w:pPr>
              <w:jc w:val="right"/>
            </w:pPr>
            <w:r w:rsidRPr="00080ED3">
              <w:t>0.0</w:t>
            </w:r>
            <w:r>
              <w:t>10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3F54A3AE" w14:textId="77777777" w:rsidR="006D7F96" w:rsidRPr="00080ED3" w:rsidRDefault="006D7F96" w:rsidP="00420B23">
            <w:pPr>
              <w:jc w:val="right"/>
            </w:pPr>
            <w:r w:rsidRPr="00080ED3">
              <w:t>0.00</w:t>
            </w:r>
            <w:r>
              <w:t>4</w:t>
            </w:r>
            <w:r w:rsidRPr="00080ED3">
              <w:t>-1.1</w:t>
            </w:r>
            <w:r>
              <w:t>4</w:t>
            </w: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14:paraId="2D182ACC" w14:textId="77777777" w:rsidR="006D7F96" w:rsidRPr="00080ED3" w:rsidRDefault="006D7F96" w:rsidP="00420B23">
            <w:pPr>
              <w:jc w:val="right"/>
            </w:pPr>
            <w:r>
              <w:t>0.0009</w:t>
            </w:r>
            <w:r w:rsidRPr="00080ED3">
              <w:t>%</w:t>
            </w:r>
          </w:p>
          <w:p w14:paraId="132E8CC2" w14:textId="77777777" w:rsidR="006D7F96" w:rsidRPr="00080ED3" w:rsidRDefault="006D7F96" w:rsidP="00420B23">
            <w:pPr>
              <w:jc w:val="right"/>
            </w:pPr>
            <w:r>
              <w:t>4</w:t>
            </w:r>
            <w:r w:rsidRPr="00080ED3">
              <w:t xml:space="preserve"> / </w:t>
            </w:r>
            <w:r>
              <w:t>450,806</w:t>
            </w:r>
          </w:p>
        </w:tc>
      </w:tr>
    </w:tbl>
    <w:p w14:paraId="0F5B4A1B" w14:textId="77777777" w:rsidR="006D7F96" w:rsidRDefault="006D7F96" w:rsidP="006D7F96"/>
    <w:p w14:paraId="3C36AFAC" w14:textId="77777777" w:rsidR="006D7F96" w:rsidRDefault="006D7F96" w:rsidP="006D7F96">
      <w:r w:rsidRPr="00DC6EA4">
        <w:rPr>
          <w:b/>
          <w:bCs/>
        </w:rPr>
        <w:t xml:space="preserve">Table </w:t>
      </w:r>
      <w:r>
        <w:rPr>
          <w:b/>
          <w:bCs/>
        </w:rPr>
        <w:t>S4</w:t>
      </w:r>
      <w:r w:rsidRPr="00DC6EA4">
        <w:t>:</w:t>
      </w:r>
      <w:r>
        <w:t xml:space="preserve"> Summary of final location for milk cartons split by </w:t>
      </w:r>
    </w:p>
    <w:tbl>
      <w:tblPr>
        <w:tblStyle w:val="TableGrid"/>
        <w:tblW w:w="9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1529"/>
        <w:gridCol w:w="1359"/>
        <w:gridCol w:w="1348"/>
        <w:gridCol w:w="1357"/>
        <w:gridCol w:w="1357"/>
        <w:gridCol w:w="1440"/>
      </w:tblGrid>
      <w:tr w:rsidR="006D7F96" w14:paraId="6213E124" w14:textId="77777777" w:rsidTr="00420B23">
        <w:trPr>
          <w:trHeight w:val="445"/>
        </w:trPr>
        <w:tc>
          <w:tcPr>
            <w:tcW w:w="1522" w:type="dxa"/>
            <w:tcBorders>
              <w:top w:val="single" w:sz="4" w:space="0" w:color="auto"/>
            </w:tcBorders>
          </w:tcPr>
          <w:p w14:paraId="18FE265D" w14:textId="77777777" w:rsidR="006D7F96" w:rsidRDefault="006D7F96" w:rsidP="00420B23"/>
        </w:tc>
        <w:tc>
          <w:tcPr>
            <w:tcW w:w="1529" w:type="dxa"/>
            <w:vMerge w:val="restart"/>
            <w:tcBorders>
              <w:top w:val="single" w:sz="4" w:space="0" w:color="auto"/>
            </w:tcBorders>
          </w:tcPr>
          <w:p w14:paraId="69127F32" w14:textId="77777777" w:rsidR="006D7F96" w:rsidRDefault="006D7F96" w:rsidP="00420B23">
            <w:pPr>
              <w:jc w:val="center"/>
            </w:pPr>
            <w:r>
              <w:t>Total Milk Cartons</w:t>
            </w:r>
          </w:p>
        </w:tc>
        <w:tc>
          <w:tcPr>
            <w:tcW w:w="6861" w:type="dxa"/>
            <w:gridSpan w:val="5"/>
            <w:tcBorders>
              <w:top w:val="single" w:sz="4" w:space="0" w:color="auto"/>
            </w:tcBorders>
          </w:tcPr>
          <w:p w14:paraId="05A690F6" w14:textId="77777777" w:rsidR="006D7F96" w:rsidRDefault="006D7F96" w:rsidP="00420B23">
            <w:pPr>
              <w:jc w:val="center"/>
            </w:pPr>
            <w:r>
              <w:t>Day of service in the system</w:t>
            </w:r>
          </w:p>
        </w:tc>
      </w:tr>
      <w:tr w:rsidR="006D7F96" w14:paraId="16CD0376" w14:textId="77777777" w:rsidTr="00420B23">
        <w:trPr>
          <w:trHeight w:val="445"/>
        </w:trPr>
        <w:tc>
          <w:tcPr>
            <w:tcW w:w="1522" w:type="dxa"/>
            <w:tcBorders>
              <w:bottom w:val="single" w:sz="4" w:space="0" w:color="auto"/>
            </w:tcBorders>
          </w:tcPr>
          <w:p w14:paraId="2FB10FA0" w14:textId="77777777" w:rsidR="006D7F96" w:rsidRDefault="006D7F96" w:rsidP="00420B23"/>
        </w:tc>
        <w:tc>
          <w:tcPr>
            <w:tcW w:w="1529" w:type="dxa"/>
            <w:vMerge/>
            <w:tcBorders>
              <w:bottom w:val="single" w:sz="4" w:space="0" w:color="auto"/>
            </w:tcBorders>
          </w:tcPr>
          <w:p w14:paraId="36B13608" w14:textId="77777777" w:rsidR="006D7F96" w:rsidRDefault="006D7F96" w:rsidP="00420B23">
            <w:pPr>
              <w:jc w:val="center"/>
            </w:pP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4772A0A1" w14:textId="77777777" w:rsidR="006D7F96" w:rsidRDefault="006D7F96" w:rsidP="00420B23">
            <w:pPr>
              <w:jc w:val="center"/>
            </w:pPr>
            <w:r>
              <w:t xml:space="preserve">1 Day </w:t>
            </w:r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13892485" w14:textId="77777777" w:rsidR="006D7F96" w:rsidRDefault="006D7F96" w:rsidP="00420B23">
            <w:pPr>
              <w:jc w:val="center"/>
            </w:pPr>
            <w:r>
              <w:t>2 Days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F4AC89A" w14:textId="77777777" w:rsidR="006D7F96" w:rsidRDefault="006D7F96" w:rsidP="00420B23">
            <w:pPr>
              <w:jc w:val="center"/>
            </w:pPr>
            <w:r>
              <w:t>3 Days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42FE7DF5" w14:textId="77777777" w:rsidR="006D7F96" w:rsidRDefault="006D7F96" w:rsidP="00420B23">
            <w:pPr>
              <w:jc w:val="center"/>
            </w:pPr>
            <w:r>
              <w:t>4 Days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3832FAD1" w14:textId="77777777" w:rsidR="006D7F96" w:rsidRDefault="006D7F96" w:rsidP="00420B23">
            <w:pPr>
              <w:jc w:val="center"/>
            </w:pPr>
            <w:r>
              <w:t>5 Days</w:t>
            </w:r>
          </w:p>
        </w:tc>
      </w:tr>
      <w:tr w:rsidR="006D7F96" w14:paraId="5C7E8B92" w14:textId="77777777" w:rsidTr="00420B23">
        <w:trPr>
          <w:trHeight w:val="257"/>
        </w:trPr>
        <w:tc>
          <w:tcPr>
            <w:tcW w:w="1522" w:type="dxa"/>
            <w:tcBorders>
              <w:top w:val="single" w:sz="4" w:space="0" w:color="auto"/>
            </w:tcBorders>
          </w:tcPr>
          <w:p w14:paraId="520A900C" w14:textId="77777777" w:rsidR="006D7F96" w:rsidRPr="008F1074" w:rsidRDefault="006D7F96" w:rsidP="00420B23">
            <w:r>
              <w:t>Consumed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14:paraId="7A44EF74" w14:textId="77777777" w:rsidR="006D7F96" w:rsidRPr="00080ED3" w:rsidRDefault="006D7F96" w:rsidP="00420B23">
            <w:pPr>
              <w:jc w:val="right"/>
            </w:pPr>
            <w:r>
              <w:t>385,701 (85.6%)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14:paraId="41A31FD7" w14:textId="77777777" w:rsidR="006D7F96" w:rsidRDefault="006D7F96" w:rsidP="00420B23">
            <w:pPr>
              <w:jc w:val="right"/>
            </w:pPr>
            <w:r>
              <w:t>343,290</w:t>
            </w:r>
          </w:p>
          <w:p w14:paraId="2A0947C2" w14:textId="77777777" w:rsidR="006D7F96" w:rsidRPr="00080ED3" w:rsidRDefault="006D7F96" w:rsidP="00420B23">
            <w:pPr>
              <w:jc w:val="right"/>
            </w:pPr>
            <w:r>
              <w:t>(89.0%)</w:t>
            </w:r>
          </w:p>
        </w:tc>
        <w:tc>
          <w:tcPr>
            <w:tcW w:w="1348" w:type="dxa"/>
            <w:tcBorders>
              <w:top w:val="single" w:sz="4" w:space="0" w:color="auto"/>
            </w:tcBorders>
          </w:tcPr>
          <w:p w14:paraId="4112B059" w14:textId="77777777" w:rsidR="006D7F96" w:rsidRDefault="006D7F96" w:rsidP="00420B23">
            <w:pPr>
              <w:jc w:val="right"/>
            </w:pPr>
            <w:r>
              <w:t>41,560</w:t>
            </w:r>
          </w:p>
          <w:p w14:paraId="05041C21" w14:textId="77777777" w:rsidR="006D7F96" w:rsidRPr="00080ED3" w:rsidRDefault="006D7F96" w:rsidP="00420B23">
            <w:pPr>
              <w:jc w:val="right"/>
            </w:pPr>
            <w:r>
              <w:t>(10.8%)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14:paraId="09B7D0A5" w14:textId="77777777" w:rsidR="006D7F96" w:rsidRDefault="006D7F96" w:rsidP="00420B23">
            <w:pPr>
              <w:jc w:val="right"/>
            </w:pPr>
            <w:r>
              <w:t>838</w:t>
            </w:r>
          </w:p>
          <w:p w14:paraId="6BCBF553" w14:textId="77777777" w:rsidR="006D7F96" w:rsidRPr="00080ED3" w:rsidRDefault="006D7F96" w:rsidP="00420B23">
            <w:pPr>
              <w:jc w:val="right"/>
            </w:pPr>
            <w:r>
              <w:t>(0.22%)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14:paraId="0A8F5184" w14:textId="77777777" w:rsidR="006D7F96" w:rsidRDefault="006D7F96" w:rsidP="00420B23">
            <w:pPr>
              <w:jc w:val="right"/>
            </w:pPr>
            <w:r>
              <w:t>13</w:t>
            </w:r>
          </w:p>
          <w:p w14:paraId="3736D8D8" w14:textId="77777777" w:rsidR="006D7F96" w:rsidRPr="00080ED3" w:rsidRDefault="006D7F96" w:rsidP="00420B23">
            <w:pPr>
              <w:jc w:val="right"/>
            </w:pPr>
            <w:r>
              <w:t>(0.003%)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14:paraId="4E29B088" w14:textId="77777777" w:rsidR="006D7F96" w:rsidRDefault="006D7F96" w:rsidP="00420B23">
            <w:pPr>
              <w:jc w:val="right"/>
            </w:pPr>
            <w:r>
              <w:t>0</w:t>
            </w:r>
          </w:p>
          <w:p w14:paraId="306637FC" w14:textId="77777777" w:rsidR="006D7F96" w:rsidRPr="00080ED3" w:rsidRDefault="006D7F96" w:rsidP="00420B23">
            <w:pPr>
              <w:jc w:val="right"/>
            </w:pPr>
            <w:r>
              <w:t>(0%)</w:t>
            </w:r>
          </w:p>
        </w:tc>
      </w:tr>
      <w:tr w:rsidR="006D7F96" w14:paraId="0B8FBE6C" w14:textId="77777777" w:rsidTr="00420B23">
        <w:trPr>
          <w:trHeight w:val="132"/>
        </w:trPr>
        <w:tc>
          <w:tcPr>
            <w:tcW w:w="1522" w:type="dxa"/>
          </w:tcPr>
          <w:p w14:paraId="7DBD55BF" w14:textId="77777777" w:rsidR="006D7F96" w:rsidRPr="008F1074" w:rsidRDefault="006D7F96" w:rsidP="00420B23">
            <w:r>
              <w:t>Discarded</w:t>
            </w:r>
          </w:p>
        </w:tc>
        <w:tc>
          <w:tcPr>
            <w:tcW w:w="1529" w:type="dxa"/>
          </w:tcPr>
          <w:p w14:paraId="638F8E4D" w14:textId="77777777" w:rsidR="006D7F96" w:rsidRPr="00080ED3" w:rsidRDefault="006D7F96" w:rsidP="00420B23">
            <w:pPr>
              <w:jc w:val="right"/>
            </w:pPr>
            <w:r>
              <w:t>52,856 (11.7%)</w:t>
            </w:r>
          </w:p>
        </w:tc>
        <w:tc>
          <w:tcPr>
            <w:tcW w:w="1359" w:type="dxa"/>
          </w:tcPr>
          <w:p w14:paraId="1552FB03" w14:textId="77777777" w:rsidR="006D7F96" w:rsidRPr="00080ED3" w:rsidRDefault="006D7F96" w:rsidP="00420B23">
            <w:pPr>
              <w:jc w:val="right"/>
            </w:pPr>
            <w:r>
              <w:t>47,327 (89.5%)</w:t>
            </w:r>
          </w:p>
        </w:tc>
        <w:tc>
          <w:tcPr>
            <w:tcW w:w="1348" w:type="dxa"/>
          </w:tcPr>
          <w:p w14:paraId="2B74702B" w14:textId="77777777" w:rsidR="006D7F96" w:rsidRDefault="006D7F96" w:rsidP="00420B23">
            <w:pPr>
              <w:jc w:val="right"/>
            </w:pPr>
            <w:r>
              <w:t>5,443</w:t>
            </w:r>
          </w:p>
          <w:p w14:paraId="2CFFDF70" w14:textId="77777777" w:rsidR="006D7F96" w:rsidRPr="00080ED3" w:rsidRDefault="006D7F96" w:rsidP="00420B23">
            <w:pPr>
              <w:jc w:val="right"/>
            </w:pPr>
            <w:r>
              <w:t>(10.3%)</w:t>
            </w:r>
          </w:p>
        </w:tc>
        <w:tc>
          <w:tcPr>
            <w:tcW w:w="1357" w:type="dxa"/>
          </w:tcPr>
          <w:p w14:paraId="6F2B9FE8" w14:textId="77777777" w:rsidR="006D7F96" w:rsidRDefault="006D7F96" w:rsidP="00420B23">
            <w:pPr>
              <w:jc w:val="right"/>
            </w:pPr>
            <w:r>
              <w:t>84</w:t>
            </w:r>
          </w:p>
          <w:p w14:paraId="77A26769" w14:textId="77777777" w:rsidR="006D7F96" w:rsidRPr="00080ED3" w:rsidRDefault="006D7F96" w:rsidP="00420B23">
            <w:pPr>
              <w:jc w:val="right"/>
            </w:pPr>
            <w:r>
              <w:t>(0.16%)</w:t>
            </w:r>
          </w:p>
        </w:tc>
        <w:tc>
          <w:tcPr>
            <w:tcW w:w="1357" w:type="dxa"/>
          </w:tcPr>
          <w:p w14:paraId="2C662926" w14:textId="77777777" w:rsidR="006D7F96" w:rsidRDefault="006D7F96" w:rsidP="00420B23">
            <w:pPr>
              <w:jc w:val="right"/>
            </w:pPr>
            <w:r>
              <w:t>2</w:t>
            </w:r>
          </w:p>
          <w:p w14:paraId="66454FF9" w14:textId="77777777" w:rsidR="006D7F96" w:rsidRPr="00080ED3" w:rsidRDefault="006D7F96" w:rsidP="00420B23">
            <w:pPr>
              <w:jc w:val="right"/>
            </w:pPr>
            <w:r>
              <w:t>(0.004%)</w:t>
            </w:r>
          </w:p>
        </w:tc>
        <w:tc>
          <w:tcPr>
            <w:tcW w:w="1438" w:type="dxa"/>
          </w:tcPr>
          <w:p w14:paraId="0C19F401" w14:textId="77777777" w:rsidR="006D7F96" w:rsidRDefault="006D7F96" w:rsidP="00420B23">
            <w:pPr>
              <w:jc w:val="right"/>
            </w:pPr>
            <w:r>
              <w:t>0</w:t>
            </w:r>
          </w:p>
          <w:p w14:paraId="5AB27718" w14:textId="77777777" w:rsidR="006D7F96" w:rsidRPr="00080ED3" w:rsidRDefault="006D7F96" w:rsidP="00420B23">
            <w:pPr>
              <w:jc w:val="right"/>
            </w:pPr>
            <w:r>
              <w:t>(0%)</w:t>
            </w:r>
          </w:p>
        </w:tc>
      </w:tr>
      <w:tr w:rsidR="006D7F96" w14:paraId="7F5F3CF2" w14:textId="77777777" w:rsidTr="00420B23">
        <w:trPr>
          <w:trHeight w:val="125"/>
        </w:trPr>
        <w:tc>
          <w:tcPr>
            <w:tcW w:w="1522" w:type="dxa"/>
            <w:tcBorders>
              <w:bottom w:val="single" w:sz="4" w:space="0" w:color="auto"/>
            </w:tcBorders>
          </w:tcPr>
          <w:p w14:paraId="2488DB86" w14:textId="77777777" w:rsidR="006D7F96" w:rsidRPr="008F1074" w:rsidRDefault="006D7F96" w:rsidP="00420B23">
            <w:r>
              <w:t>Donated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15A768D" w14:textId="77777777" w:rsidR="006D7F96" w:rsidRDefault="006D7F96" w:rsidP="00420B23">
            <w:pPr>
              <w:jc w:val="right"/>
            </w:pPr>
            <w:r>
              <w:t>12,249</w:t>
            </w:r>
          </w:p>
          <w:p w14:paraId="7682D503" w14:textId="77777777" w:rsidR="006D7F96" w:rsidRPr="00080ED3" w:rsidRDefault="006D7F96" w:rsidP="00420B23">
            <w:pPr>
              <w:jc w:val="right"/>
            </w:pPr>
            <w:r>
              <w:t>(2.7%)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1432D379" w14:textId="77777777" w:rsidR="006D7F96" w:rsidRDefault="006D7F96" w:rsidP="00420B23">
            <w:pPr>
              <w:jc w:val="right"/>
            </w:pPr>
            <w:r>
              <w:t>11,952</w:t>
            </w:r>
          </w:p>
          <w:p w14:paraId="7CE77456" w14:textId="77777777" w:rsidR="006D7F96" w:rsidRPr="00080ED3" w:rsidRDefault="006D7F96" w:rsidP="00420B23">
            <w:pPr>
              <w:jc w:val="right"/>
            </w:pPr>
            <w:r>
              <w:t>(97.6%)</w:t>
            </w:r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56670DF6" w14:textId="77777777" w:rsidR="006D7F96" w:rsidRDefault="006D7F96" w:rsidP="00420B23">
            <w:pPr>
              <w:jc w:val="right"/>
            </w:pPr>
            <w:r>
              <w:t>292</w:t>
            </w:r>
          </w:p>
          <w:p w14:paraId="4A8F86FC" w14:textId="77777777" w:rsidR="006D7F96" w:rsidRPr="00080ED3" w:rsidRDefault="006D7F96" w:rsidP="00420B23">
            <w:pPr>
              <w:jc w:val="right"/>
            </w:pPr>
            <w:r>
              <w:t>(2.4%)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7F3A4B9B" w14:textId="77777777" w:rsidR="006D7F96" w:rsidRDefault="006D7F96" w:rsidP="00420B23">
            <w:pPr>
              <w:jc w:val="right"/>
            </w:pPr>
            <w:r>
              <w:t>5</w:t>
            </w:r>
          </w:p>
          <w:p w14:paraId="7A73863F" w14:textId="77777777" w:rsidR="006D7F96" w:rsidRPr="00080ED3" w:rsidRDefault="006D7F96" w:rsidP="00420B23">
            <w:pPr>
              <w:jc w:val="right"/>
            </w:pPr>
            <w:r>
              <w:t>(0.04%)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CF2125A" w14:textId="77777777" w:rsidR="006D7F96" w:rsidRDefault="006D7F96" w:rsidP="00420B23">
            <w:pPr>
              <w:jc w:val="right"/>
            </w:pPr>
            <w:r>
              <w:t>0</w:t>
            </w:r>
          </w:p>
          <w:p w14:paraId="2DB6DD17" w14:textId="77777777" w:rsidR="006D7F96" w:rsidRPr="00080ED3" w:rsidRDefault="006D7F96" w:rsidP="00420B23">
            <w:pPr>
              <w:jc w:val="right"/>
            </w:pPr>
            <w:r>
              <w:t>(0%)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5B4C7F64" w14:textId="77777777" w:rsidR="006D7F96" w:rsidRDefault="006D7F96" w:rsidP="00420B23">
            <w:pPr>
              <w:jc w:val="right"/>
            </w:pPr>
            <w:r>
              <w:t>0</w:t>
            </w:r>
          </w:p>
          <w:p w14:paraId="20BFF679" w14:textId="77777777" w:rsidR="006D7F96" w:rsidRPr="00080ED3" w:rsidRDefault="006D7F96" w:rsidP="00420B23">
            <w:pPr>
              <w:jc w:val="right"/>
            </w:pPr>
            <w:r>
              <w:t>(0%)</w:t>
            </w:r>
          </w:p>
        </w:tc>
      </w:tr>
    </w:tbl>
    <w:p w14:paraId="077BDD95" w14:textId="35F04464" w:rsidR="00E974B7" w:rsidRDefault="00E974B7"/>
    <w:p w14:paraId="5D7C910F" w14:textId="0ED5D966" w:rsidR="00E974B7" w:rsidRDefault="00E974B7"/>
    <w:p w14:paraId="3D01D594" w14:textId="77777777" w:rsidR="00E974B7" w:rsidRDefault="00E974B7"/>
    <w:sectPr w:rsidR="00E9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NDK2MDU0NrQ0NTVR0lEKTi0uzszPAykwqQUAl2gK1ywAAAA="/>
  </w:docVars>
  <w:rsids>
    <w:rsidRoot w:val="00F84352"/>
    <w:rsid w:val="00080ED3"/>
    <w:rsid w:val="000A65EC"/>
    <w:rsid w:val="006D7F96"/>
    <w:rsid w:val="008F1074"/>
    <w:rsid w:val="009457F2"/>
    <w:rsid w:val="00B563CF"/>
    <w:rsid w:val="00D9687A"/>
    <w:rsid w:val="00E2691E"/>
    <w:rsid w:val="00E974B7"/>
    <w:rsid w:val="00EA125D"/>
    <w:rsid w:val="00F8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31E"/>
  <w15:chartTrackingRefBased/>
  <w15:docId w15:val="{D424E3A0-EAF0-4E35-8023-3FAE8817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A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687A"/>
    <w:pPr>
      <w:spacing w:after="120"/>
      <w:ind w:left="360" w:hanging="360"/>
      <w:jc w:val="left"/>
      <w:outlineLvl w:val="0"/>
    </w:pPr>
    <w:rPr>
      <w:rFonts w:ascii="Calibri" w:eastAsiaTheme="majorEastAsia" w:hAnsi="Calibri" w:cstheme="majorBidi"/>
      <w:b/>
      <w:color w:val="13294B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9687A"/>
    <w:pPr>
      <w:keepNext/>
      <w:spacing w:before="240" w:after="60"/>
      <w:outlineLvl w:val="1"/>
    </w:pPr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9687A"/>
    <w:pPr>
      <w:spacing w:after="0"/>
      <w:outlineLvl w:val="2"/>
    </w:pPr>
    <w:rPr>
      <w:i/>
      <w:i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87A"/>
    <w:pPr>
      <w:outlineLvl w:val="3"/>
    </w:pPr>
    <w:rPr>
      <w:b/>
      <w:bCs/>
      <w:i/>
      <w:iCs/>
      <w:color w:val="E84A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7A"/>
    <w:rPr>
      <w:rFonts w:ascii="Calibri" w:eastAsiaTheme="majorEastAsia" w:hAnsi="Calibri" w:cstheme="majorBidi"/>
      <w:b/>
      <w:color w:val="13294B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687A"/>
    <w:rPr>
      <w:rFonts w:ascii="Calibri" w:eastAsiaTheme="majorEastAsia" w:hAnsi="Calibri" w:cstheme="majorBidi"/>
      <w:b/>
      <w:i/>
      <w:iCs/>
      <w:color w:val="13294B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687A"/>
    <w:rPr>
      <w:b/>
      <w:bCs/>
      <w:i/>
      <w:iCs/>
      <w:color w:val="E84A27"/>
    </w:rPr>
  </w:style>
  <w:style w:type="paragraph" w:styleId="Header">
    <w:name w:val="header"/>
    <w:basedOn w:val="Normal"/>
    <w:link w:val="Head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687A"/>
  </w:style>
  <w:style w:type="paragraph" w:styleId="Footer">
    <w:name w:val="footer"/>
    <w:basedOn w:val="Normal"/>
    <w:link w:val="Foot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687A"/>
  </w:style>
  <w:style w:type="paragraph" w:styleId="Title">
    <w:name w:val="Title"/>
    <w:basedOn w:val="Normal"/>
    <w:next w:val="Normal"/>
    <w:link w:val="TitleChar"/>
    <w:uiPriority w:val="10"/>
    <w:qFormat/>
    <w:rsid w:val="00D9687A"/>
    <w:pPr>
      <w:spacing w:after="0"/>
      <w:contextualSpacing/>
      <w:jc w:val="center"/>
    </w:pPr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7A"/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7A"/>
    <w:pPr>
      <w:numPr>
        <w:ilvl w:val="1"/>
      </w:numPr>
      <w:spacing w:before="120" w:after="120"/>
      <w:jc w:val="center"/>
    </w:pPr>
    <w:rPr>
      <w:rFonts w:ascii="Calibri" w:eastAsiaTheme="minorEastAsia" w:hAnsi="Calibri"/>
      <w:b/>
      <w:color w:val="E84A27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687A"/>
    <w:rPr>
      <w:rFonts w:ascii="Calibri" w:eastAsiaTheme="minorEastAsia" w:hAnsi="Calibri"/>
      <w:b/>
      <w:color w:val="E84A27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D968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9687A"/>
    <w:rPr>
      <w:b/>
      <w:bCs/>
    </w:rPr>
  </w:style>
  <w:style w:type="paragraph" w:styleId="NormalWeb">
    <w:name w:val="Normal (Web)"/>
    <w:basedOn w:val="Normal"/>
    <w:uiPriority w:val="99"/>
    <w:unhideWhenUsed/>
    <w:rsid w:val="00D968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87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9687A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D9687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9687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9687A"/>
    <w:rPr>
      <w:smallCaps/>
      <w:color w:val="5A5A5A" w:themeColor="text1" w:themeTint="A5"/>
    </w:rPr>
  </w:style>
  <w:style w:type="table" w:styleId="GridTable2-Accent2">
    <w:name w:val="Grid Table 2 Accent 2"/>
    <w:basedOn w:val="TableNormal"/>
    <w:uiPriority w:val="47"/>
    <w:rsid w:val="00D9687A"/>
    <w:pPr>
      <w:spacing w:after="0" w:line="240" w:lineRule="auto"/>
    </w:pPr>
    <w:tblPr>
      <w:tblStyleRowBandSize w:val="1"/>
      <w:tblStyleColBandSize w:val="1"/>
      <w:tblBorders>
        <w:top w:val="single" w:sz="4" w:space="0" w:color="E84A27"/>
        <w:bottom w:val="single" w:sz="4" w:space="0" w:color="E84A27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4" w:space="0" w:color="E84A27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E84A27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687A"/>
    <w:rPr>
      <w:color w:val="605E5C"/>
      <w:shd w:val="clear" w:color="auto" w:fill="E1DFDD"/>
    </w:rPr>
  </w:style>
  <w:style w:type="paragraph" w:customStyle="1" w:styleId="Style1">
    <w:name w:val="Style1"/>
    <w:basedOn w:val="Heading2"/>
    <w:link w:val="Style1Char"/>
    <w:qFormat/>
    <w:rsid w:val="00D9687A"/>
  </w:style>
  <w:style w:type="character" w:customStyle="1" w:styleId="Style1Char">
    <w:name w:val="Style1 Char"/>
    <w:basedOn w:val="Heading2Char"/>
    <w:link w:val="Style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table" w:styleId="TableGrid">
    <w:name w:val="Table Grid"/>
    <w:basedOn w:val="TableNormal"/>
    <w:uiPriority w:val="39"/>
    <w:rsid w:val="00F8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Polanco, Gustavo Abel</dc:creator>
  <cp:keywords/>
  <dc:description/>
  <cp:lastModifiedBy>Reyes Polanco, Gustavo Abel</cp:lastModifiedBy>
  <cp:revision>6</cp:revision>
  <dcterms:created xsi:type="dcterms:W3CDTF">2023-04-05T23:53:00Z</dcterms:created>
  <dcterms:modified xsi:type="dcterms:W3CDTF">2023-08-09T21:05:00Z</dcterms:modified>
</cp:coreProperties>
</file>