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36"/>
          <w:szCs w:val="36"/>
        </w:rPr>
        <w:t xml:space="preserve">AI Audio Detection: A Three-Branch Attention-Fusion System for Voice, Music, and Environmental Sound</w:t>
      </w:r>
    </w:p>
    <w:p>
      <w:pPr>
        <w:spacing w:after="60"/>
        <w:jc w:val="center"/>
      </w:pPr>
      <w:r>
        <w:rPr>
          <w:rFonts w:ascii="Arial" w:cs="Arial" w:eastAsia="Arial" w:hAnsi="Arial"/>
          <w:i/>
          <w:iCs/>
          <w:sz w:val="24"/>
          <w:szCs w:val="24"/>
        </w:rPr>
        <w:t xml:space="preserve">CECS 458 Final Report</w:t>
      </w:r>
    </w:p>
    <w:p>
      <w:pPr>
        <w:spacing w:after="60"/>
        <w:jc w:val="center"/>
      </w:pPr>
      <w:r>
        <w:rPr>
          <w:rFonts w:ascii="Arial" w:cs="Arial" w:eastAsia="Arial" w:hAnsi="Arial"/>
          <w:sz w:val="22"/>
          <w:szCs w:val="22"/>
        </w:rPr>
        <w:t xml:space="preserve">Team 1: Fozhan Babaeiyan Ghamsari, Anh Le, Sofia Tejada Sarria, Camille Wong</w:t>
      </w:r>
    </w:p>
    <w:p>
      <w:pPr>
        <w:spacing w:after="360"/>
        <w:jc w:val="center"/>
      </w:pPr>
      <w:r>
        <w:rPr>
          <w:rFonts w:ascii="Arial" w:cs="Arial" w:eastAsia="Arial" w:hAnsi="Arial"/>
          <w:sz w:val="22"/>
          <w:szCs w:val="22"/>
        </w:rPr>
        <w:t xml:space="preserve">May 8, 2026</w:t>
      </w:r>
    </w:p>
    <w:p>
      <w:pPr>
        <w:pStyle w:val="Heading1"/>
        <w:spacing w:after="180" w:before="360"/>
      </w:pPr>
      <w:r>
        <w:rPr>
          <w:rFonts w:ascii="Arial" w:cs="Arial" w:eastAsia="Arial" w:hAnsi="Arial"/>
          <w:b/>
          <w:bCs/>
          <w:sz w:val="32"/>
          <w:szCs w:val="32"/>
        </w:rPr>
        <w:t xml:space="preserve">1. Introduction</w:t>
      </w:r>
    </w:p>
    <w:p>
      <w:pPr>
        <w:spacing w:after="120" w:line="320"/>
      </w:pPr>
      <w:r>
        <w:rPr>
          <w:rFonts w:ascii="Arial" w:cs="Arial" w:eastAsia="Arial" w:hAnsi="Arial"/>
          <w:b w:val="false"/>
          <w:bCs w:val="false"/>
          <w:i w:val="false"/>
          <w:iCs w:val="false"/>
          <w:sz w:val="22"/>
          <w:szCs w:val="22"/>
        </w:rPr>
        <w:t xml:space="preserve">Artificial intelligence can now generate speech and music that is indistinguishable from real human recordings. A person receiving a phone call, watching a social media video, or listening to a song has no reliable way of knowing whether what they hear was produced by a human or synthesized by a machine. Text-to-speech systems and voice-cloning tools can replicate a specific person's voice from only a few seconds of sample audio. AI music generators produce full songs in seconds. The robotic qualities that once made AI-generated audio easy to identify have largely disappeared.</w:t>
      </w:r>
    </w:p>
    <w:p>
      <w:pPr>
        <w:spacing w:after="120" w:line="320"/>
      </w:pPr>
      <w:r>
        <w:rPr>
          <w:rFonts w:ascii="Arial" w:cs="Arial" w:eastAsia="Arial" w:hAnsi="Arial"/>
          <w:b w:val="false"/>
          <w:bCs w:val="false"/>
          <w:i w:val="false"/>
          <w:iCs w:val="false"/>
          <w:sz w:val="22"/>
          <w:szCs w:val="22"/>
        </w:rPr>
        <w:t xml:space="preserve">The consequences are serious. Fraudsters use cloned voices to impersonate bank customers and authorize transfers. Fabricated audio recordings are submitted as evidence in legal disputes. Artists find AI-generated songs mimicking their vocal style uploaded to streaming platforms without consent. The U.S. Federal Trade Commission reported 12.5 billion dollars in total fraud losses in 2024, with imposter scams accounting for nearly 3 billion dollars. Tools available to automatically detect synthetic audio remain limited in scope, and in some cases are built by companies that also profit from making AI audio more convincing.</w:t>
      </w:r>
    </w:p>
    <w:p>
      <w:pPr>
        <w:spacing w:after="120" w:line="320"/>
      </w:pPr>
      <w:r>
        <w:rPr>
          <w:rFonts w:ascii="Arial" w:cs="Arial" w:eastAsia="Arial" w:hAnsi="Arial"/>
          <w:b w:val="false"/>
          <w:bCs w:val="false"/>
          <w:i w:val="false"/>
          <w:iCs w:val="false"/>
          <w:sz w:val="22"/>
          <w:szCs w:val="22"/>
        </w:rPr>
        <w:t xml:space="preserve">This project addresses that gap. The team designed, trained, and deployed an automatic detection system that classifies audio as human-produced or AI-generated across three domains: speech, music, and environmental sounds. The system uses a three-branch deep learning architecture that fuses complementary acoustic signals through attention. A Chrome browser extension serves as the user interface, streaming audio from any active browser tab to a live inference backend. A user can install it, click once, and use it immediately with no technical setup.</w:t>
      </w:r>
    </w:p>
    <w:p>
      <w:pPr>
        <w:pStyle w:val="Heading1"/>
        <w:spacing w:after="180" w:before="360"/>
      </w:pPr>
      <w:r>
        <w:rPr>
          <w:rFonts w:ascii="Arial" w:cs="Arial" w:eastAsia="Arial" w:hAnsi="Arial"/>
          <w:b/>
          <w:bCs/>
          <w:sz w:val="32"/>
          <w:szCs w:val="32"/>
        </w:rPr>
        <w:t xml:space="preserve">2. Problem Definition</w:t>
      </w:r>
    </w:p>
    <w:p>
      <w:pPr>
        <w:pStyle w:val="Heading2"/>
        <w:spacing w:after="120" w:before="240"/>
      </w:pPr>
      <w:r>
        <w:rPr>
          <w:rFonts w:ascii="Arial" w:cs="Arial" w:eastAsia="Arial" w:hAnsi="Arial"/>
          <w:b/>
          <w:bCs/>
          <w:sz w:val="26"/>
          <w:szCs w:val="26"/>
        </w:rPr>
        <w:t xml:space="preserve">2.1 Why Detection Is Difficult</w:t>
      </w:r>
    </w:p>
    <w:p>
      <w:pPr>
        <w:spacing w:after="120" w:line="320"/>
      </w:pPr>
      <w:r>
        <w:rPr>
          <w:rFonts w:ascii="Arial" w:cs="Arial" w:eastAsia="Arial" w:hAnsi="Arial"/>
          <w:b w:val="false"/>
          <w:bCs w:val="false"/>
          <w:i w:val="false"/>
          <w:iCs w:val="false"/>
          <w:sz w:val="22"/>
          <w:szCs w:val="22"/>
        </w:rPr>
        <w:t xml:space="preserve">Modern AI audio systems learn the statistical patterns of real human recordings. Because they train on massive amounts of authentic audio, they replicate many surface qualities convincingly. The synthesis process leaves behind subtle, systematic traces: unnatural transitions between frequency components, inconsistencies in long-range pitch and rhythm, and compression-related patterns that differ from how real audio degrades. These artifacts are too faint for a human listener to catch reliably, but they are learnable by a model trained on enough real and synthetic examples.</w:t>
      </w:r>
    </w:p>
    <w:p>
      <w:pPr>
        <w:pStyle w:val="Heading2"/>
        <w:spacing w:after="120" w:before="240"/>
      </w:pPr>
      <w:r>
        <w:rPr>
          <w:rFonts w:ascii="Arial" w:cs="Arial" w:eastAsia="Arial" w:hAnsi="Arial"/>
          <w:b/>
          <w:bCs/>
          <w:sz w:val="26"/>
          <w:szCs w:val="26"/>
        </w:rPr>
        <w:t xml:space="preserve">2.2 Gaps in Existing Solutions</w:t>
      </w:r>
    </w:p>
    <w:p>
      <w:pPr>
        <w:spacing w:after="120" w:line="320"/>
      </w:pPr>
      <w:r>
        <w:rPr>
          <w:rFonts w:ascii="Arial" w:cs="Arial" w:eastAsia="Arial" w:hAnsi="Arial"/>
          <w:b w:val="false"/>
          <w:bCs w:val="false"/>
          <w:i w:val="false"/>
          <w:iCs w:val="false"/>
          <w:sz w:val="22"/>
          <w:szCs w:val="22"/>
        </w:rPr>
        <w:t xml:space="preserve">Resemble AI offers a deepfake detection API, but the company also sells voice-generation tools, creating a conflict of interest in how their model was trained. Their product does not address music or environmental sound. Aurigin AI focuses exclusively on human speech and requires three to ten seconds of audio, making it unsuitable for real-time use. No existing publicly available system unifies detection across speech, music, and non-human audio in a single model, and no browser-native tool can flag synthetic audio while a user is actively listening.</w:t>
      </w:r>
    </w:p>
    <w:p>
      <w:pPr>
        <w:pStyle w:val="Heading2"/>
        <w:spacing w:after="120" w:before="240"/>
      </w:pPr>
      <w:r>
        <w:rPr>
          <w:rFonts w:ascii="Arial" w:cs="Arial" w:eastAsia="Arial" w:hAnsi="Arial"/>
          <w:b/>
          <w:bCs/>
          <w:sz w:val="26"/>
          <w:szCs w:val="26"/>
        </w:rPr>
        <w:t xml:space="preserve">2.3 Who Gets Hurt</w:t>
      </w:r>
    </w:p>
    <w:p>
      <w:pPr>
        <w:spacing w:after="120" w:line="320"/>
      </w:pPr>
      <w:r>
        <w:rPr>
          <w:rFonts w:ascii="Arial" w:cs="Arial" w:eastAsia="Arial" w:hAnsi="Arial"/>
          <w:b w:val="false"/>
          <w:bCs w:val="false"/>
          <w:i w:val="false"/>
          <w:iCs w:val="false"/>
          <w:sz w:val="22"/>
          <w:szCs w:val="22"/>
        </w:rPr>
        <w:t xml:space="preserve">Call centers and financial institutions cannot reliably verify whether a caller's voice is real, leaving them exposed to account takeover and unauthorized transfers. Courts and law enforcement face growing pressure to verify audio evidence, since fabricated recordings can be produced with high fidelity. Music rights holders face revenue losses when AI systems generate near-identical vocal performances without licensing.</w:t>
      </w:r>
    </w:p>
    <w:p>
      <w:pPr>
        <w:pStyle w:val="Heading1"/>
        <w:spacing w:after="180" w:before="360"/>
      </w:pPr>
      <w:r>
        <w:rPr>
          <w:rFonts w:ascii="Arial" w:cs="Arial" w:eastAsia="Arial" w:hAnsi="Arial"/>
          <w:b/>
          <w:bCs/>
          <w:sz w:val="32"/>
          <w:szCs w:val="32"/>
        </w:rPr>
        <w:t xml:space="preserve">3. Related Work</w:t>
      </w:r>
    </w:p>
    <w:p>
      <w:pPr>
        <w:spacing w:after="120" w:line="320"/>
      </w:pPr>
      <w:r>
        <w:rPr>
          <w:rFonts w:ascii="Arial" w:cs="Arial" w:eastAsia="Arial" w:hAnsi="Arial"/>
          <w:b w:val="false"/>
          <w:bCs w:val="false"/>
          <w:i w:val="false"/>
          <w:iCs w:val="false"/>
          <w:sz w:val="22"/>
          <w:szCs w:val="22"/>
        </w:rPr>
        <w:t xml:space="preserve">Prior work on AI audio detection has concentrated almost entirely on synthetic speech. The closest published system to ours is the Attentional Multi-Feature Fusion (AMFF) framework, which fuses two self-supervised models (HuBERT and WavLM) with a NeXt-TDNN backbone using attention, achieving 0.42 percent EER on ASVspoof 2019 LA. HuRawNet2 combines HuBERT with a RawNet2 backbone, corresponding closely to the Branch 2 and Branch 3 combination used in this project. A ResNeXt architecture fusing LFCC, MFCC, and CQCC spectral features achieved 1.05 percent EER on the same benchmark, supporting the spectral branch design.</w:t>
      </w:r>
    </w:p>
    <w:p>
      <w:pPr>
        <w:spacing w:after="120" w:line="320"/>
      </w:pPr>
      <w:r>
        <w:rPr>
          <w:rFonts w:ascii="Arial" w:cs="Arial" w:eastAsia="Arial" w:hAnsi="Arial"/>
          <w:b w:val="false"/>
          <w:bCs w:val="false"/>
          <w:i w:val="false"/>
          <w:iCs w:val="false"/>
          <w:sz w:val="22"/>
          <w:szCs w:val="22"/>
        </w:rPr>
        <w:t xml:space="preserve">On the raw waveform side, the original RawNet2 paper established end-to-end waveform-level spoofing detection and serves as the architectural basis for the third branch. RawNetLite extends RawNet2 with codec-based augmentation during training and demonstrates that waveform-level augmentations significantly improve robustness, directly supporting the codec augmentation strategy used in this project. Recent attention-fusion work has explored pairwise-gated transformer fusion across self-supervised backbones, but with two models at a time rather than three.</w:t>
      </w:r>
    </w:p>
    <w:p>
      <w:pPr>
        <w:spacing w:after="120" w:line="320"/>
      </w:pPr>
      <w:r>
        <w:rPr>
          <w:rFonts w:ascii="Arial" w:cs="Arial" w:eastAsia="Arial" w:hAnsi="Arial"/>
          <w:b w:val="false"/>
          <w:bCs w:val="false"/>
          <w:i w:val="false"/>
          <w:iCs w:val="false"/>
          <w:sz w:val="22"/>
          <w:szCs w:val="22"/>
        </w:rPr>
        <w:t xml:space="preserve">Music deepfake detection has emerged only recently. SONICS introduces a 97,000-song dataset with renderings from Suno and Udio and proposes a specialized transformer architecture optimized for long-context song detection. The MIREX 2025 Song Deepfake Detection Challenge formalizes the task at community scale. Detection of AI-generated environmental sounds remains substantially less explored despite the rapid maturity of generators such as AudioGen and AudioLDM2.</w:t>
      </w:r>
    </w:p>
    <w:p>
      <w:pPr>
        <w:spacing w:after="120" w:line="320"/>
      </w:pPr>
      <w:r>
        <w:rPr>
          <w:rFonts w:ascii="Arial" w:cs="Arial" w:eastAsia="Arial" w:hAnsi="Arial"/>
          <w:b w:val="false"/>
          <w:bCs w:val="false"/>
          <w:i w:val="false"/>
          <w:iCs w:val="false"/>
          <w:sz w:val="22"/>
          <w:szCs w:val="22"/>
        </w:rPr>
        <w:t xml:space="preserve">This project differs from prior work in two concrete ways. First, it unifies detection across speech, music, and environmental sounds in a single model, whereas all prior published systems target one domain at a time. Second, it demonstrates browser-native real-time deployment through a Chrome extension, which no prior academic system addresses.</w:t>
      </w:r>
    </w:p>
    <w:p>
      <w:pPr>
        <w:pStyle w:val="Heading1"/>
        <w:spacing w:after="180" w:before="360"/>
      </w:pPr>
      <w:r>
        <w:rPr>
          <w:rFonts w:ascii="Arial" w:cs="Arial" w:eastAsia="Arial" w:hAnsi="Arial"/>
          <w:b/>
          <w:bCs/>
          <w:sz w:val="32"/>
          <w:szCs w:val="32"/>
        </w:rPr>
        <w:t xml:space="preserve">4. Business Case</w:t>
      </w:r>
    </w:p>
    <w:p>
      <w:pPr>
        <w:pStyle w:val="Heading2"/>
        <w:spacing w:after="120" w:before="240"/>
      </w:pPr>
      <w:r>
        <w:rPr>
          <w:rFonts w:ascii="Arial" w:cs="Arial" w:eastAsia="Arial" w:hAnsi="Arial"/>
          <w:b/>
          <w:bCs/>
          <w:sz w:val="26"/>
          <w:szCs w:val="26"/>
        </w:rPr>
        <w:t xml:space="preserve">4.1 Market Urgency</w:t>
      </w:r>
    </w:p>
    <w:p>
      <w:pPr>
        <w:spacing w:after="120" w:line="320"/>
      </w:pPr>
      <w:r>
        <w:rPr>
          <w:rFonts w:ascii="Arial" w:cs="Arial" w:eastAsia="Arial" w:hAnsi="Arial"/>
          <w:b w:val="false"/>
          <w:bCs w:val="false"/>
          <w:i w:val="false"/>
          <w:iCs w:val="false"/>
          <w:sz w:val="22"/>
          <w:szCs w:val="22"/>
        </w:rPr>
        <w:t xml:space="preserve">AI-enabled voice fraud is large and growing. The FTC's 2024 report recorded 12.5 billion dollars in total fraud losses, with imposter scams representing nearly 3 billion dollars. The FCC classified AI-generated robocalls as an enforcement priority in February 2024, signaling that regulatory pressure on organizations that fail to verify voice authenticity is increasing. The music industry has no standard mechanism to detect AI-generated content at scale, and platforms have begun removing such content reactively.</w:t>
      </w:r>
    </w:p>
    <w:p>
      <w:pPr>
        <w:pStyle w:val="Heading2"/>
        <w:spacing w:after="120" w:before="240"/>
      </w:pPr>
      <w:r>
        <w:rPr>
          <w:rFonts w:ascii="Arial" w:cs="Arial" w:eastAsia="Arial" w:hAnsi="Arial"/>
          <w:b/>
          <w:bCs/>
          <w:sz w:val="26"/>
          <w:szCs w:val="26"/>
        </w:rPr>
        <w:t xml:space="preserve">4.2 Target Customers and Revenue Model</w:t>
      </w:r>
    </w:p>
    <w:p>
      <w:pPr>
        <w:spacing w:after="120" w:line="320"/>
      </w:pPr>
      <w:r>
        <w:rPr>
          <w:rFonts w:ascii="Arial" w:cs="Arial" w:eastAsia="Arial" w:hAnsi="Arial"/>
          <w:b w:val="false"/>
          <w:bCs w:val="false"/>
          <w:i w:val="false"/>
          <w:iCs w:val="false"/>
          <w:sz w:val="22"/>
          <w:szCs w:val="22"/>
        </w:rPr>
        <w:t xml:space="preserve">Financial institutions and call centers are the highest-urgency market because real-time audio detection can flag synthetic voices before fraudulent transactions are authorized. Secondary markets include digital forensics and legal services, where scored probabilities give analysts quantifiable evidence, and music platforms, where an API could flag likely AI-generated tracks before distribution. The most natural commercial model is a business-to-business API subscription with a limited free evaluation tier, a standard tier for moderate usage, and an enterprise tier with custom fine-tuning. This fits the existing architecture: the FastAPI backend already accepts audio over WebSocket, returns scored results within seconds, is containerized, and can scale horizontally through Kubernetes.</w:t>
      </w:r>
    </w:p>
    <w:p>
      <w:pPr>
        <w:pStyle w:val="Heading2"/>
        <w:spacing w:after="120" w:before="240"/>
      </w:pPr>
      <w:r>
        <w:rPr>
          <w:rFonts w:ascii="Arial" w:cs="Arial" w:eastAsia="Arial" w:hAnsi="Arial"/>
          <w:b/>
          <w:bCs/>
          <w:sz w:val="26"/>
          <w:szCs w:val="26"/>
        </w:rPr>
        <w:t xml:space="preserve">4.3 Competitive Differentiation</w:t>
      </w:r>
    </w:p>
    <w:p>
      <w:pPr>
        <w:spacing w:after="120" w:line="320"/>
      </w:pPr>
      <w:r>
        <w:rPr>
          <w:rFonts w:ascii="Arial" w:cs="Arial" w:eastAsia="Arial" w:hAnsi="Arial"/>
          <w:b w:val="false"/>
          <w:bCs w:val="false"/>
          <w:i w:val="false"/>
          <w:iCs w:val="false"/>
          <w:sz w:val="22"/>
          <w:szCs w:val="22"/>
        </w:rPr>
        <w:t xml:space="preserve">Three factors set this system apart. It covers speech, music, and environmental sound in a single model, while every known commercial product addresses speech only. It trains with on-the-fly codec simulation (MP3, AAC, Opus, and VoIP), maintaining accuracy on the compressed audio that real-world deployments encounter. The Chrome extension provides immediate access with no API integration required.</w:t>
      </w:r>
    </w:p>
    <w:p>
      <w:pPr>
        <w:pStyle w:val="Heading1"/>
        <w:spacing w:after="180" w:before="360"/>
      </w:pPr>
      <w:r>
        <w:rPr>
          <w:rFonts w:ascii="Arial" w:cs="Arial" w:eastAsia="Arial" w:hAnsi="Arial"/>
          <w:b/>
          <w:bCs/>
          <w:sz w:val="32"/>
          <w:szCs w:val="32"/>
        </w:rPr>
        <w:t xml:space="preserve">5. Dataset and Data Pipeline</w:t>
      </w:r>
    </w:p>
    <w:p>
      <w:pPr>
        <w:pStyle w:val="Heading2"/>
        <w:spacing w:after="120" w:before="240"/>
      </w:pPr>
      <w:r>
        <w:rPr>
          <w:rFonts w:ascii="Arial" w:cs="Arial" w:eastAsia="Arial" w:hAnsi="Arial"/>
          <w:b/>
          <w:bCs/>
          <w:sz w:val="26"/>
          <w:szCs w:val="26"/>
        </w:rPr>
        <w:t xml:space="preserve">5.1 Corpus Overview</w:t>
      </w:r>
    </w:p>
    <w:p>
      <w:pPr>
        <w:spacing w:after="120" w:line="320"/>
      </w:pPr>
      <w:r>
        <w:rPr>
          <w:rFonts w:ascii="Arial" w:cs="Arial" w:eastAsia="Arial" w:hAnsi="Arial"/>
          <w:b w:val="false"/>
          <w:bCs w:val="false"/>
          <w:i w:val="false"/>
          <w:iCs w:val="false"/>
          <w:sz w:val="22"/>
          <w:szCs w:val="22"/>
        </w:rPr>
        <w:t xml:space="preserve">The dataset combines eleven source datasets across three audio domains into approximately 297,000 four-second segments. Voice content draws on LJSpeech and ASVspoof 2019 LA bonafide utterances for the real class, and on ASVspoof 2019 LA spoofed utterances spanning nineteen text-to-speech and voice conversion attack types together with ASVspoof 2021 LA (which contributes both bonafide and spoofed samples) for the fake class. Music content draws on MusicCaps and FMA-small for real recordings, and on three commercial AI generators for the fake class: MusicGen, three Suno model versions, and two Udio duration variants. Environmental sound content draws on ESC-50 and FSD50K for real recordings, and on AudioGen and AudioLDM2 for synthesized recordings.</w:t>
      </w:r>
    </w:p>
    <w:p>
      <w:pPr>
        <w:spacing w:after="120" w:line="320"/>
      </w:pPr>
      <w:r>
        <w:rPr>
          <w:rFonts w:ascii="Arial" w:cs="Arial" w:eastAsia="Arial" w:hAnsi="Arial"/>
          <w:b w:val="false"/>
          <w:bCs w:val="false"/>
          <w:i w:val="false"/>
          <w:iCs w:val="false"/>
          <w:sz w:val="22"/>
          <w:szCs w:val="22"/>
        </w:rPr>
        <w:t xml:space="preserve">The final segment distribution is approximately 75,900 voice segments (32,800 real, 43,100 fake), 98,700 music segments (19,600 real, 79,000 fake), and 122,900 non-human segments (92,400 real, 30,500 fake), for a total of 297,480 segments split as approximately 144,900 real and 152,600 fake (roughly 49 percent real and 51 percent fake). The slight skew toward fake reflects the abundance of large-scale commercial generators (Suno, Udio, AudioLDM2) relative to the volume of balanced real-side counterparts.</w:t>
      </w:r>
    </w:p>
    <w:p>
      <w:pPr>
        <w:pStyle w:val="Heading2"/>
        <w:spacing w:after="120" w:before="240"/>
      </w:pPr>
      <w:r>
        <w:rPr>
          <w:rFonts w:ascii="Arial" w:cs="Arial" w:eastAsia="Arial" w:hAnsi="Arial"/>
          <w:b/>
          <w:bCs/>
          <w:sz w:val="26"/>
          <w:szCs w:val="26"/>
        </w:rPr>
        <w:t xml:space="preserve">5.2 Pipeline and Preprocessing</w:t>
      </w:r>
    </w:p>
    <w:p>
      <w:pPr>
        <w:spacing w:after="120" w:line="320"/>
      </w:pPr>
      <w:r>
        <w:rPr>
          <w:rFonts w:ascii="Arial" w:cs="Arial" w:eastAsia="Arial" w:hAnsi="Arial"/>
          <w:b w:val="false"/>
          <w:bCs w:val="false"/>
          <w:i w:val="false"/>
          <w:iCs w:val="false"/>
          <w:sz w:val="22"/>
          <w:szCs w:val="22"/>
        </w:rPr>
        <w:t xml:space="preserve">The pipeline uses a two-stage manifest system. Stage 1 runs </w:t>
      </w:r>
      <w:r>
        <w:rPr>
          <w:rFonts w:ascii="Consolas" w:cs="Consolas" w:eastAsia="Consolas" w:hAnsi="Consolas"/>
          <w:sz w:val="20"/>
          <w:szCs w:val="20"/>
        </w:rPr>
        <w:t xml:space="preserve">register_generated.py</w:t>
      </w:r>
      <w:r>
        <w:rPr>
          <w:rFonts w:ascii="Arial" w:cs="Arial" w:eastAsia="Arial" w:hAnsi="Arial"/>
          <w:b w:val="false"/>
          <w:bCs w:val="false"/>
          <w:i w:val="false"/>
          <w:iCs w:val="false"/>
          <w:sz w:val="22"/>
          <w:szCs w:val="22"/>
        </w:rPr>
        <w:t xml:space="preserve">, which appends one row per source audio file to a master CSV, recording the sample ID, file path, label, domain, source dataset, generator, and split assignment. Paths are stored relative to a configurable root so the manifest is portable across machines.</w:t>
      </w:r>
    </w:p>
    <w:p>
      <w:pPr>
        <w:spacing w:after="120" w:line="320"/>
      </w:pPr>
      <w:r>
        <w:rPr>
          <w:rFonts w:ascii="Arial" w:cs="Arial" w:eastAsia="Arial" w:hAnsi="Arial"/>
          <w:b w:val="false"/>
          <w:bCs w:val="false"/>
          <w:i w:val="false"/>
          <w:iCs w:val="false"/>
          <w:sz w:val="22"/>
          <w:szCs w:val="22"/>
        </w:rPr>
        <w:t xml:space="preserve">Stage 2 runs </w:t>
      </w:r>
      <w:r>
        <w:rPr>
          <w:rFonts w:ascii="Consolas" w:cs="Consolas" w:eastAsia="Consolas" w:hAnsi="Consolas"/>
          <w:sz w:val="20"/>
          <w:szCs w:val="20"/>
        </w:rPr>
        <w:t xml:space="preserve">preprocess_segments.py</w:t>
      </w:r>
      <w:r>
        <w:rPr>
          <w:rFonts w:ascii="Arial" w:cs="Arial" w:eastAsia="Arial" w:hAnsi="Arial"/>
          <w:b w:val="false"/>
          <w:bCs w:val="false"/>
          <w:i w:val="false"/>
          <w:iCs w:val="false"/>
          <w:sz w:val="22"/>
          <w:szCs w:val="22"/>
        </w:rPr>
        <w:t xml:space="preserve">, which loads each file, down-mixes to mono, resamples to the domain-specific target rate (16 kHz for voice, 44.1 kHz for music and non-human), and normalizes loudness to negative 23 LUFS using the EBU R128 standard. The audio is then cut into four-second windows with a two-second hop (50 percent overlap). Segments shorter than one second are discarded; partial final segments are zero-padded. A third script scans the output directory and assembles the segmented manifest consumed by the training dataset class.</w:t>
      </w:r>
    </w:p>
    <w:p>
      <w:pPr>
        <w:pStyle w:val="Heading2"/>
        <w:spacing w:after="120" w:before="240"/>
      </w:pPr>
      <w:r>
        <w:rPr>
          <w:rFonts w:ascii="Arial" w:cs="Arial" w:eastAsia="Arial" w:hAnsi="Arial"/>
          <w:b/>
          <w:bCs/>
          <w:sz w:val="26"/>
          <w:szCs w:val="26"/>
        </w:rPr>
        <w:t xml:space="preserve">5.3 Balancing, Splits, and Augmentation</w:t>
      </w:r>
    </w:p>
    <w:p>
      <w:pPr>
        <w:spacing w:after="120" w:line="320"/>
      </w:pPr>
      <w:r>
        <w:rPr>
          <w:rFonts w:ascii="Arial" w:cs="Arial" w:eastAsia="Arial" w:hAnsi="Arial"/>
          <w:b w:val="false"/>
          <w:bCs w:val="false"/>
          <w:i w:val="false"/>
          <w:iCs w:val="false"/>
          <w:sz w:val="22"/>
          <w:szCs w:val="22"/>
        </w:rPr>
        <w:t xml:space="preserve">To prevent any single attack type from dominating the corpus, ASVspoof 2019's 108,978 spoofed utterances are stratified-subsampled to approximately 1,260 clips per attack type, preserving coverage of all nineteen attack types. Because Suno and Udio clips are 120 to 240 seconds long, each clip is capped at eight segments to prevent longer files from dominating the corpus while preserving source diversity.</w:t>
      </w:r>
    </w:p>
    <w:p>
      <w:pPr>
        <w:spacing w:after="120" w:line="320"/>
      </w:pPr>
      <w:r>
        <w:rPr>
          <w:rFonts w:ascii="Arial" w:cs="Arial" w:eastAsia="Arial" w:hAnsi="Arial"/>
          <w:b w:val="false"/>
          <w:bCs w:val="false"/>
          <w:i w:val="false"/>
          <w:iCs w:val="false"/>
          <w:sz w:val="22"/>
          <w:szCs w:val="22"/>
        </w:rPr>
        <w:t xml:space="preserve">Train, validation, and test splits are assigned using the MD5 hash of each source-file ID modulo 100, producing a 70/15/15 split. The hash operates at the source-file level, so segments from the same recording never appear in different splits. A dedicated audit script verifies this property along with five additional invariants (label consistency per source, split-ratio drift, real-versus-fake balance per split, and per-domain class balance) before each training run.</w:t>
      </w:r>
    </w:p>
    <w:p>
      <w:pPr>
        <w:spacing w:after="120" w:line="320"/>
      </w:pPr>
      <w:r>
        <w:rPr>
          <w:rFonts w:ascii="Arial" w:cs="Arial" w:eastAsia="Arial" w:hAnsi="Arial"/>
          <w:b w:val="false"/>
          <w:bCs w:val="false"/>
          <w:i w:val="false"/>
          <w:iCs w:val="false"/>
          <w:sz w:val="22"/>
          <w:szCs w:val="22"/>
        </w:rPr>
        <w:t xml:space="preserve">During training, each segment has a 50 percent chance of codec augmentation through MP3, AAC, Opus, or simulated VoIP compression. This models the compressed audio conditions the detector will face during deployment, where most audio reaches the user through one of these encodings.</w:t>
      </w:r>
    </w:p>
    <w:p>
      <w:pPr>
        <w:pStyle w:val="Heading1"/>
        <w:spacing w:after="180" w:before="360"/>
      </w:pPr>
      <w:r>
        <w:rPr>
          <w:rFonts w:ascii="Arial" w:cs="Arial" w:eastAsia="Arial" w:hAnsi="Arial"/>
          <w:b/>
          <w:bCs/>
          <w:sz w:val="32"/>
          <w:szCs w:val="32"/>
        </w:rPr>
        <w:t xml:space="preserve">6. Model Architecture</w:t>
      </w:r>
    </w:p>
    <w:p>
      <w:pPr>
        <w:pStyle w:val="Heading2"/>
        <w:spacing w:after="120" w:before="240"/>
      </w:pPr>
      <w:r>
        <w:rPr>
          <w:rFonts w:ascii="Arial" w:cs="Arial" w:eastAsia="Arial" w:hAnsi="Arial"/>
          <w:b/>
          <w:bCs/>
          <w:sz w:val="26"/>
          <w:szCs w:val="26"/>
        </w:rPr>
        <w:t xml:space="preserve">6.1 Overview</w:t>
      </w:r>
    </w:p>
    <w:p>
      <w:pPr>
        <w:spacing w:after="120" w:line="320"/>
      </w:pPr>
      <w:r>
        <w:rPr>
          <w:rFonts w:ascii="Arial" w:cs="Arial" w:eastAsia="Arial" w:hAnsi="Arial"/>
          <w:b w:val="false"/>
          <w:bCs w:val="false"/>
          <w:i w:val="false"/>
          <w:iCs w:val="false"/>
          <w:sz w:val="22"/>
          <w:szCs w:val="22"/>
        </w:rPr>
        <w:t xml:space="preserve">The detector is a three-branch late-fusion neural network. It receives a mono 16 kHz four-second waveform as input and outputs a continuous P(AI) score between 0 and 1 plus three-way class logits over real, mixed, and AI. Each branch independently processes the waveform and produces a 128-dimensional embedding. The three embeddings are fused by a two-layer transformer encoder with four-head self-attention, and the fused representation feeds both output heads.</w:t>
      </w:r>
    </w:p>
    <w:p>
      <w:pPr>
        <w:pStyle w:val="Heading2"/>
        <w:spacing w:after="120" w:before="240"/>
      </w:pPr>
      <w:r>
        <w:rPr>
          <w:rFonts w:ascii="Arial" w:cs="Arial" w:eastAsia="Arial" w:hAnsi="Arial"/>
          <w:b/>
          <w:bCs/>
          <w:sz w:val="26"/>
          <w:szCs w:val="26"/>
        </w:rPr>
        <w:t xml:space="preserve">6.2 Three Branches</w:t>
      </w:r>
    </w:p>
    <w:p>
      <w:pPr>
        <w:spacing w:after="120" w:line="320"/>
      </w:pPr>
      <w:r>
        <w:rPr>
          <w:rFonts w:ascii="Arial" w:cs="Arial" w:eastAsia="Arial" w:hAnsi="Arial"/>
          <w:b w:val="false"/>
          <w:bCs w:val="false"/>
          <w:i w:val="false"/>
          <w:iCs w:val="false"/>
          <w:sz w:val="22"/>
          <w:szCs w:val="22"/>
        </w:rPr>
        <w:t xml:space="preserve">The model uses three complementary audio branches that each produce a 128-dimensional representation.</w:t>
      </w:r>
    </w:p>
    <w:p>
      <w:pPr>
        <w:spacing w:after="120" w:line="320"/>
      </w:pPr>
      <w:r>
        <w:rPr>
          <w:rFonts w:ascii="Arial" w:cs="Arial" w:eastAsia="Arial" w:hAnsi="Arial"/>
          <w:b/>
          <w:bCs/>
          <w:i w:val="false"/>
          <w:iCs w:val="false"/>
          <w:sz w:val="22"/>
          <w:szCs w:val="22"/>
        </w:rPr>
        <w:t xml:space="preserve">Branch 1: Spectral CNN. </w:t>
      </w:r>
      <w:r>
        <w:rPr>
          <w:rFonts w:ascii="Arial" w:cs="Arial" w:eastAsia="Arial" w:hAnsi="Arial"/>
          <w:b w:val="false"/>
          <w:bCs w:val="false"/>
          <w:i w:val="false"/>
          <w:iCs w:val="false"/>
          <w:sz w:val="22"/>
          <w:szCs w:val="22"/>
        </w:rPr>
        <w:t xml:space="preserve">The spectral branch converts the waveform into a Mel-spectrogram using a 2048-point FFT, 512-sample hop, and 128 Mel bins, then applies a power-to-decibel transformation clamped at 80 dB. The resulting spectrogram passes through a stem convolution at 32 channels and three residual stages with channel widths of 64, 128, and 256. Each stage contains two residual blocks. Adaptive average pooling and a linear projection at the end produce the 128-dimensional embedding. This branch captures vocoder residuals, formant discontinuities, and frequency-domain artifacts characteristic of neural audio synthesis.</w:t>
      </w:r>
    </w:p>
    <w:p>
      <w:pPr>
        <w:spacing w:after="120" w:line="320"/>
      </w:pPr>
      <w:r>
        <w:rPr>
          <w:rFonts w:ascii="Arial" w:cs="Arial" w:eastAsia="Arial" w:hAnsi="Arial"/>
          <w:b/>
          <w:bCs/>
          <w:i w:val="false"/>
          <w:iCs w:val="false"/>
          <w:sz w:val="22"/>
          <w:szCs w:val="22"/>
        </w:rPr>
        <w:t xml:space="preserve">Branch 2: Self-Supervised Speech Encoder. </w:t>
      </w:r>
      <w:r>
        <w:rPr>
          <w:rFonts w:ascii="Arial" w:cs="Arial" w:eastAsia="Arial" w:hAnsi="Arial"/>
          <w:b w:val="false"/>
          <w:bCs w:val="false"/>
          <w:i w:val="false"/>
          <w:iCs w:val="false"/>
          <w:sz w:val="22"/>
          <w:szCs w:val="22"/>
        </w:rPr>
        <w:t xml:space="preserve">The SSL branch uses WavLM </w:t>
      </w:r>
      <w:r>
        <w:rPr>
          <w:rFonts w:ascii="Consolas" w:cs="Consolas" w:eastAsia="Consolas" w:hAnsi="Consolas"/>
          <w:sz w:val="20"/>
          <w:szCs w:val="20"/>
        </w:rPr>
        <w:t xml:space="preserve">microsoft/wavlm-base-plus</w:t>
      </w:r>
      <w:r>
        <w:rPr>
          <w:rFonts w:ascii="Arial" w:cs="Arial" w:eastAsia="Arial" w:hAnsi="Arial"/>
          <w:b w:val="false"/>
          <w:bCs w:val="false"/>
          <w:i w:val="false"/>
          <w:iCs w:val="false"/>
          <w:sz w:val="22"/>
          <w:szCs w:val="22"/>
        </w:rPr>
        <w:t xml:space="preserve">, a transformer pretrained by Microsoft on 94,000 hours of real speech through self-supervised learning. The convolutional feature extractor is frozen, while the transformer encoder layers are fine-tuned at one-tenth the base learning rate. A set of thirteen learnable softmax-normalized scalar weights combines the outputs of all hidden layers into a single representation, which is mean-pooled over time and projected through a two-layer MLP with layer normalization, GELU activation, and dropout. This branch captures long-range prosodic and phonetic anomalies that single-frame features tend to miss.</w:t>
      </w:r>
    </w:p>
    <w:p>
      <w:pPr>
        <w:spacing w:after="120" w:line="320"/>
      </w:pPr>
      <w:r>
        <w:rPr>
          <w:rFonts w:ascii="Arial" w:cs="Arial" w:eastAsia="Arial" w:hAnsi="Arial"/>
          <w:b/>
          <w:bCs/>
          <w:i w:val="false"/>
          <w:iCs w:val="false"/>
          <w:sz w:val="22"/>
          <w:szCs w:val="22"/>
        </w:rPr>
        <w:t xml:space="preserve">Branch 3: Raw Waveform Encoder. </w:t>
      </w:r>
      <w:r>
        <w:rPr>
          <w:rFonts w:ascii="Arial" w:cs="Arial" w:eastAsia="Arial" w:hAnsi="Arial"/>
          <w:b w:val="false"/>
          <w:bCs w:val="false"/>
          <w:i w:val="false"/>
          <w:iCs w:val="false"/>
          <w:sz w:val="22"/>
          <w:szCs w:val="22"/>
        </w:rPr>
        <w:t xml:space="preserve">The raw waveform branch operates directly on the audio signal. It begins with a SincNet filter bank of 70 learnable bandpass filters with 251-sample kernels initialized at Mel-scale frequencies, followed by absolute-value activation, max pooling, and batch normalization. Three convolutional blocks at channel widths of 128, 256, and 256 follow, each containing two residual blocks with batch normalization and LeakyReLU activation at a slope of 0.3. Max pooling is applied between blocks, and adaptive average pooling at the end produces the 128-dimensional embedding. This branch detects codec compression signatures and phase-level artifacts that may be obscured in spectral representations.</w:t>
      </w:r>
    </w:p>
    <w:p>
      <w:pPr>
        <w:pStyle w:val="Heading2"/>
        <w:spacing w:after="120" w:before="240"/>
      </w:pPr>
      <w:r>
        <w:rPr>
          <w:rFonts w:ascii="Arial" w:cs="Arial" w:eastAsia="Arial" w:hAnsi="Arial"/>
          <w:b/>
          <w:bCs/>
          <w:sz w:val="26"/>
          <w:szCs w:val="26"/>
        </w:rPr>
        <w:t xml:space="preserve">6.3 Attention Fusion and Loss</w:t>
      </w:r>
    </w:p>
    <w:p>
      <w:pPr>
        <w:spacing w:after="120" w:line="320"/>
      </w:pPr>
      <w:r>
        <w:rPr>
          <w:rFonts w:ascii="Arial" w:cs="Arial" w:eastAsia="Arial" w:hAnsi="Arial"/>
          <w:b w:val="false"/>
          <w:bCs w:val="false"/>
          <w:i w:val="false"/>
          <w:iCs w:val="false"/>
          <w:sz w:val="22"/>
          <w:szCs w:val="22"/>
        </w:rPr>
        <w:t xml:space="preserve">The three embeddings are stacked as three tokens and passed through a two-layer transformer encoder with four-head multi-head self-attention. Each layer applies self-attention with a residual connection and layer normalization, followed by a feed-forward network that expands the representation to four times its width through GELU activation and dropout before projecting it back, with a second residual connection and layer normalization. This structure allows the model to dynamically re-weight each branch on a per-input basis: codec-degraded audio relies more heavily on the raw waveform branch, while clean audio relies more on the SSL branch.</w:t>
      </w:r>
    </w:p>
    <w:p>
      <w:pPr>
        <w:spacing w:after="120" w:line="320"/>
      </w:pPr>
      <w:r>
        <w:rPr>
          <w:rFonts w:ascii="Arial" w:cs="Arial" w:eastAsia="Arial" w:hAnsi="Arial"/>
          <w:b w:val="false"/>
          <w:bCs w:val="false"/>
          <w:i w:val="false"/>
          <w:iCs w:val="false"/>
          <w:sz w:val="22"/>
          <w:szCs w:val="22"/>
        </w:rPr>
        <w:t xml:space="preserve">The attended outputs are concatenated into a single 384-dimensional vector that feeds two heads. The scoring head passes through a hidden layer with GELU activation and dropout before a final sigmoid-activated output for P(AI). The classification head uses the same hidden-layer structure before a linear output for three-way logits.</w:t>
      </w:r>
    </w:p>
    <w:p>
      <w:pPr>
        <w:spacing w:after="120" w:line="320"/>
      </w:pPr>
      <w:r>
        <w:rPr>
          <w:rFonts w:ascii="Arial" w:cs="Arial" w:eastAsia="Arial" w:hAnsi="Arial"/>
          <w:b w:val="false"/>
          <w:bCs w:val="false"/>
          <w:i w:val="false"/>
          <w:iCs w:val="false"/>
          <w:sz w:val="22"/>
          <w:szCs w:val="22"/>
        </w:rPr>
        <w:t xml:space="preserve">The loss function combines two terms with equal weighting: 0.5 times the mean squared error between the P(AI) score and a continuous AI-ratio label, plus 0.5 times the cross-entropy over three-way class labels (real when the AI ratio is below 0.2, AI when above 0.8, mixed otherwise). The equal weighting trains both heads jointly so that the regression head learns a smooth probability surface while the classification head anchors discrete decision boundaries.</w:t>
      </w:r>
    </w:p>
    <w:p>
      <w:pPr>
        <w:pStyle w:val="Heading1"/>
        <w:spacing w:after="180" w:before="360"/>
      </w:pPr>
      <w:r>
        <w:rPr>
          <w:rFonts w:ascii="Arial" w:cs="Arial" w:eastAsia="Arial" w:hAnsi="Arial"/>
          <w:b/>
          <w:bCs/>
          <w:sz w:val="32"/>
          <w:szCs w:val="32"/>
        </w:rPr>
        <w:t xml:space="preserve">7. Training and Deployment</w:t>
      </w:r>
    </w:p>
    <w:p>
      <w:pPr>
        <w:pStyle w:val="Heading2"/>
        <w:spacing w:after="120" w:before="240"/>
      </w:pPr>
      <w:r>
        <w:rPr>
          <w:rFonts w:ascii="Arial" w:cs="Arial" w:eastAsia="Arial" w:hAnsi="Arial"/>
          <w:b/>
          <w:bCs/>
          <w:sz w:val="26"/>
          <w:szCs w:val="26"/>
        </w:rPr>
        <w:t xml:space="preserve">7.1 Training Infrastructure</w:t>
      </w:r>
    </w:p>
    <w:p>
      <w:pPr>
        <w:spacing w:after="120" w:line="320"/>
      </w:pPr>
      <w:r>
        <w:rPr>
          <w:rFonts w:ascii="Arial" w:cs="Arial" w:eastAsia="Arial" w:hAnsi="Arial"/>
          <w:b w:val="false"/>
          <w:bCs w:val="false"/>
          <w:i w:val="false"/>
          <w:iCs w:val="false"/>
          <w:sz w:val="22"/>
          <w:szCs w:val="22"/>
        </w:rPr>
        <w:t xml:space="preserve">The AdamW optimizer runs with two parameter groups: WavLM trainable parameters at a learning rate of 1e-5, and all other parameters at 1e-4. The lower rate for WavLM prevents the large pretrained encoder from overwhelming gradient flow through the smaller branches. The learning rate follows cosine annealing with warm restarts and a 1,000-step linear warmup. Early stopping monitors validation EER with a patience of seven epochs.</w:t>
      </w:r>
    </w:p>
    <w:p>
      <w:pPr>
        <w:spacing w:after="120" w:line="320"/>
      </w:pPr>
      <w:r>
        <w:rPr>
          <w:rFonts w:ascii="Arial" w:cs="Arial" w:eastAsia="Arial" w:hAnsi="Arial"/>
          <w:b w:val="false"/>
          <w:bCs w:val="false"/>
          <w:i w:val="false"/>
          <w:iCs w:val="false"/>
          <w:sz w:val="22"/>
          <w:szCs w:val="22"/>
        </w:rPr>
        <w:t xml:space="preserve">Four optimizations allow training on a consumer GPU with 8 GB of VRAM. First, bfloat16 automatic mixed precision is used throughout, with float32 islands around SincNet and WavLM forward passes to prevent numerical overflow. Second, gradient accumulation over four micro-steps maintains an effective batch size of 64. Third, expandable CUDA memory segments recover fragmented VRAM. Fourth, four-worker data loading with pinned memory overlaps audio decoding with GPU computation.</w:t>
      </w:r>
    </w:p>
    <w:p>
      <w:pPr>
        <w:spacing w:after="120" w:line="320"/>
      </w:pPr>
      <w:r>
        <w:rPr>
          <w:rFonts w:ascii="Arial" w:cs="Arial" w:eastAsia="Arial" w:hAnsi="Arial"/>
          <w:b w:val="false"/>
          <w:bCs w:val="false"/>
          <w:i w:val="false"/>
          <w:iCs w:val="false"/>
          <w:sz w:val="22"/>
          <w:szCs w:val="22"/>
        </w:rPr>
        <w:t xml:space="preserve">Two checkpoint files are maintained throughout training: </w:t>
      </w:r>
      <w:r>
        <w:rPr>
          <w:rFonts w:ascii="Consolas" w:cs="Consolas" w:eastAsia="Consolas" w:hAnsi="Consolas"/>
          <w:sz w:val="20"/>
          <w:szCs w:val="20"/>
        </w:rPr>
        <w:t xml:space="preserve">checkpoint_latest.pth</w:t>
      </w:r>
      <w:r>
        <w:rPr>
          <w:rFonts w:ascii="Arial" w:cs="Arial" w:eastAsia="Arial" w:hAnsi="Arial"/>
          <w:b w:val="false"/>
          <w:bCs w:val="false"/>
          <w:i w:val="false"/>
          <w:iCs w:val="false"/>
          <w:sz w:val="22"/>
          <w:szCs w:val="22"/>
        </w:rPr>
        <w:t xml:space="preserve"> is updated every epoch, while </w:t>
      </w:r>
      <w:r>
        <w:rPr>
          <w:rFonts w:ascii="Consolas" w:cs="Consolas" w:eastAsia="Consolas" w:hAnsi="Consolas"/>
          <w:sz w:val="20"/>
          <w:szCs w:val="20"/>
        </w:rPr>
        <w:t xml:space="preserve">checkpoint_best.pth</w:t>
      </w:r>
      <w:r>
        <w:rPr>
          <w:rFonts w:ascii="Arial" w:cs="Arial" w:eastAsia="Arial" w:hAnsi="Arial"/>
          <w:b w:val="false"/>
          <w:bCs w:val="false"/>
          <w:i w:val="false"/>
          <w:iCs w:val="false"/>
          <w:sz w:val="22"/>
          <w:szCs w:val="22"/>
        </w:rPr>
        <w:t xml:space="preserve"> is updated only when validation EER improves. Either checkpoint can be loaded to resume training exactly, which proved important for surviving interrupted Colab sessions.</w:t>
      </w:r>
    </w:p>
    <w:p>
      <w:pPr>
        <w:pStyle w:val="Heading2"/>
        <w:spacing w:after="120" w:before="240"/>
      </w:pPr>
      <w:r>
        <w:rPr>
          <w:rFonts w:ascii="Arial" w:cs="Arial" w:eastAsia="Arial" w:hAnsi="Arial"/>
          <w:b/>
          <w:bCs/>
          <w:sz w:val="26"/>
          <w:szCs w:val="26"/>
        </w:rPr>
        <w:t xml:space="preserve">7.2 Backend</w:t>
      </w:r>
    </w:p>
    <w:p>
      <w:pPr>
        <w:spacing w:after="120" w:line="320"/>
      </w:pPr>
      <w:r>
        <w:rPr>
          <w:rFonts w:ascii="Arial" w:cs="Arial" w:eastAsia="Arial" w:hAnsi="Arial"/>
          <w:b w:val="false"/>
          <w:bCs w:val="false"/>
          <w:i w:val="false"/>
          <w:iCs w:val="false"/>
          <w:sz w:val="22"/>
          <w:szCs w:val="22"/>
        </w:rPr>
        <w:t xml:space="preserve">The detection backend is a FastAPI application served by Uvicorn. Its primary endpoint is a WebSocket at </w:t>
      </w:r>
      <w:r>
        <w:rPr>
          <w:rFonts w:ascii="Consolas" w:cs="Consolas" w:eastAsia="Consolas" w:hAnsi="Consolas"/>
          <w:sz w:val="20"/>
          <w:szCs w:val="20"/>
        </w:rPr>
        <w:t xml:space="preserve">/ws</w:t>
      </w:r>
      <w:r>
        <w:rPr>
          <w:rFonts w:ascii="Arial" w:cs="Arial" w:eastAsia="Arial" w:hAnsi="Arial"/>
          <w:b w:val="false"/>
          <w:bCs w:val="false"/>
          <w:i w:val="false"/>
          <w:iCs w:val="false"/>
          <w:sz w:val="22"/>
          <w:szCs w:val="22"/>
        </w:rPr>
        <w:t xml:space="preserve">, with smaller REST endpoints for health checks and configuration. Each connection gets its own </w:t>
      </w:r>
      <w:r>
        <w:rPr>
          <w:rFonts w:ascii="Consolas" w:cs="Consolas" w:eastAsia="Consolas" w:hAnsi="Consolas"/>
          <w:sz w:val="20"/>
          <w:szCs w:val="20"/>
        </w:rPr>
        <w:t xml:space="preserve">DetectionSession</w:t>
      </w:r>
      <w:r>
        <w:rPr>
          <w:rFonts w:ascii="Arial" w:cs="Arial" w:eastAsia="Arial" w:hAnsi="Arial"/>
          <w:b w:val="false"/>
          <w:bCs w:val="false"/>
          <w:i w:val="false"/>
          <w:iCs w:val="false"/>
          <w:sz w:val="22"/>
          <w:szCs w:val="22"/>
        </w:rPr>
        <w:t xml:space="preserve"> with a dedicated four-second ring buffer, threshold, and smoothed score state. Binary audio frames (32-bit floating-point mono PCM) are decoded with NumPy, resampled if necessary, and pushed into the buffer. When a full window is ready, it is dispatched to an </w:t>
      </w:r>
      <w:r>
        <w:rPr>
          <w:rFonts w:ascii="Consolas" w:cs="Consolas" w:eastAsia="Consolas" w:hAnsi="Consolas"/>
          <w:sz w:val="20"/>
          <w:szCs w:val="20"/>
        </w:rPr>
        <w:t xml:space="preserve">AsyncDetector</w:t>
      </w:r>
      <w:r>
        <w:rPr>
          <w:rFonts w:ascii="Arial" w:cs="Arial" w:eastAsia="Arial" w:hAnsi="Arial"/>
          <w:b w:val="false"/>
          <w:bCs w:val="false"/>
          <w:i w:val="false"/>
          <w:iCs w:val="false"/>
          <w:sz w:val="22"/>
          <w:szCs w:val="22"/>
        </w:rPr>
        <w:t xml:space="preserve"> that runs the PyTorch model on a background thread, keeping the WebSocket event loop responsive. Score smoothing through an exponential moving average, combined with hysteresis that requires consecutive windows to agree before changing the label, prevents the output from flickering on weak signals.</w:t>
      </w:r>
    </w:p>
    <w:p>
      <w:pPr>
        <w:pStyle w:val="Heading2"/>
        <w:spacing w:after="120" w:before="240"/>
      </w:pPr>
      <w:r>
        <w:rPr>
          <w:rFonts w:ascii="Arial" w:cs="Arial" w:eastAsia="Arial" w:hAnsi="Arial"/>
          <w:b/>
          <w:bCs/>
          <w:sz w:val="26"/>
          <w:szCs w:val="26"/>
        </w:rPr>
        <w:t xml:space="preserve">7.3 Chrome Extension</w:t>
      </w:r>
    </w:p>
    <w:p>
      <w:pPr>
        <w:spacing w:after="120" w:line="320"/>
      </w:pPr>
      <w:r>
        <w:rPr>
          <w:rFonts w:ascii="Arial" w:cs="Arial" w:eastAsia="Arial" w:hAnsi="Arial"/>
          <w:b w:val="false"/>
          <w:bCs w:val="false"/>
          <w:i w:val="false"/>
          <w:iCs w:val="false"/>
          <w:sz w:val="22"/>
          <w:szCs w:val="22"/>
        </w:rPr>
        <w:t xml:space="preserve">The frontend is a Manifest Version 3 Chrome extension built with plain HTML, CSS, and JavaScript. The popup gives the user a single button to start or stop detection of the active tab and displays the live P(AI) score. The background service worker handles tab capture by calling the Chrome tab capture API for a media stream ID and delegating audio processing to an offscreen document, since Manifest Version 3 service workers cannot host persistent Web Audio graphs.</w:t>
      </w:r>
    </w:p>
    <w:p>
      <w:pPr>
        <w:spacing w:after="120" w:line="320"/>
      </w:pPr>
      <w:r>
        <w:rPr>
          <w:rFonts w:ascii="Arial" w:cs="Arial" w:eastAsia="Arial" w:hAnsi="Arial"/>
          <w:b w:val="false"/>
          <w:bCs w:val="false"/>
          <w:i w:val="false"/>
          <w:iCs w:val="false"/>
          <w:sz w:val="22"/>
          <w:szCs w:val="22"/>
        </w:rPr>
        <w:t xml:space="preserve">The offscreen document opens the tab audio as a MediaStream, connects it to a Web Audio AudioContext, and splits it into two paths. One path plays audio back to the user normally; the other feeds an AudioWorkletNode that converts audio to mono 32-bit float, batches it into frames, and sends those frames by WebSocket to the backend. Detection scores and alerts return through the service worker, are stored in Chrome session storage, and can trigger browser notifications when the label changes.</w:t>
      </w:r>
    </w:p>
    <w:p>
      <w:pPr>
        <w:pStyle w:val="Heading1"/>
        <w:spacing w:after="180" w:before="360"/>
      </w:pPr>
      <w:r>
        <w:rPr>
          <w:rFonts w:ascii="Arial" w:cs="Arial" w:eastAsia="Arial" w:hAnsi="Arial"/>
          <w:b/>
          <w:bCs/>
          <w:sz w:val="32"/>
          <w:szCs w:val="32"/>
        </w:rPr>
        <w:t xml:space="preserve">8. Evaluation and Results</w:t>
      </w:r>
    </w:p>
    <w:p>
      <w:pPr>
        <w:pStyle w:val="Heading2"/>
        <w:spacing w:after="120" w:before="240"/>
      </w:pPr>
      <w:r>
        <w:rPr>
          <w:rFonts w:ascii="Arial" w:cs="Arial" w:eastAsia="Arial" w:hAnsi="Arial"/>
          <w:b/>
          <w:bCs/>
          <w:sz w:val="26"/>
          <w:szCs w:val="26"/>
        </w:rPr>
        <w:t xml:space="preserve">8.1 Metrics</w:t>
      </w:r>
    </w:p>
    <w:p>
      <w:pPr>
        <w:spacing w:after="120" w:line="320"/>
      </w:pPr>
      <w:r>
        <w:rPr>
          <w:rFonts w:ascii="Arial" w:cs="Arial" w:eastAsia="Arial" w:hAnsi="Arial"/>
          <w:b w:val="false"/>
          <w:bCs w:val="false"/>
          <w:i w:val="false"/>
          <w:iCs w:val="false"/>
          <w:sz w:val="22"/>
          <w:szCs w:val="22"/>
        </w:rPr>
        <w:t xml:space="preserve">The evaluation reports four standard metrics. Equal Error Rate (EER) is the point on the detection error curve where the false acceptance rate equals the false rejection rate, computed as the operating point that minimizes the absolute difference between FPR and FNR on the ROC curve. Lower EER is better. AUC-ROC summarizes discrimination ability across all decision thresholds, where 1.0 indicates perfect separation. Accuracy and F1 score at a threshold of 0.5 measure classification performance at a fixed operating point. All results below come from the held-out test set, which was never seen during training.</w:t>
      </w:r>
    </w:p>
    <w:p>
      <w:pPr>
        <w:pStyle w:val="Heading2"/>
        <w:spacing w:after="120" w:before="240"/>
      </w:pPr>
      <w:r>
        <w:rPr>
          <w:rFonts w:ascii="Arial" w:cs="Arial" w:eastAsia="Arial" w:hAnsi="Arial"/>
          <w:b/>
          <w:bCs/>
          <w:sz w:val="26"/>
          <w:szCs w:val="26"/>
        </w:rPr>
        <w:t xml:space="preserve">8.2 Per-Domain Results</w:t>
      </w:r>
    </w:p>
    <w:p>
      <w:pPr>
        <w:spacing w:after="120" w:line="320"/>
      </w:pPr>
      <w:r>
        <w:rPr>
          <w:rFonts w:ascii="Arial" w:cs="Arial" w:eastAsia="Arial" w:hAnsi="Arial"/>
          <w:b w:val="false"/>
          <w:bCs w:val="false"/>
          <w:i w:val="false"/>
          <w:iCs w:val="false"/>
          <w:sz w:val="22"/>
          <w:szCs w:val="22"/>
        </w:rPr>
        <w:t xml:space="preserve">Across 1,621 test segments, the system achieved an overall accuracy of 93.15 percent, EER of 6.67 percent, AUC-ROC of 97.24 percent, and F1 of 93.09 percent. Per-domain results are summarized in Table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after="0"/>
              <w:jc w:val="left"/>
            </w:pPr>
            <w:r>
              <w:rPr>
                <w:rFonts w:ascii="Arial" w:cs="Arial" w:eastAsia="Arial" w:hAnsi="Arial"/>
                <w:b/>
                <w:bCs/>
                <w:sz w:val="20"/>
                <w:szCs w:val="20"/>
              </w:rPr>
              <w:t xml:space="preserve">Domain</w:t>
            </w:r>
          </w:p>
        </w:tc>
        <w:tc>
          <w:tcPr>
            <w:tcW w:type="dxa" w:w="15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after="0"/>
              <w:jc w:val="center"/>
            </w:pPr>
            <w:r>
              <w:rPr>
                <w:rFonts w:ascii="Arial" w:cs="Arial" w:eastAsia="Arial" w:hAnsi="Arial"/>
                <w:b/>
                <w:bCs/>
                <w:sz w:val="20"/>
                <w:szCs w:val="20"/>
              </w:rPr>
              <w:t xml:space="preserve">Samples</w:t>
            </w:r>
          </w:p>
        </w:tc>
        <w:tc>
          <w:tcPr>
            <w:tcW w:type="dxa" w:w="15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after="0"/>
              <w:jc w:val="center"/>
            </w:pPr>
            <w:r>
              <w:rPr>
                <w:rFonts w:ascii="Arial" w:cs="Arial" w:eastAsia="Arial" w:hAnsi="Arial"/>
                <w:b/>
                <w:bCs/>
                <w:sz w:val="20"/>
                <w:szCs w:val="20"/>
              </w:rPr>
              <w:t xml:space="preserve">Accuracy</w:t>
            </w:r>
          </w:p>
        </w:tc>
        <w:tc>
          <w:tcPr>
            <w:tcW w:type="dxa" w:w="15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after="0"/>
              <w:jc w:val="center"/>
            </w:pPr>
            <w:r>
              <w:rPr>
                <w:rFonts w:ascii="Arial" w:cs="Arial" w:eastAsia="Arial" w:hAnsi="Arial"/>
                <w:b/>
                <w:bCs/>
                <w:sz w:val="20"/>
                <w:szCs w:val="20"/>
              </w:rPr>
              <w:t xml:space="preserve">EER</w:t>
            </w:r>
          </w:p>
        </w:tc>
        <w:tc>
          <w:tcPr>
            <w:tcW w:type="dxa" w:w="15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after="0"/>
              <w:jc w:val="center"/>
            </w:pPr>
            <w:r>
              <w:rPr>
                <w:rFonts w:ascii="Arial" w:cs="Arial" w:eastAsia="Arial" w:hAnsi="Arial"/>
                <w:b/>
                <w:bCs/>
                <w:sz w:val="20"/>
                <w:szCs w:val="20"/>
              </w:rPr>
              <w:t xml:space="preserve">AUC-ROC</w:t>
            </w:r>
          </w:p>
        </w:tc>
        <w:tc>
          <w:tcPr>
            <w:tcW w:type="dxa" w:w="15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after="0"/>
              <w:jc w:val="center"/>
            </w:pPr>
            <w:r>
              <w:rPr>
                <w:rFonts w:ascii="Arial" w:cs="Arial" w:eastAsia="Arial" w:hAnsi="Arial"/>
                <w:b/>
                <w:bCs/>
                <w:sz w:val="20"/>
                <w:szCs w:val="20"/>
              </w:rPr>
              <w:t xml:space="preserve">F1</w:t>
            </w:r>
          </w:p>
        </w:tc>
      </w:tr>
      <w:tr>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left"/>
            </w:pPr>
            <w:r>
              <w:rPr>
                <w:rFonts w:ascii="Arial" w:cs="Arial" w:eastAsia="Arial" w:hAnsi="Arial"/>
                <w:b w:val="false"/>
                <w:bCs w:val="false"/>
                <w:sz w:val="20"/>
                <w:szCs w:val="20"/>
              </w:rPr>
              <w:t xml:space="preserve">Voice</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center"/>
            </w:pPr>
            <w:r>
              <w:rPr>
                <w:rFonts w:ascii="Arial" w:cs="Arial" w:eastAsia="Arial" w:hAnsi="Arial"/>
                <w:b w:val="false"/>
                <w:bCs w:val="false"/>
                <w:sz w:val="20"/>
                <w:szCs w:val="20"/>
              </w:rPr>
              <w:t xml:space="preserve">588</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center"/>
            </w:pPr>
            <w:r>
              <w:rPr>
                <w:rFonts w:ascii="Arial" w:cs="Arial" w:eastAsia="Arial" w:hAnsi="Arial"/>
                <w:b w:val="false"/>
                <w:bCs w:val="false"/>
                <w:sz w:val="20"/>
                <w:szCs w:val="20"/>
              </w:rPr>
              <w:t xml:space="preserve">96.60 %</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center"/>
            </w:pPr>
            <w:r>
              <w:rPr>
                <w:rFonts w:ascii="Arial" w:cs="Arial" w:eastAsia="Arial" w:hAnsi="Arial"/>
                <w:b w:val="false"/>
                <w:bCs w:val="false"/>
                <w:sz w:val="20"/>
                <w:szCs w:val="20"/>
              </w:rPr>
              <w:t xml:space="preserve">2.79 %</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center"/>
            </w:pPr>
            <w:r>
              <w:rPr>
                <w:rFonts w:ascii="Arial" w:cs="Arial" w:eastAsia="Arial" w:hAnsi="Arial"/>
                <w:b w:val="false"/>
                <w:bCs w:val="false"/>
                <w:sz w:val="20"/>
                <w:szCs w:val="20"/>
              </w:rPr>
              <w:t xml:space="preserve">99.03 %</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center"/>
            </w:pPr>
            <w:r>
              <w:rPr>
                <w:rFonts w:ascii="Arial" w:cs="Arial" w:eastAsia="Arial" w:hAnsi="Arial"/>
                <w:b w:val="false"/>
                <w:bCs w:val="false"/>
                <w:sz w:val="20"/>
                <w:szCs w:val="20"/>
              </w:rPr>
              <w:t xml:space="preserve">95.43 %</w:t>
            </w:r>
          </w:p>
        </w:tc>
      </w:tr>
      <w:tr>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left"/>
            </w:pPr>
            <w:r>
              <w:rPr>
                <w:rFonts w:ascii="Arial" w:cs="Arial" w:eastAsia="Arial" w:hAnsi="Arial"/>
                <w:b w:val="false"/>
                <w:bCs w:val="false"/>
                <w:sz w:val="20"/>
                <w:szCs w:val="20"/>
              </w:rPr>
              <w:t xml:space="preserve">Music</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center"/>
            </w:pPr>
            <w:r>
              <w:rPr>
                <w:rFonts w:ascii="Arial" w:cs="Arial" w:eastAsia="Arial" w:hAnsi="Arial"/>
                <w:b w:val="false"/>
                <w:bCs w:val="false"/>
                <w:sz w:val="20"/>
                <w:szCs w:val="20"/>
              </w:rPr>
              <w:t xml:space="preserve">659</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center"/>
            </w:pPr>
            <w:r>
              <w:rPr>
                <w:rFonts w:ascii="Arial" w:cs="Arial" w:eastAsia="Arial" w:hAnsi="Arial"/>
                <w:b w:val="false"/>
                <w:bCs w:val="false"/>
                <w:sz w:val="20"/>
                <w:szCs w:val="20"/>
              </w:rPr>
              <w:t xml:space="preserve">93.17 %</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center"/>
            </w:pPr>
            <w:r>
              <w:rPr>
                <w:rFonts w:ascii="Arial" w:cs="Arial" w:eastAsia="Arial" w:hAnsi="Arial"/>
                <w:b w:val="false"/>
                <w:bCs w:val="false"/>
                <w:sz w:val="20"/>
                <w:szCs w:val="20"/>
              </w:rPr>
              <w:t xml:space="preserve">9.33 %</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center"/>
            </w:pPr>
            <w:r>
              <w:rPr>
                <w:rFonts w:ascii="Arial" w:cs="Arial" w:eastAsia="Arial" w:hAnsi="Arial"/>
                <w:b w:val="false"/>
                <w:bCs w:val="false"/>
                <w:sz w:val="20"/>
                <w:szCs w:val="20"/>
              </w:rPr>
              <w:t xml:space="preserve">95.89 %</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center"/>
            </w:pPr>
            <w:r>
              <w:rPr>
                <w:rFonts w:ascii="Arial" w:cs="Arial" w:eastAsia="Arial" w:hAnsi="Arial"/>
                <w:b w:val="false"/>
                <w:bCs w:val="false"/>
                <w:sz w:val="20"/>
                <w:szCs w:val="20"/>
              </w:rPr>
              <w:t xml:space="preserve">94.61 %</w:t>
            </w:r>
          </w:p>
        </w:tc>
      </w:tr>
      <w:tr>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left"/>
            </w:pPr>
            <w:r>
              <w:rPr>
                <w:rFonts w:ascii="Arial" w:cs="Arial" w:eastAsia="Arial" w:hAnsi="Arial"/>
                <w:b w:val="false"/>
                <w:bCs w:val="false"/>
                <w:sz w:val="20"/>
                <w:szCs w:val="20"/>
              </w:rPr>
              <w:t xml:space="preserve">Non-human</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center"/>
            </w:pPr>
            <w:r>
              <w:rPr>
                <w:rFonts w:ascii="Arial" w:cs="Arial" w:eastAsia="Arial" w:hAnsi="Arial"/>
                <w:b w:val="false"/>
                <w:bCs w:val="false"/>
                <w:sz w:val="20"/>
                <w:szCs w:val="20"/>
              </w:rPr>
              <w:t xml:space="preserve">374</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center"/>
            </w:pPr>
            <w:r>
              <w:rPr>
                <w:rFonts w:ascii="Arial" w:cs="Arial" w:eastAsia="Arial" w:hAnsi="Arial"/>
                <w:b w:val="false"/>
                <w:bCs w:val="false"/>
                <w:sz w:val="20"/>
                <w:szCs w:val="20"/>
              </w:rPr>
              <w:t xml:space="preserve">87.70 %</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center"/>
            </w:pPr>
            <w:r>
              <w:rPr>
                <w:rFonts w:ascii="Arial" w:cs="Arial" w:eastAsia="Arial" w:hAnsi="Arial"/>
                <w:b w:val="false"/>
                <w:bCs w:val="false"/>
                <w:sz w:val="20"/>
                <w:szCs w:val="20"/>
              </w:rPr>
              <w:t xml:space="preserve">8.18 %</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center"/>
            </w:pPr>
            <w:r>
              <w:rPr>
                <w:rFonts w:ascii="Arial" w:cs="Arial" w:eastAsia="Arial" w:hAnsi="Arial"/>
                <w:b w:val="false"/>
                <w:bCs w:val="false"/>
                <w:sz w:val="20"/>
                <w:szCs w:val="20"/>
              </w:rPr>
              <w:t xml:space="preserve">95.19 %</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center"/>
            </w:pPr>
            <w:r>
              <w:rPr>
                <w:rFonts w:ascii="Arial" w:cs="Arial" w:eastAsia="Arial" w:hAnsi="Arial"/>
                <w:b w:val="false"/>
                <w:bCs w:val="false"/>
                <w:sz w:val="20"/>
                <w:szCs w:val="20"/>
              </w:rPr>
              <w:t xml:space="preserve">85.71 %</w:t>
            </w:r>
          </w:p>
        </w:tc>
      </w:tr>
      <w:tr>
        <w:tc>
          <w:tcPr>
            <w:tcW w:type="dxa" w:w="15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after="0"/>
              <w:jc w:val="left"/>
            </w:pPr>
            <w:r>
              <w:rPr>
                <w:rFonts w:ascii="Arial" w:cs="Arial" w:eastAsia="Arial" w:hAnsi="Arial"/>
                <w:b/>
                <w:bCs/>
                <w:sz w:val="20"/>
                <w:szCs w:val="20"/>
              </w:rPr>
              <w:t xml:space="preserve">Overall</w:t>
            </w:r>
          </w:p>
        </w:tc>
        <w:tc>
          <w:tcPr>
            <w:tcW w:type="dxa" w:w="15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after="0"/>
              <w:jc w:val="center"/>
            </w:pPr>
            <w:r>
              <w:rPr>
                <w:rFonts w:ascii="Arial" w:cs="Arial" w:eastAsia="Arial" w:hAnsi="Arial"/>
                <w:b/>
                <w:bCs/>
                <w:sz w:val="20"/>
                <w:szCs w:val="20"/>
              </w:rPr>
              <w:t xml:space="preserve">1,621</w:t>
            </w:r>
          </w:p>
        </w:tc>
        <w:tc>
          <w:tcPr>
            <w:tcW w:type="dxa" w:w="15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after="0"/>
              <w:jc w:val="center"/>
            </w:pPr>
            <w:r>
              <w:rPr>
                <w:rFonts w:ascii="Arial" w:cs="Arial" w:eastAsia="Arial" w:hAnsi="Arial"/>
                <w:b/>
                <w:bCs/>
                <w:sz w:val="20"/>
                <w:szCs w:val="20"/>
              </w:rPr>
              <w:t xml:space="preserve">93.15 %</w:t>
            </w:r>
          </w:p>
        </w:tc>
        <w:tc>
          <w:tcPr>
            <w:tcW w:type="dxa" w:w="15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after="0"/>
              <w:jc w:val="center"/>
            </w:pPr>
            <w:r>
              <w:rPr>
                <w:rFonts w:ascii="Arial" w:cs="Arial" w:eastAsia="Arial" w:hAnsi="Arial"/>
                <w:b/>
                <w:bCs/>
                <w:sz w:val="20"/>
                <w:szCs w:val="20"/>
              </w:rPr>
              <w:t xml:space="preserve">6.67 %</w:t>
            </w:r>
          </w:p>
        </w:tc>
        <w:tc>
          <w:tcPr>
            <w:tcW w:type="dxa" w:w="15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after="0"/>
              <w:jc w:val="center"/>
            </w:pPr>
            <w:r>
              <w:rPr>
                <w:rFonts w:ascii="Arial" w:cs="Arial" w:eastAsia="Arial" w:hAnsi="Arial"/>
                <w:b/>
                <w:bCs/>
                <w:sz w:val="20"/>
                <w:szCs w:val="20"/>
              </w:rPr>
              <w:t xml:space="preserve">97.24 %</w:t>
            </w:r>
          </w:p>
        </w:tc>
        <w:tc>
          <w:tcPr>
            <w:tcW w:type="dxa" w:w="15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after="0"/>
              <w:jc w:val="center"/>
            </w:pPr>
            <w:r>
              <w:rPr>
                <w:rFonts w:ascii="Arial" w:cs="Arial" w:eastAsia="Arial" w:hAnsi="Arial"/>
                <w:b/>
                <w:bCs/>
                <w:sz w:val="20"/>
                <w:szCs w:val="20"/>
              </w:rPr>
              <w:t xml:space="preserve">93.09 %</w:t>
            </w:r>
          </w:p>
        </w:tc>
      </w:tr>
    </w:tbl>
    <w:p>
      <w:pPr>
        <w:spacing w:after="240" w:before="100"/>
        <w:jc w:val="center"/>
      </w:pPr>
      <w:r>
        <w:rPr>
          <w:rFonts w:ascii="Arial" w:cs="Arial" w:eastAsia="Arial" w:hAnsi="Arial"/>
          <w:i/>
          <w:iCs/>
          <w:sz w:val="20"/>
          <w:szCs w:val="20"/>
        </w:rPr>
        <w:t xml:space="preserve">Table 1. Per-domain performance on the held-out test set.</w:t>
      </w:r>
    </w:p>
    <w:p>
      <w:pPr>
        <w:spacing w:after="120" w:line="320"/>
      </w:pPr>
      <w:r>
        <w:rPr>
          <w:rFonts w:ascii="Arial" w:cs="Arial" w:eastAsia="Arial" w:hAnsi="Arial"/>
          <w:b w:val="false"/>
          <w:bCs w:val="false"/>
          <w:i w:val="false"/>
          <w:iCs w:val="false"/>
          <w:sz w:val="22"/>
          <w:szCs w:val="22"/>
        </w:rPr>
        <w:t xml:space="preserve">The system performs strongest on voice, where the SSL branch benefits directly from WavLM's speech pretraining. Voice EER of 2.79 percent is competitive with mid-range published anti-spoofing systems despite being trained as part of a multi-domain model rather than as a voice specialist. Music and non-human audio are harder: both sit near 9 percent EER and between 95 and 96 percent AUC. The non-human domain has the smallest body of dedicated prior research to learn from, and the lower accuracy of 87.70 percent reflects the difficulty of detecting AI artifacts in environmental sounds where human listeners have no strong intuitive expectation of what natural sounds like.</w:t>
      </w:r>
    </w:p>
    <w:p>
      <w:pPr>
        <w:spacing w:after="120" w:line="320"/>
      </w:pPr>
      <w:r>
        <w:rPr>
          <w:rFonts w:ascii="Arial" w:cs="Arial" w:eastAsia="Arial" w:hAnsi="Arial"/>
          <w:b w:val="false"/>
          <w:bCs w:val="false"/>
          <w:i w:val="false"/>
          <w:iCs w:val="false"/>
          <w:sz w:val="22"/>
          <w:szCs w:val="22"/>
        </w:rPr>
        <w:t xml:space="preserve">The system substantially exceeds the MVP targets set at project kickoff (accuracy above 75 percent, EER below 15 percent, per-class recall above 70 percent).</w:t>
      </w:r>
    </w:p>
    <w:p>
      <w:pPr>
        <w:pStyle w:val="Heading2"/>
        <w:spacing w:after="120" w:before="240"/>
      </w:pPr>
      <w:r>
        <w:rPr>
          <w:rFonts w:ascii="Arial" w:cs="Arial" w:eastAsia="Arial" w:hAnsi="Arial"/>
          <w:b/>
          <w:bCs/>
          <w:sz w:val="26"/>
          <w:szCs w:val="26"/>
        </w:rPr>
        <w:t xml:space="preserve">8.3 Analysis</w:t>
      </w:r>
    </w:p>
    <w:p>
      <w:pPr>
        <w:spacing w:after="120" w:line="320"/>
      </w:pPr>
      <w:r>
        <w:rPr>
          <w:rFonts w:ascii="Arial" w:cs="Arial" w:eastAsia="Arial" w:hAnsi="Arial"/>
          <w:b w:val="false"/>
          <w:bCs w:val="false"/>
          <w:i w:val="false"/>
          <w:iCs w:val="false"/>
          <w:sz w:val="22"/>
          <w:szCs w:val="22"/>
        </w:rPr>
        <w:t xml:space="preserve">The per-domain gap reveals a clear pattern: domains with more training data and a well-established benchmark (voice, with ASVspoof) outperform domains with fewer examples and less prior research (non-human environmental sound). This suggests that the most direct path to further improvement is expanding the non-human training set with additional real and AI-generated environmental sound sources. The codec augmentation strategy contributes measurably to robustness: the model maintains accuracy on compressed test audio, confirming that the augmentation choice is necessary rather than optional for real-world deployment.</w:t>
      </w:r>
    </w:p>
    <w:p>
      <w:pPr>
        <w:pStyle w:val="Heading1"/>
        <w:spacing w:after="180" w:before="360"/>
      </w:pPr>
      <w:r>
        <w:rPr>
          <w:rFonts w:ascii="Arial" w:cs="Arial" w:eastAsia="Arial" w:hAnsi="Arial"/>
          <w:b/>
          <w:bCs/>
          <w:sz w:val="32"/>
          <w:szCs w:val="32"/>
        </w:rPr>
        <w:t xml:space="preserve">9. Roadmap and Conclusion</w:t>
      </w:r>
    </w:p>
    <w:p>
      <w:pPr>
        <w:spacing w:after="120" w:line="320"/>
      </w:pPr>
      <w:r>
        <w:rPr>
          <w:rFonts w:ascii="Arial" w:cs="Arial" w:eastAsia="Arial" w:hAnsi="Arial"/>
          <w:b w:val="false"/>
          <w:bCs w:val="false"/>
          <w:i w:val="false"/>
          <w:iCs w:val="false"/>
          <w:sz w:val="22"/>
          <w:szCs w:val="22"/>
        </w:rPr>
        <w:t xml:space="preserve">Several enhancements are within near-term reach. The most immediate is producing per-generator EER breakdowns, which the evaluation script is already designed to emit, to identify which AI generators the model finds hardest to detect. Completing the ONNX export pipeline, for which </w:t>
      </w:r>
      <w:r>
        <w:rPr>
          <w:rFonts w:ascii="Consolas" w:cs="Consolas" w:eastAsia="Consolas" w:hAnsi="Consolas"/>
          <w:sz w:val="20"/>
          <w:szCs w:val="20"/>
        </w:rPr>
        <w:t xml:space="preserve">src/inference/export_onnx.py</w:t>
      </w:r>
      <w:r>
        <w:rPr>
          <w:rFonts w:ascii="Arial" w:cs="Arial" w:eastAsia="Arial" w:hAnsi="Arial"/>
          <w:b w:val="false"/>
          <w:bCs w:val="false"/>
          <w:i w:val="false"/>
          <w:iCs w:val="false"/>
          <w:sz w:val="22"/>
          <w:szCs w:val="22"/>
        </w:rPr>
        <w:t xml:space="preserve"> already exists, would enable a fully offline Chrome extension mode that removes the backend dependency. Multi-GPU training through the existing Kubernetes and Docker setup would reduce retraining time enough to support regular updates as new AI generators emerge.</w:t>
      </w:r>
    </w:p>
    <w:p>
      <w:pPr>
        <w:spacing w:after="120" w:line="320"/>
      </w:pPr>
      <w:r>
        <w:rPr>
          <w:rFonts w:ascii="Arial" w:cs="Arial" w:eastAsia="Arial" w:hAnsi="Arial"/>
          <w:b w:val="false"/>
          <w:bCs w:val="false"/>
          <w:i w:val="false"/>
          <w:iCs w:val="false"/>
          <w:sz w:val="22"/>
          <w:szCs w:val="22"/>
        </w:rPr>
        <w:t xml:space="preserve">On the architecture side, the mixed-content class could be extended into a temporal localization feature that highlights exactly which portions of a recording are likely AI-generated, making the system more useful for forensic investigations. On the business side, packaging the FastAPI backend as a hosted metered API targeting call centers and financial institutions is the most direct path to commercial deployment.</w:t>
      </w:r>
    </w:p>
    <w:p>
      <w:pPr>
        <w:spacing w:after="120" w:line="320"/>
      </w:pPr>
      <w:r>
        <w:rPr>
          <w:rFonts w:ascii="Arial" w:cs="Arial" w:eastAsia="Arial" w:hAnsi="Arial"/>
          <w:b w:val="false"/>
          <w:bCs w:val="false"/>
          <w:i w:val="false"/>
          <w:iCs w:val="false"/>
          <w:sz w:val="22"/>
          <w:szCs w:val="22"/>
        </w:rPr>
        <w:t xml:space="preserve">This project produced a complete, functional AI audio detection system trained on 297,480 segments across three domains, deployed as a real-time browser extension, and evaluated on a held-out test set at 93.15 percent overall accuracy and 97.24 percent AUC-ROC. Voice detection in particular reached 99.03 percent AUC, demonstrating that the three-branch attention fusion architecture is effective where training data and benchmarks are richest. The system is a working prototype that addresses a real and growing threat.</w:t>
      </w:r>
    </w:p>
    <w:p>
      <w:pPr>
        <w:pStyle w:val="Heading1"/>
        <w:spacing w:after="180" w:before="360"/>
      </w:pPr>
      <w:r>
        <w:rPr>
          <w:rFonts w:ascii="Arial" w:cs="Arial" w:eastAsia="Arial" w:hAnsi="Arial"/>
          <w:b/>
          <w:bCs/>
          <w:sz w:val="32"/>
          <w:szCs w:val="32"/>
        </w:rPr>
        <w:t xml:space="preserve">10. References</w:t>
      </w:r>
    </w:p>
    <w:p>
      <w:pPr>
        <w:spacing w:after="100" w:line="280"/>
        <w:ind w:left="360" w:hanging="360"/>
      </w:pPr>
      <w:r>
        <w:rPr>
          <w:rFonts w:ascii="Arial" w:cs="Arial" w:eastAsia="Arial" w:hAnsi="Arial"/>
          <w:sz w:val="20"/>
          <w:szCs w:val="20"/>
        </w:rPr>
        <w:t xml:space="preserve">Federal Communications Commission. (2024). FCC makes AI-generated voices in robocalls illegal.</w:t>
      </w:r>
      <w:r>
        <w:rPr>
          <w:rFonts w:ascii="Arial" w:cs="Arial" w:eastAsia="Arial" w:hAnsi="Arial"/>
          <w:color w:val="0000EE"/>
          <w:sz w:val="20"/>
          <w:szCs w:val="20"/>
        </w:rPr>
        <w:t xml:space="preserve"> https://www.fcc.gov/document/fcc-makes-ai-generated-voices-robocalls-illegal</w:t>
      </w:r>
    </w:p>
    <w:p>
      <w:pPr>
        <w:spacing w:after="100" w:line="280"/>
        <w:ind w:left="360" w:hanging="360"/>
      </w:pPr>
      <w:r>
        <w:rPr>
          <w:rFonts w:ascii="Arial" w:cs="Arial" w:eastAsia="Arial" w:hAnsi="Arial"/>
          <w:sz w:val="20"/>
          <w:szCs w:val="20"/>
        </w:rPr>
        <w:t xml:space="preserve">Federal Trade Commission. (2025). New FTC data show a big jump in reported losses to fraud to $12.5 billion in 2024.</w:t>
      </w:r>
      <w:r>
        <w:rPr>
          <w:rFonts w:ascii="Arial" w:cs="Arial" w:eastAsia="Arial" w:hAnsi="Arial"/>
          <w:color w:val="0000EE"/>
          <w:sz w:val="20"/>
          <w:szCs w:val="20"/>
        </w:rPr>
        <w:t xml:space="preserve"> https://www.ftc.gov/news-events/news/press-releases/2025/03/new-ftc-data-show-big-jump-reported-losses-fraud-125-billion-2024</w:t>
      </w:r>
    </w:p>
    <w:p>
      <w:pPr>
        <w:spacing w:after="100" w:line="280"/>
        <w:ind w:left="360" w:hanging="360"/>
      </w:pPr>
      <w:r>
        <w:rPr>
          <w:rFonts w:ascii="Arial" w:cs="Arial" w:eastAsia="Arial" w:hAnsi="Arial"/>
          <w:sz w:val="20"/>
          <w:szCs w:val="20"/>
        </w:rPr>
        <w:t xml:space="preserve">Wang, L., Zhang, Y., Li, X., and Chen, Z. (2025). Audio deepfake detection: What has been achieved and what lies ahead. Sensors, 25(4), 1234.</w:t>
      </w:r>
      <w:r>
        <w:rPr>
          <w:rFonts w:ascii="Arial" w:cs="Arial" w:eastAsia="Arial" w:hAnsi="Arial"/>
          <w:color w:val="0000EE"/>
          <w:sz w:val="20"/>
          <w:szCs w:val="20"/>
        </w:rPr>
        <w:t xml:space="preserve"> https://doi.org/10.3390/s25041234</w:t>
      </w:r>
    </w:p>
    <w:p>
      <w:pPr>
        <w:spacing w:after="100" w:line="280"/>
        <w:ind w:left="360" w:hanging="360"/>
      </w:pPr>
      <w:r>
        <w:rPr>
          <w:rFonts w:ascii="Arial" w:cs="Arial" w:eastAsia="Arial" w:hAnsi="Arial"/>
          <w:sz w:val="20"/>
          <w:szCs w:val="20"/>
        </w:rPr>
        <w:t xml:space="preserve">Shaaban, M. (2025). Audio deepfake detection using deep learning. Engineering Reports, e70087.</w:t>
      </w:r>
      <w:r>
        <w:rPr>
          <w:rFonts w:ascii="Arial" w:cs="Arial" w:eastAsia="Arial" w:hAnsi="Arial"/>
          <w:color w:val="0000EE"/>
          <w:sz w:val="20"/>
          <w:szCs w:val="20"/>
        </w:rPr>
        <w:t xml:space="preserve"> https://doi.org/10.1002/eng2.70087</w:t>
      </w:r>
    </w:p>
    <w:p>
      <w:pPr>
        <w:spacing w:after="100" w:line="280"/>
        <w:ind w:left="360" w:hanging="360"/>
      </w:pPr>
      <w:r>
        <w:rPr>
          <w:rFonts w:ascii="Arial" w:cs="Arial" w:eastAsia="Arial" w:hAnsi="Arial"/>
          <w:sz w:val="20"/>
          <w:szCs w:val="20"/>
        </w:rPr>
        <w:t xml:space="preserve">Dilbar, S., Qureshi, M., Noon, S., and Mannan, A. (2025). AudioFakeNet. Algorithms, 18(11), 716.</w:t>
      </w:r>
      <w:r>
        <w:rPr>
          <w:rFonts w:ascii="Arial" w:cs="Arial" w:eastAsia="Arial" w:hAnsi="Arial"/>
          <w:color w:val="0000EE"/>
          <w:sz w:val="20"/>
          <w:szCs w:val="20"/>
        </w:rPr>
        <w:t xml:space="preserve"> https://doi.org/10.3390/a18110716</w:t>
      </w:r>
    </w:p>
    <w:p>
      <w:pPr>
        <w:spacing w:after="100" w:line="280"/>
        <w:ind w:left="360" w:hanging="360"/>
      </w:pPr>
      <w:r>
        <w:rPr>
          <w:rFonts w:ascii="Arial" w:cs="Arial" w:eastAsia="Arial" w:hAnsi="Arial"/>
          <w:sz w:val="20"/>
          <w:szCs w:val="20"/>
        </w:rPr>
        <w:t xml:space="preserve">Wang, X., Delgado, H., Tak, H., et al. (2024). ASVspoof 5. arXiv:2408.08739.</w:t>
      </w:r>
      <w:r>
        <w:t xml:space="preserve"/>
      </w:r>
    </w:p>
    <w:p>
      <w:pPr>
        <w:spacing w:after="100" w:line="280"/>
        <w:ind w:left="360" w:hanging="360"/>
      </w:pPr>
      <w:r>
        <w:rPr>
          <w:rFonts w:ascii="Arial" w:cs="Arial" w:eastAsia="Arial" w:hAnsi="Arial"/>
          <w:sz w:val="20"/>
          <w:szCs w:val="20"/>
        </w:rPr>
        <w:t xml:space="preserve">Tak, H., Patino, J., Todisco, M., Nautsch, A., Evans, N., and Larcher, A. (2021). End-to-end anti-spoofing with RawNet2. Proc. IEEE ICASSP.</w:t>
      </w:r>
      <w:r>
        <w:t xml:space="preserve"/>
      </w:r>
    </w:p>
    <w:p>
      <w:pPr>
        <w:spacing w:after="100" w:line="280"/>
        <w:ind w:left="360" w:hanging="360"/>
      </w:pPr>
      <w:r>
        <w:rPr>
          <w:rFonts w:ascii="Arial" w:cs="Arial" w:eastAsia="Arial" w:hAnsi="Arial"/>
          <w:sz w:val="20"/>
          <w:szCs w:val="20"/>
        </w:rPr>
        <w:t xml:space="preserve">Chen, S., Wang, C., Chen, Z., et al. (2022). WavLM: Large-scale self-supervised pre-training for full stack speech processing. IEEE Journal of Selected Topics in Signal Processing.</w:t>
      </w:r>
      <w:r>
        <w:t xml:space="preserve"/>
      </w:r>
    </w:p>
    <w:p>
      <w:pPr>
        <w:spacing w:after="100" w:line="280"/>
        <w:ind w:left="360" w:hanging="360"/>
      </w:pPr>
      <w:r>
        <w:rPr>
          <w:rFonts w:ascii="Arial" w:cs="Arial" w:eastAsia="Arial" w:hAnsi="Arial"/>
          <w:sz w:val="20"/>
          <w:szCs w:val="20"/>
        </w:rPr>
        <w:t xml:space="preserve">Rahman, M. A., et al. (2025). SONICS: Synthetic or not, identifying counterfeit songs. ICLR 2025. arXiv:2408.14080.</w:t>
      </w:r>
      <w:r>
        <w:t xml:space="preserve"/>
      </w:r>
    </w:p>
    <w:p>
      <w:pPr>
        <w:spacing w:after="100" w:line="280"/>
        <w:ind w:left="360" w:hanging="360"/>
      </w:pPr>
      <w:r>
        <w:rPr>
          <w:rFonts w:ascii="Arial" w:cs="Arial" w:eastAsia="Arial" w:hAnsi="Arial"/>
          <w:sz w:val="20"/>
          <w:szCs w:val="20"/>
        </w:rPr>
        <w:t xml:space="preserve">RawNetLite. (2025). End-to-end audio deepfake detection from raw waveforms. arXiv:2504.20923.</w:t>
      </w: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2026-05-12T01:56:23.573Z</dcterms:created>
  <dcterms:modified xsi:type="dcterms:W3CDTF">2026-05-12T01:56:23.575Z</dcterms:modified>
</cp:coreProperties>
</file>

<file path=docProps/custom.xml><?xml version="1.0" encoding="utf-8"?>
<Properties xmlns="http://schemas.openxmlformats.org/officeDocument/2006/custom-properties" xmlns:vt="http://schemas.openxmlformats.org/officeDocument/2006/docPropsVTypes"/>
</file>