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4"/>
          <w:szCs w:val="44"/>
        </w:rPr>
        <w:t xml:space="preserve">Childcare Management Software</w:t>
      </w:r>
    </w:p>
    <w:p>
      <w:pPr>
        <w:spacing w:after="60"/>
      </w:pPr>
      <w:r>
        <w:rPr>
          <w:color w:val="555555"/>
          <w:sz w:val="28"/>
          <w:szCs w:val="28"/>
        </w:rPr>
        <w:t xml:space="preserve">MVP Feature List &amp; Build Plan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Prepared for Gene  |  August 14, 2026</w:t>
      </w:r>
    </w:p>
    <w:p>
      <w:pPr>
        <w:pStyle w:val="Heading1"/>
        <w:spacing w:after="160" w:before="320"/>
      </w:pPr>
      <w:r>
        <w:t xml:space="preserve">1. Positioning</w:t>
      </w:r>
    </w:p>
    <w:p>
      <w:pPr>
        <w:spacing w:after="140"/>
      </w:pPr>
      <w:r>
        <w:t xml:space="preserve">The category — Procare, Smartcare (Vanco), Playground — is mature but not well loved. Reviews across all three converge on the same complaints: opaque or clunky pricing, dated or fragile UI, weak multi-site support, poor offline handling, and support that gets slower exactly when centers need it most. Rather than rebuilding all three feature sets from scratch, the fastest path to a defensible product is picking one or two of these gaps as a wedge, winning a specific segment on that strength, and expanding outward once retention is proven.</w:t>
      </w:r>
    </w:p>
    <w:p>
      <w:pPr>
        <w:pStyle w:val="Heading1"/>
        <w:spacing w:after="160" w:before="320"/>
      </w:pPr>
      <w:r>
        <w:t xml:space="preserve">2. Target Customer (Beachhead Segment)</w:t>
      </w:r>
    </w:p>
    <w:p>
      <w:pPr>
        <w:spacing w:after="140"/>
      </w:pPr>
      <w:r>
        <w:t xml:space="preserve">Small-to-mid multi-location childcare operators (3–15 centers) who have outgrown a single-site tool like Playground but find Procare's pricing and support frustrating enough to switch. This segment is large enough to be viable, underserved by all three incumbents, and has a clear, provable pain point (multi-site billing and compliance reporting) that justifies switching costs.</w:t>
      </w:r>
    </w:p>
    <w:p>
      <w:pPr>
        <w:pStyle w:val="Heading1"/>
        <w:spacing w:after="160" w:before="320"/>
      </w:pPr>
      <w:r>
        <w:t xml:space="preserve">3. Competitive Gap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00"/>
      </w:tblGrid>
      <w:t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 to exploit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financial/accounting engine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Dated UI, slow support, sync bugs across devices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Smartcare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alerts, responsive support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Clunky reporting, opaque pricing, weak parent-teacher tools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Playground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UX, transparent flat pricing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built for multi-site scale, cost grows fast per student</w:t>
            </w:r>
          </w:p>
        </w:tc>
      </w:tr>
    </w:tbl>
    <w:p>
      <w:pPr>
        <w:pStyle w:val="Heading1"/>
        <w:spacing w:after="160" w:before="320"/>
      </w:pPr>
      <w:r>
        <w:t xml:space="preserve">4. MVP Feature List</w:t>
      </w:r>
    </w:p>
    <w:p>
      <w:pPr>
        <w:pStyle w:val="Heading2"/>
        <w:spacing w:after="120" w:before="240"/>
      </w:pPr>
      <w:r>
        <w:t xml:space="preserve">Core (table stakes — must match incumbents)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Enrollment and digital paperwork with e-signatures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check-in/check-out with parent ETA sharing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activity logs — meals, naps, diapering, photos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Parent messaging, announcements, and RSVPs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Tuition billing, invoicing, and online 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scheduling and basic ratio tracking</w:t>
      </w:r>
    </w:p>
    <w:p>
      <w:pPr>
        <w:pStyle w:val="Heading2"/>
        <w:spacing w:after="120" w:before="240"/>
      </w:pPr>
      <w:r>
        <w:t xml:space="preserve">Differentiators (the wedge)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Offline-first sync:</w:t>
      </w:r>
      <w:r>
        <w:t xml:space="preserve"> check-in/out and ratio counts keep working through a wifi drop, then reconcile automatically — directly fixes Procare's reported kiosk/tablet sync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Multi-site compliance automation:</w:t>
      </w:r>
      <w:r>
        <w:t xml:space="preserve"> state licensing ratios, incident reports, and subsidy billing built for operators running several centers under one roof, not bolted on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Transparent per-location pricing:</w:t>
      </w:r>
      <w:r>
        <w:t xml:space="preserve"> flat tier by center rather than pure per-child, so cost doesn't balloon as an operator scales — the thing Playground struggles with at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AI-assisted admin:</w:t>
      </w:r>
      <w:r>
        <w:t xml:space="preserve"> auto-drafted daily reports from photos/notes, auto-reconciled billing exceptions, natural-language search over records — none of the three lean on this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Support with a real SLA:</w:t>
      </w:r>
      <w:r>
        <w:t xml:space="preserve"> live chat with a committed response time, since slow support is the top complaint across all three incumbents.</w:t>
      </w:r>
    </w:p>
    <w:p>
      <w:pPr>
        <w:pStyle w:val="Heading1"/>
        <w:spacing w:after="160" w:before="320"/>
      </w:pPr>
      <w:r>
        <w:t xml:space="preserve">5. Suggested Tech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00"/>
      </w:tblGrid>
      <w:t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(parent + staff app)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(iOS/Android) + React web 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codebase for mobile, fastest path to feature parity with Playground/Procare apps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Node.js/TypeScript or Go, REST + WebSockets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WebSockets needed for real-time check-in/alerts; TS shares types with frontend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 (billing, ratios, compliance) with strong consistency guarantees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SQLite/WatermelonDB on-device with conflict-resolution sync layer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differentiator — must be designed in from day one, not retrofitted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or Finix (child-care-specific processors also worth evaluating)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PCI compliance, ACH + card, recurring billing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or GCP, containerized (ECS/Cloud Run)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Standard, scalable, easy to find engineers for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Anthropic/OpenAI API for report drafting, search, and billing-exception summaries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 building/hosting your own models for an MVP</w:t>
            </w:r>
          </w:p>
        </w:tc>
      </w:tr>
    </w:tbl>
    <w:p>
      <w:pPr>
        <w:pStyle w:val="Heading1"/>
        <w:spacing w:after="160" w:before="320"/>
      </w:pPr>
      <w:r>
        <w:t xml:space="preserve">6. Phased Roadmap</w:t>
      </w:r>
    </w:p>
    <w:p>
      <w:pPr>
        <w:pStyle w:val="Heading2"/>
        <w:spacing w:after="120" w:before="240"/>
      </w:pPr>
      <w:r>
        <w:t xml:space="preserve">Phase 1 — MVP (Months 1–4)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feature set: enrollment, check-in/out, billing, messaging, daily 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 architecture built in from the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with 3–5 friendly multi-site operators for direct feedback</w:t>
      </w:r>
    </w:p>
    <w:p>
      <w:pPr>
        <w:pStyle w:val="Heading2"/>
        <w:spacing w:after="120" w:before="240"/>
      </w:pPr>
      <w:r>
        <w:t xml:space="preserve">Phase 2 — Wedge Differentiation (Months 5–8)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Multi-site compliance and subsidy billing automation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Live-chat support with SLA commitments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 per-location pricing page and self-serve signup</w:t>
      </w:r>
    </w:p>
    <w:p>
      <w:pPr>
        <w:pStyle w:val="Heading2"/>
        <w:spacing w:after="120" w:before="240"/>
      </w:pPr>
      <w:r>
        <w:t xml:space="preserve">Phase 3 — Expansion (Months 9–14)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AI-assisted daily reports, billing reconciliation, and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 and HR features to match Procare/Playground breadth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Franchise/enterprise tier for larger multi-state operators</w:t>
      </w:r>
    </w:p>
    <w:p>
      <w:pPr>
        <w:pStyle w:val="Heading1"/>
        <w:spacing w:after="160" w:before="320"/>
      </w:pPr>
      <w:r>
        <w:t xml:space="preserve">7. Go-to-Market Notes</w:t>
      </w:r>
    </w:p>
    <w:p>
      <w:pPr>
        <w:spacing w:after="140"/>
      </w:pPr>
      <w:r>
        <w:t xml:space="preserve">Lead with the two provable pain points — offline reliability and multi-site compliance — in sales conversations with operators currently on Procare or Smartcare. Publish pricing openly from day one; this alone is a differentiator against Procare and Smartcare's quote-only model. Target migration incentives (free data import, discounted first 3 months) to lower switching costs for operators already locked into a competitor's billing history.</w:t>
      </w:r>
    </w:p>
    <w:p>
      <w:pPr>
        <w:pStyle w:val="Heading1"/>
        <w:spacing w:after="160" w:before="320"/>
      </w:pPr>
      <w:r>
        <w:t xml:space="preserve">8. Key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migration:</w:t>
      </w:r>
      <w:r>
        <w:t xml:space="preserve"> importing years of billing/enrollment history from Procare/Smartcare is the biggest switching friction — invest early in a reliable import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Compliance complexity:</w:t>
      </w:r>
      <w:r>
        <w:t xml:space="preserve"> licensing rules vary by state; scoping too many states at once will slow the MVP — launch in 2–3 states with the clearest rules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 with sensitive data:</w:t>
      </w:r>
      <w:r>
        <w:t xml:space="preserve"> childcare data includes minors' information — security/privacy posture (SOC 2, COPPA-aware design) needs to be credible from the first pilot, not bolted on later.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This plan is a starting framework, not a finished spec — validate the beachhead segment and wedge features with 3–5 target operators before committing engineering resources to Phase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2026-08-14T15:30:32.296Z</dcterms:created>
  <dcterms:modified xsi:type="dcterms:W3CDTF">2026-08-14T15:30:32.297Z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