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9F8F19" wp14:paraId="2E6442BE" wp14:textId="4A48A425">
      <w:pPr>
        <w:pStyle w:val="Normal"/>
        <w:spacing w:before="0" w:beforeAutospacing="off" w:after="0" w:afterAutospacing="off"/>
        <w:ind w:left="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</w:pPr>
      <w:r w:rsidRPr="129F8F19" w:rsidR="129F8F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Weekly Challenge_1_Excel</w:t>
      </w:r>
    </w:p>
    <w:p xmlns:wp14="http://schemas.microsoft.com/office/word/2010/wordml" w:rsidP="129F8F19" wp14:paraId="47331355" wp14:textId="2C326EC9">
      <w:pPr>
        <w:pStyle w:val="Normal"/>
        <w:spacing w:before="0" w:beforeAutospacing="off" w:after="0" w:afterAutospacing="off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</w:pPr>
    </w:p>
    <w:p xmlns:wp14="http://schemas.microsoft.com/office/word/2010/wordml" w:rsidP="129F8F19" wp14:paraId="07ADD86D" wp14:textId="5028BA7A">
      <w:pPr>
        <w:pStyle w:val="Normal"/>
        <w:spacing w:before="0" w:beforeAutospacing="off" w:after="0" w:afterAutospacing="off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</w:pP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Create a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report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in Microsoft Word, and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answer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the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following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questions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:</w:t>
      </w:r>
    </w:p>
    <w:p xmlns:wp14="http://schemas.microsoft.com/office/word/2010/wordml" w:rsidP="129F8F19" wp14:paraId="3E51731F" wp14:textId="2086680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</w:pP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Given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the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provided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data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,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what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are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three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conclusions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that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we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can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draw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about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crowdfunding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campaigns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?</w:t>
      </w:r>
    </w:p>
    <w:p xmlns:wp14="http://schemas.microsoft.com/office/word/2010/wordml" w:rsidP="129F8F19" wp14:paraId="1D0FAA43" wp14:textId="07FA466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</w:pP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What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are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some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limitations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of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this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dataset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?</w:t>
      </w:r>
    </w:p>
    <w:p xmlns:wp14="http://schemas.microsoft.com/office/word/2010/wordml" w:rsidP="129F8F19" wp14:paraId="7F0B6BF3" wp14:textId="5F3332B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</w:pP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What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are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some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other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possible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tables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and/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or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graphs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that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we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could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create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, and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what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additional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value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would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they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 xml:space="preserve"> 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provide</w:t>
      </w:r>
      <w:r w:rsidRPr="129F8F19" w:rsidR="129F8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de-DE"/>
        </w:rPr>
        <w:t>?</w:t>
      </w:r>
    </w:p>
    <w:p xmlns:wp14="http://schemas.microsoft.com/office/word/2010/wordml" w:rsidP="52E686FD" wp14:paraId="4E47C1E7" wp14:textId="6144A291">
      <w:pPr>
        <w:pStyle w:val="Normal"/>
        <w:rPr>
          <w:rFonts w:ascii="Arial Nova" w:hAnsi="Arial Nova" w:eastAsia="Arial Nova" w:cs="Arial Nova"/>
          <w:sz w:val="24"/>
          <w:szCs w:val="24"/>
        </w:rPr>
      </w:pPr>
    </w:p>
    <w:p w:rsidR="52E686FD" w:rsidP="52E686FD" w:rsidRDefault="52E686FD" w14:paraId="69EC99B1" w14:textId="1EB8BDFD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1. Looking at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the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dataset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, a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majority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of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the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campagins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were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successful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followed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by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failed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campaigns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.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Comparitivy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only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a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few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campaigns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were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cancelled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.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Additionally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looking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at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parent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and sub-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category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most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successful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failed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and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cancelled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campaigns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were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held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in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the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US (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overcall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campaign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count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was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the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highest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in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this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country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).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Lastly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the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category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‘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theather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’ and sub-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category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‘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plays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’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had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highest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counts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of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campaigns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. </w:t>
      </w:r>
    </w:p>
    <w:p w:rsidR="52E686FD" w:rsidP="52E686FD" w:rsidRDefault="52E686FD" w14:paraId="5B8F2B33" w14:textId="7B89D704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2.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One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of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the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limitation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of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the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dataset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is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that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most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counts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are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from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the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US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compared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to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the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total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remaining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campaigns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across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other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countries. This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skews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the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data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when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comparing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all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the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other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countries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who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have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relatively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similar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count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. Further, live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campaigns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should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not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be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included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as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the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final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result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cannot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be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predicted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at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this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point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. </w:t>
      </w:r>
    </w:p>
    <w:p w:rsidR="52E686FD" w:rsidP="52E686FD" w:rsidRDefault="52E686FD" w14:paraId="46892AFA" w14:textId="36B16EC7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3. A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boxed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plot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would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allow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us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to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see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any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outliers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.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Currently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it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is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not possible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to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see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if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there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is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a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significant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statistics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difference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between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the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count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of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successful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and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failed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campaigns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>.</w:t>
      </w:r>
      <w:r w:rsidRPr="129F8F19" w:rsidR="129F8F19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52E686FD" w:rsidP="52E686FD" w:rsidRDefault="52E686FD" w14:paraId="3488EFFB" w14:textId="021B69E3">
      <w:pPr>
        <w:pStyle w:val="Normal"/>
        <w:rPr>
          <w:rFonts w:ascii="Arial Nova" w:hAnsi="Arial Nova" w:eastAsia="Arial Nova" w:cs="Arial Nova"/>
          <w:sz w:val="24"/>
          <w:szCs w:val="24"/>
        </w:rPr>
      </w:pPr>
    </w:p>
    <w:p w:rsidR="52E686FD" w:rsidP="52E686FD" w:rsidRDefault="52E686FD" w14:paraId="534A2BC4" w14:textId="79D2721D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29F8F19" w:rsidR="129F8F19">
        <w:rPr>
          <w:rFonts w:ascii="Arial Nova" w:hAnsi="Arial Nova" w:eastAsia="Arial Nova" w:cs="Arial Nova"/>
          <w:sz w:val="24"/>
          <w:szCs w:val="24"/>
        </w:rPr>
        <w:t>___________________________</w:t>
      </w:r>
    </w:p>
    <w:p w:rsidR="129F8F19" w:rsidP="129F8F19" w:rsidRDefault="129F8F19" w14:paraId="3545A35C" w14:textId="60A2C843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29F8F19" w:rsidR="129F8F19">
        <w:rPr>
          <w:rFonts w:ascii="Arial Nova" w:hAnsi="Arial Nova" w:eastAsia="Arial Nova" w:cs="Arial Nova"/>
          <w:sz w:val="24"/>
          <w:szCs w:val="24"/>
        </w:rPr>
        <w:t>Statistical Analysis: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</w:tblGrid>
      <w:tr w:rsidR="129F8F19" w:rsidTr="129F8F19" w14:paraId="744B15D7">
        <w:trPr>
          <w:trHeight w:val="315"/>
        </w:trPr>
        <w:tc>
          <w:tcPr>
            <w:tcW w:w="676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9F8F19" w:rsidP="129F8F19" w:rsidRDefault="129F8F19" w14:paraId="4C096A7E" w14:textId="73F96ECC">
            <w:pPr>
              <w:spacing w:before="0" w:beforeAutospacing="off" w:after="0" w:afterAutospacing="off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</w:pP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Question: Use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your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data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to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determine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whether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the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mean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or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the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median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better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summarizes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the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data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.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9F8F19" w:rsidP="129F8F19" w:rsidRDefault="129F8F19" w14:paraId="075F9CB6" w14:textId="18E9CCFB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</w:tr>
      <w:tr w:rsidR="129F8F19" w:rsidTr="129F8F19" w14:paraId="0AC32B88">
        <w:trPr>
          <w:trHeight w:val="315"/>
        </w:trPr>
        <w:tc>
          <w:tcPr>
            <w:tcW w:w="788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9F8F19" w:rsidP="129F8F19" w:rsidRDefault="129F8F19" w14:paraId="52513C4E" w14:textId="29783C86">
            <w:pPr>
              <w:spacing w:before="0" w:beforeAutospacing="off" w:after="0" w:afterAutospacing="off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Answer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: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For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these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two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datasets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the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use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of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median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is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better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as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both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data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sets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have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extreme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values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which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distort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the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mean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value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.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</w:tr>
      <w:tr w:rsidR="129F8F19" w:rsidTr="129F8F19" w14:paraId="0C1795E6">
        <w:trPr>
          <w:trHeight w:val="315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9F8F19" w:rsidP="129F8F19" w:rsidRDefault="129F8F19" w14:paraId="240F022A" w14:textId="4A9A73EA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9F8F19" w:rsidP="129F8F19" w:rsidRDefault="129F8F19" w14:paraId="31139061" w14:textId="189D92C5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9F8F19" w:rsidP="129F8F19" w:rsidRDefault="129F8F19" w14:paraId="563DB64C" w14:textId="2A9FD328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9F8F19" w:rsidP="129F8F19" w:rsidRDefault="129F8F19" w14:paraId="52DE1C04" w14:textId="5885F4E8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9F8F19" w:rsidP="129F8F19" w:rsidRDefault="129F8F19" w14:paraId="327AF9A0" w14:textId="2ADEB87C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9F8F19" w:rsidP="129F8F19" w:rsidRDefault="129F8F19" w14:paraId="13D02420" w14:textId="19E1507A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9F8F19" w:rsidP="129F8F19" w:rsidRDefault="129F8F19" w14:paraId="2C1B06AC" w14:textId="5A32562C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</w:tr>
      <w:tr w:rsidR="129F8F19" w:rsidTr="129F8F19" w14:paraId="74C9EEE4">
        <w:trPr>
          <w:trHeight w:val="315"/>
        </w:trPr>
        <w:tc>
          <w:tcPr>
            <w:tcW w:w="788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9F8F19" w:rsidP="129F8F19" w:rsidRDefault="129F8F19" w14:paraId="1D262D26" w14:textId="2DF7A8C1">
            <w:pPr>
              <w:spacing w:before="0" w:beforeAutospacing="off" w:after="0" w:afterAutospacing="off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</w:pP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Question: Use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your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data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to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determine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if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there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is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more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variability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with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successful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or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unsuccessful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campaigns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.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Does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this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make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sense?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Why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or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>why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2B2B2B"/>
                <w:sz w:val="24"/>
                <w:szCs w:val="24"/>
                <w:u w:val="none"/>
              </w:rPr>
              <w:t xml:space="preserve"> not?</w:t>
            </w:r>
          </w:p>
        </w:tc>
      </w:tr>
      <w:tr w:rsidR="129F8F19" w:rsidTr="129F8F19" w14:paraId="43E06176">
        <w:trPr>
          <w:trHeight w:val="315"/>
        </w:trPr>
        <w:tc>
          <w:tcPr>
            <w:tcW w:w="563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9F8F19" w:rsidP="129F8F19" w:rsidRDefault="129F8F19" w14:paraId="35441485" w14:textId="6FF39A10">
            <w:pPr>
              <w:spacing w:before="0" w:beforeAutospacing="off" w:after="0" w:afterAutospacing="off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Answer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: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There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is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higher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variability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in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the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dataset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of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the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successful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campaignes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.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9F8F19" w:rsidP="129F8F19" w:rsidRDefault="129F8F19" w14:paraId="5D991E40" w14:textId="53B4D7C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9F8F19" w:rsidP="129F8F19" w:rsidRDefault="129F8F19" w14:paraId="645988EE" w14:textId="73E4CCA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</w:tr>
      <w:tr w:rsidR="129F8F19" w:rsidTr="129F8F19" w14:paraId="1095C850">
        <w:trPr>
          <w:trHeight w:val="315"/>
        </w:trPr>
        <w:tc>
          <w:tcPr>
            <w:tcW w:w="788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9F8F19" w:rsidP="129F8F19" w:rsidRDefault="129F8F19" w14:paraId="1CBCA9FD" w14:textId="5704565E">
            <w:pPr>
              <w:spacing w:before="0" w:beforeAutospacing="off" w:after="0" w:afterAutospacing="off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Considering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that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the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total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count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of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successful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campaign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backers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is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much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higher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than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the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failed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campaign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backers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it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makes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sense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that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there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is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more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variability</w:t>
            </w:r>
            <w:r w:rsidRPr="129F8F19" w:rsidR="129F8F1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.</w:t>
            </w:r>
          </w:p>
        </w:tc>
      </w:tr>
    </w:tbl>
    <w:p w:rsidR="129F8F19" w:rsidP="129F8F19" w:rsidRDefault="129F8F19" w14:paraId="76DBEC8C" w14:textId="5549C722">
      <w:pPr>
        <w:pStyle w:val="Normal"/>
        <w:rPr>
          <w:rFonts w:ascii="Arial Nova" w:hAnsi="Arial Nova" w:eastAsia="Arial Nova" w:cs="Arial Nova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a872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3265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135f4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EABD5"/>
    <w:rsid w:val="129F8F19"/>
    <w:rsid w:val="3E4EABD5"/>
    <w:rsid w:val="52E68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ABD5"/>
  <w15:chartTrackingRefBased/>
  <w15:docId w15:val="{8CB68E28-CCAD-4E4E-8153-DDCE5C4C81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a4efa2d22d646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2023-08-06T11:50:50.5026441Z</dcterms:created>
  <dcterms:modified xsi:type="dcterms:W3CDTF">2023-08-09T14:40:13.4556318Z</dcterms:modified>
  <dc:creator>Farheen Oomatia</dc:creator>
  <lastModifiedBy>Farheen Oomatia</lastModifiedBy>
</coreProperties>
</file>