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SB Schirmer Asset Management System</w:t>
      </w:r>
    </w:p>
    <w:p>
      <w:pPr>
        <w:jc w:val="center"/>
      </w:pPr>
      <w:r>
        <w:rPr>
          <w:b/>
          <w:color w:val="2F5597"/>
          <w:sz w:val="34"/>
        </w:rPr>
        <w:t>Phase 1 Closeout — Image Inventory Engine</w:t>
      </w:r>
    </w:p>
    <w:p>
      <w:pPr>
        <w:jc w:val="center"/>
      </w:pPr>
      <w:r>
        <w:rPr>
          <w:i/>
          <w:color w:val="5A5A5A"/>
          <w:sz w:val="21"/>
        </w:rPr>
        <w:t>Final production baseline and Phase 1 closeout record</w:t>
      </w: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tcPr>
          <w:p>
            <w:pPr>
              <w:jc w:val="center"/>
            </w:pPr>
            <w:r>
              <w:rPr>
                <w:b/>
                <w:color w:val="17365D"/>
                <w:sz w:val="23"/>
              </w:rPr>
              <w:t>PHASE 1 STATUS: FUNCTIONALLY COMPLETE AND PRODUCTION-VERIFIED</w:t>
            </w:r>
          </w:p>
          <w:p>
            <w:pPr>
              <w:jc w:val="center"/>
            </w:pPr>
            <w:r>
              <w:t>All 1,021 eligible images found across My Drive have been inventoried. The remaining exceptions are limited to 19 low-confidence manual-review rows and 8 technical image-data errors.</w:t>
            </w:r>
          </w:p>
        </w:tc>
      </w:tr>
    </w:tbl>
    <w:p>
      <w:pPr>
        <w:pStyle w:val="Heading1"/>
      </w:pPr>
      <w:r>
        <w:t>1. Purpose and Scope</w:t>
      </w:r>
    </w:p>
    <w:p>
      <w:r>
        <w:t>Phase 1 established a safe image-inventory system for SB Schirmer Co. The system scans Google Drive, identifies image files, analyzes supported images with OpenAI, and records one row per Drive image in the Google Sheet tab “Image Inventory.”</w:t>
      </w:r>
    </w:p>
    <w:p>
      <w:r>
        <w:t>Phase 1 is inventory-only. Original files remain untouched: no file is moved, renamed, deleted, duplicated, edited, or permission-changed by the system.</w:t>
      </w:r>
    </w:p>
    <w:tbl>
      <w:tblPr>
        <w:tblW w:type="auto" w:w="0"/>
        <w:jc w:val="center"/>
        <w:tblLayout w:type="fixed"/>
        <w:tblLook w:firstColumn="1" w:firstRow="1" w:lastColumn="0" w:lastRow="0" w:noHBand="0" w:noVBand="1" w:val="04A0"/>
      </w:tblPr>
      <w:tblGrid>
        <w:gridCol w:w="2016"/>
        <w:gridCol w:w="8208"/>
      </w:tblGrid>
      <w:tr>
        <w:tc>
          <w:tcPr>
            <w:tcW w:type="dxa" w:w="4968"/>
            <w:shd w:fill="D9E2F3"/>
            <w:tcMar>
              <w:top w:w="90" w:type="dxa"/>
              <w:start w:w="90" w:type="dxa"/>
              <w:bottom w:w="90" w:type="dxa"/>
              <w:end w:w="90" w:type="dxa"/>
            </w:tcMar>
            <w:vAlign w:val="center"/>
          </w:tcPr>
          <w:p>
            <w:r>
              <w:rPr>
                <w:b/>
              </w:rPr>
              <w:t>Scope</w:t>
            </w:r>
          </w:p>
        </w:tc>
        <w:tc>
          <w:tcPr>
            <w:tcW w:type="dxa" w:w="4968"/>
            <w:shd w:fill="D9E2F3"/>
            <w:tcMar>
              <w:top w:w="90" w:type="dxa"/>
              <w:start w:w="90" w:type="dxa"/>
              <w:bottom w:w="90" w:type="dxa"/>
              <w:end w:w="90" w:type="dxa"/>
            </w:tcMar>
            <w:vAlign w:val="center"/>
          </w:tcPr>
          <w:p>
            <w:r>
              <w:rPr>
                <w:b/>
              </w:rPr>
              <w:t>Definition</w:t>
            </w:r>
          </w:p>
        </w:tc>
      </w:tr>
      <w:tr>
        <w:tc>
          <w:tcPr>
            <w:tcW w:type="dxa" w:w="2016"/>
            <w:tcMar>
              <w:top w:w="90" w:type="dxa"/>
              <w:start w:w="90" w:type="dxa"/>
              <w:bottom w:w="90" w:type="dxa"/>
              <w:end w:w="90" w:type="dxa"/>
            </w:tcMar>
            <w:vAlign w:val="center"/>
          </w:tcPr>
          <w:p>
            <w:r>
              <w:rPr>
                <w:b/>
              </w:rPr>
              <w:t>Included</w:t>
            </w:r>
          </w:p>
        </w:tc>
        <w:tc>
          <w:tcPr>
            <w:tcW w:type="dxa" w:w="8208"/>
            <w:tcMar>
              <w:top w:w="90" w:type="dxa"/>
              <w:start w:w="90" w:type="dxa"/>
              <w:bottom w:w="90" w:type="dxa"/>
              <w:end w:w="90" w:type="dxa"/>
            </w:tcMar>
            <w:vAlign w:val="center"/>
          </w:tcPr>
          <w:p>
            <w:r>
              <w:t>Google Drive discovery, recursive folder scanning, Drive File ID duplicate control, AI image analysis, spreadsheet inventorying, resumable batching, automated continuation, diagnostics, recovery tooling.</w:t>
            </w:r>
          </w:p>
        </w:tc>
      </w:tr>
      <w:tr>
        <w:tc>
          <w:tcPr>
            <w:tcW w:type="dxa" w:w="2016"/>
            <w:tcMar>
              <w:top w:w="90" w:type="dxa"/>
              <w:start w:w="90" w:type="dxa"/>
              <w:bottom w:w="90" w:type="dxa"/>
              <w:end w:w="90" w:type="dxa"/>
            </w:tcMar>
            <w:vAlign w:val="center"/>
          </w:tcPr>
          <w:p>
            <w:r>
              <w:rPr>
                <w:b/>
              </w:rPr>
              <w:t>Excluded</w:t>
            </w:r>
          </w:p>
        </w:tc>
        <w:tc>
          <w:tcPr>
            <w:tcW w:type="dxa" w:w="8208"/>
            <w:tcMar>
              <w:top w:w="90" w:type="dxa"/>
              <w:start w:w="90" w:type="dxa"/>
              <w:bottom w:w="90" w:type="dxa"/>
              <w:end w:w="90" w:type="dxa"/>
            </w:tcMar>
            <w:vAlign w:val="center"/>
          </w:tcPr>
          <w:p>
            <w:r>
              <w:t>Organizing or moving originals, renaming files, deleting files, creating recipe/category folders, editing images, changing sharing permissions, or performing downstream marketing asset management.</w:t>
            </w:r>
          </w:p>
        </w:tc>
      </w:tr>
    </w:tbl>
    <w:p>
      <w:pPr>
        <w:pStyle w:val="Heading1"/>
      </w:pPr>
      <w:r>
        <w:t>2. Final Verified Production State</w:t>
      </w:r>
    </w:p>
    <w:p>
      <w:r>
        <w:t>The final production-state diagnostic returned the following inventory counts after all automation, recovery, and reclassification work was complete:</w:t>
      </w:r>
    </w:p>
    <w:tbl>
      <w:tblPr>
        <w:tblW w:type="auto" w:w="0"/>
        <w:jc w:val="center"/>
        <w:tblLayout w:type="fixed"/>
        <w:tblLook w:firstColumn="1" w:firstRow="1" w:lastColumn="0" w:lastRow="0" w:noHBand="0" w:noVBand="1" w:val="04A0"/>
      </w:tblPr>
      <w:tblGrid>
        <w:gridCol w:w="3168"/>
        <w:gridCol w:w="1728"/>
        <w:gridCol w:w="5328"/>
      </w:tblGrid>
      <w:tr>
        <w:tc>
          <w:tcPr>
            <w:tcW w:type="dxa" w:w="3312"/>
            <w:shd w:fill="D9E2F3"/>
            <w:tcMar>
              <w:top w:w="90" w:type="dxa"/>
              <w:start w:w="90" w:type="dxa"/>
              <w:bottom w:w="90" w:type="dxa"/>
              <w:end w:w="90" w:type="dxa"/>
            </w:tcMar>
            <w:vAlign w:val="center"/>
          </w:tcPr>
          <w:p>
            <w:r>
              <w:rPr>
                <w:b/>
              </w:rPr>
              <w:t>Status</w:t>
            </w:r>
          </w:p>
        </w:tc>
        <w:tc>
          <w:tcPr>
            <w:tcW w:type="dxa" w:w="3312"/>
            <w:shd w:fill="D9E2F3"/>
            <w:tcMar>
              <w:top w:w="90" w:type="dxa"/>
              <w:start w:w="90" w:type="dxa"/>
              <w:bottom w:w="90" w:type="dxa"/>
              <w:end w:w="90" w:type="dxa"/>
            </w:tcMar>
            <w:vAlign w:val="center"/>
          </w:tcPr>
          <w:p>
            <w:r>
              <w:rPr>
                <w:b/>
              </w:rPr>
              <w:t>Count</w:t>
            </w:r>
          </w:p>
        </w:tc>
        <w:tc>
          <w:tcPr>
            <w:tcW w:type="dxa" w:w="3312"/>
            <w:shd w:fill="D9E2F3"/>
            <w:tcMar>
              <w:top w:w="90" w:type="dxa"/>
              <w:start w:w="90" w:type="dxa"/>
              <w:bottom w:w="90" w:type="dxa"/>
              <w:end w:w="90" w:type="dxa"/>
            </w:tcMar>
            <w:vAlign w:val="center"/>
          </w:tcPr>
          <w:p>
            <w:r>
              <w:rPr>
                <w:b/>
              </w:rPr>
              <w:t>Closeout interpretation</w:t>
            </w:r>
          </w:p>
        </w:tc>
      </w:tr>
      <w:tr>
        <w:tc>
          <w:tcPr>
            <w:tcW w:type="dxa" w:w="3168"/>
            <w:tcMar>
              <w:top w:w="90" w:type="dxa"/>
              <w:start w:w="90" w:type="dxa"/>
              <w:bottom w:w="90" w:type="dxa"/>
              <w:end w:w="90" w:type="dxa"/>
            </w:tcMar>
            <w:vAlign w:val="center"/>
          </w:tcPr>
          <w:p>
            <w:r>
              <w:rPr>
                <w:b/>
              </w:rPr>
              <w:t>Complete</w:t>
            </w:r>
          </w:p>
        </w:tc>
        <w:tc>
          <w:tcPr>
            <w:tcW w:type="dxa" w:w="1728"/>
            <w:tcMar>
              <w:top w:w="90" w:type="dxa"/>
              <w:start w:w="90" w:type="dxa"/>
              <w:bottom w:w="90" w:type="dxa"/>
              <w:end w:w="90" w:type="dxa"/>
            </w:tcMar>
            <w:vAlign w:val="center"/>
          </w:tcPr>
          <w:p>
            <w:r>
              <w:t>994</w:t>
            </w:r>
          </w:p>
        </w:tc>
        <w:tc>
          <w:tcPr>
            <w:tcW w:type="dxa" w:w="5328"/>
            <w:tcMar>
              <w:top w:w="90" w:type="dxa"/>
              <w:start w:w="90" w:type="dxa"/>
              <w:bottom w:w="90" w:type="dxa"/>
              <w:end w:w="90" w:type="dxa"/>
            </w:tcMar>
            <w:vAlign w:val="center"/>
          </w:tcPr>
          <w:p>
            <w:r>
              <w:t>Successfully inventoried and analyzed.</w:t>
            </w:r>
          </w:p>
        </w:tc>
      </w:tr>
      <w:tr>
        <w:tc>
          <w:tcPr>
            <w:tcW w:type="dxa" w:w="3168"/>
            <w:tcMar>
              <w:top w:w="90" w:type="dxa"/>
              <w:start w:w="90" w:type="dxa"/>
              <w:bottom w:w="90" w:type="dxa"/>
              <w:end w:w="90" w:type="dxa"/>
            </w:tcMar>
            <w:vAlign w:val="center"/>
          </w:tcPr>
          <w:p>
            <w:r>
              <w:rPr>
                <w:b/>
              </w:rPr>
              <w:t>Review Required</w:t>
            </w:r>
          </w:p>
        </w:tc>
        <w:tc>
          <w:tcPr>
            <w:tcW w:type="dxa" w:w="1728"/>
            <w:tcMar>
              <w:top w:w="90" w:type="dxa"/>
              <w:start w:w="90" w:type="dxa"/>
              <w:bottom w:w="90" w:type="dxa"/>
              <w:end w:w="90" w:type="dxa"/>
            </w:tcMar>
            <w:vAlign w:val="center"/>
          </w:tcPr>
          <w:p>
            <w:r>
              <w:t>19</w:t>
            </w:r>
          </w:p>
        </w:tc>
        <w:tc>
          <w:tcPr>
            <w:tcW w:type="dxa" w:w="5328"/>
            <w:tcMar>
              <w:top w:w="90" w:type="dxa"/>
              <w:start w:w="90" w:type="dxa"/>
              <w:bottom w:w="90" w:type="dxa"/>
              <w:end w:w="90" w:type="dxa"/>
            </w:tcMar>
            <w:vAlign w:val="center"/>
          </w:tcPr>
          <w:p>
            <w:r>
              <w:t>All 19 are low-confidence cases; retained for later manual review.</w:t>
            </w:r>
          </w:p>
        </w:tc>
      </w:tr>
      <w:tr>
        <w:tc>
          <w:tcPr>
            <w:tcW w:type="dxa" w:w="3168"/>
            <w:tcMar>
              <w:top w:w="90" w:type="dxa"/>
              <w:start w:w="90" w:type="dxa"/>
              <w:bottom w:w="90" w:type="dxa"/>
              <w:end w:w="90" w:type="dxa"/>
            </w:tcMar>
            <w:vAlign w:val="center"/>
          </w:tcPr>
          <w:p>
            <w:r>
              <w:rPr>
                <w:b/>
              </w:rPr>
              <w:t>Error</w:t>
            </w:r>
          </w:p>
        </w:tc>
        <w:tc>
          <w:tcPr>
            <w:tcW w:type="dxa" w:w="1728"/>
            <w:tcMar>
              <w:top w:w="90" w:type="dxa"/>
              <w:start w:w="90" w:type="dxa"/>
              <w:bottom w:w="90" w:type="dxa"/>
              <w:end w:w="90" w:type="dxa"/>
            </w:tcMar>
            <w:vAlign w:val="center"/>
          </w:tcPr>
          <w:p>
            <w:r>
              <w:t>8</w:t>
            </w:r>
          </w:p>
        </w:tc>
        <w:tc>
          <w:tcPr>
            <w:tcW w:type="dxa" w:w="5328"/>
            <w:tcMar>
              <w:top w:w="90" w:type="dxa"/>
              <w:start w:w="90" w:type="dxa"/>
              <w:bottom w:w="90" w:type="dxa"/>
              <w:end w:w="90" w:type="dxa"/>
            </w:tcMar>
            <w:vAlign w:val="center"/>
          </w:tcPr>
          <w:p>
            <w:r>
              <w:t>All 8 are the same OpenAI HTTP 400 invalid-image-data exception.</w:t>
            </w:r>
          </w:p>
        </w:tc>
      </w:tr>
      <w:tr>
        <w:tc>
          <w:tcPr>
            <w:tcW w:type="dxa" w:w="3168"/>
            <w:tcMar>
              <w:top w:w="90" w:type="dxa"/>
              <w:start w:w="90" w:type="dxa"/>
              <w:bottom w:w="90" w:type="dxa"/>
              <w:end w:w="90" w:type="dxa"/>
            </w:tcMar>
            <w:vAlign w:val="center"/>
          </w:tcPr>
          <w:p>
            <w:r>
              <w:rPr>
                <w:b/>
              </w:rPr>
              <w:t>Pending Analysis</w:t>
            </w:r>
          </w:p>
        </w:tc>
        <w:tc>
          <w:tcPr>
            <w:tcW w:type="dxa" w:w="1728"/>
            <w:tcMar>
              <w:top w:w="90" w:type="dxa"/>
              <w:start w:w="90" w:type="dxa"/>
              <w:bottom w:w="90" w:type="dxa"/>
              <w:end w:w="90" w:type="dxa"/>
            </w:tcMar>
            <w:vAlign w:val="center"/>
          </w:tcPr>
          <w:p>
            <w:r>
              <w:t>0</w:t>
            </w:r>
          </w:p>
        </w:tc>
        <w:tc>
          <w:tcPr>
            <w:tcW w:type="dxa" w:w="5328"/>
            <w:tcMar>
              <w:top w:w="90" w:type="dxa"/>
              <w:start w:w="90" w:type="dxa"/>
              <w:bottom w:w="90" w:type="dxa"/>
              <w:end w:w="90" w:type="dxa"/>
            </w:tcMar>
            <w:vAlign w:val="center"/>
          </w:tcPr>
          <w:p>
            <w:r>
              <w:t>No unfinished analysis queue remains.</w:t>
            </w:r>
          </w:p>
        </w:tc>
      </w:tr>
      <w:tr>
        <w:tc>
          <w:tcPr>
            <w:tcW w:type="dxa" w:w="3168"/>
            <w:tcMar>
              <w:top w:w="90" w:type="dxa"/>
              <w:start w:w="90" w:type="dxa"/>
              <w:bottom w:w="90" w:type="dxa"/>
              <w:end w:w="90" w:type="dxa"/>
            </w:tcMar>
            <w:vAlign w:val="center"/>
          </w:tcPr>
          <w:p>
            <w:r>
              <w:rPr>
                <w:b/>
              </w:rPr>
              <w:t>Analyzing</w:t>
            </w:r>
          </w:p>
        </w:tc>
        <w:tc>
          <w:tcPr>
            <w:tcW w:type="dxa" w:w="1728"/>
            <w:tcMar>
              <w:top w:w="90" w:type="dxa"/>
              <w:start w:w="90" w:type="dxa"/>
              <w:bottom w:w="90" w:type="dxa"/>
              <w:end w:w="90" w:type="dxa"/>
            </w:tcMar>
            <w:vAlign w:val="center"/>
          </w:tcPr>
          <w:p>
            <w:r>
              <w:t>0</w:t>
            </w:r>
          </w:p>
        </w:tc>
        <w:tc>
          <w:tcPr>
            <w:tcW w:type="dxa" w:w="5328"/>
            <w:tcMar>
              <w:top w:w="90" w:type="dxa"/>
              <w:start w:w="90" w:type="dxa"/>
              <w:bottom w:w="90" w:type="dxa"/>
              <w:end w:w="90" w:type="dxa"/>
            </w:tcMar>
            <w:vAlign w:val="center"/>
          </w:tcPr>
          <w:p>
            <w:r>
              <w:t>No stranded in-progress rows remain.</w:t>
            </w:r>
          </w:p>
        </w:tc>
      </w:tr>
      <w:tr>
        <w:tc>
          <w:tcPr>
            <w:tcW w:type="dxa" w:w="3168"/>
            <w:tcMar>
              <w:top w:w="90" w:type="dxa"/>
              <w:start w:w="90" w:type="dxa"/>
              <w:bottom w:w="90" w:type="dxa"/>
              <w:end w:w="90" w:type="dxa"/>
            </w:tcMar>
            <w:vAlign w:val="center"/>
          </w:tcPr>
          <w:p>
            <w:r>
              <w:rPr>
                <w:b/>
              </w:rPr>
              <w:t>Skipped / Other</w:t>
            </w:r>
          </w:p>
        </w:tc>
        <w:tc>
          <w:tcPr>
            <w:tcW w:type="dxa" w:w="1728"/>
            <w:tcMar>
              <w:top w:w="90" w:type="dxa"/>
              <w:start w:w="90" w:type="dxa"/>
              <w:bottom w:w="90" w:type="dxa"/>
              <w:end w:w="90" w:type="dxa"/>
            </w:tcMar>
            <w:vAlign w:val="center"/>
          </w:tcPr>
          <w:p>
            <w:r>
              <w:t>0</w:t>
            </w:r>
          </w:p>
        </w:tc>
        <w:tc>
          <w:tcPr>
            <w:tcW w:type="dxa" w:w="5328"/>
            <w:tcMar>
              <w:top w:w="90" w:type="dxa"/>
              <w:start w:w="90" w:type="dxa"/>
              <w:bottom w:w="90" w:type="dxa"/>
              <w:end w:w="90" w:type="dxa"/>
            </w:tcMar>
            <w:vAlign w:val="center"/>
          </w:tcPr>
          <w:p>
            <w:r>
              <w:t>No unresolved miscellaneous states remain.</w:t>
            </w:r>
          </w:p>
        </w:tc>
      </w:tr>
      <w:tr>
        <w:tc>
          <w:tcPr>
            <w:tcW w:type="dxa" w:w="3168"/>
            <w:tcMar>
              <w:top w:w="90" w:type="dxa"/>
              <w:start w:w="90" w:type="dxa"/>
              <w:bottom w:w="90" w:type="dxa"/>
              <w:end w:w="90" w:type="dxa"/>
            </w:tcMar>
            <w:vAlign w:val="center"/>
          </w:tcPr>
          <w:p>
            <w:r>
              <w:rPr>
                <w:b/>
              </w:rPr>
              <w:t>Total</w:t>
            </w:r>
          </w:p>
        </w:tc>
        <w:tc>
          <w:tcPr>
            <w:tcW w:type="dxa" w:w="1728"/>
            <w:tcMar>
              <w:top w:w="90" w:type="dxa"/>
              <w:start w:w="90" w:type="dxa"/>
              <w:bottom w:w="90" w:type="dxa"/>
              <w:end w:w="90" w:type="dxa"/>
            </w:tcMar>
            <w:vAlign w:val="center"/>
          </w:tcPr>
          <w:p>
            <w:r>
              <w:t>1,021</w:t>
            </w:r>
          </w:p>
        </w:tc>
        <w:tc>
          <w:tcPr>
            <w:tcW w:type="dxa" w:w="5328"/>
            <w:tcMar>
              <w:top w:w="90" w:type="dxa"/>
              <w:start w:w="90" w:type="dxa"/>
              <w:bottom w:w="90" w:type="dxa"/>
              <w:end w:w="90" w:type="dxa"/>
            </w:tcMar>
            <w:vAlign w:val="center"/>
          </w:tcPr>
          <w:p>
            <w:r>
              <w:t>Matches the final Drive coverage diagnostic.</w:t>
            </w:r>
          </w:p>
        </w:tc>
      </w:tr>
    </w:tbl>
    <w:p>
      <w:r>
        <w:t>Coverage verification: the final read-only Drive diagnostic reported 1,021 eligible images found, 1,021 already inventoried, and 0 not inventoried.</w:t>
      </w:r>
    </w:p>
    <w:p>
      <w:pPr>
        <w:pStyle w:val="Heading1"/>
      </w:pPr>
      <w:r>
        <w:t>3. Production Operating Behavior</w:t>
      </w:r>
    </w:p>
    <w:p>
      <w:pPr>
        <w:pStyle w:val="ListBullet"/>
        <w:spacing w:after="40"/>
      </w:pPr>
      <w:r>
        <w:t>Production discovery starts at Google My Drive and recursively scans subfolders.</w:t>
      </w:r>
    </w:p>
    <w:p>
      <w:pPr>
        <w:pStyle w:val="ListBullet"/>
        <w:spacing w:after="40"/>
      </w:pPr>
      <w:r>
        <w:t>Drive File ID is the duplicate-control key. Existing Drive File IDs are skipped.</w:t>
      </w:r>
    </w:p>
    <w:p>
      <w:pPr>
        <w:pStyle w:val="ListBullet"/>
        <w:spacing w:after="40"/>
      </w:pPr>
      <w:r>
        <w:t>Discovery is limited to 25 new images per inventory cycle using SB_CONFIG.MAX_IMAGES_PER_SESSION.</w:t>
      </w:r>
    </w:p>
    <w:p>
      <w:pPr>
        <w:pStyle w:val="ListBullet"/>
        <w:spacing w:after="40"/>
      </w:pPr>
      <w:r>
        <w:t>Analysis is limited to 5 images per analysis batch using SB_CONFIG.ANALYSIS_BATCH_SIZE.</w:t>
      </w:r>
    </w:p>
    <w:p>
      <w:pPr>
        <w:pStyle w:val="ListBullet"/>
        <w:spacing w:after="40"/>
      </w:pPr>
      <w:r>
        <w:t>If pending analysis remains, new discovery is deferred until the current analysis queue is drained.</w:t>
      </w:r>
    </w:p>
    <w:p>
      <w:pPr>
        <w:pStyle w:val="ListBullet"/>
        <w:spacing w:after="40"/>
      </w:pPr>
      <w:r>
        <w:t>Continuation triggers automatically call runInventoryAutomation so the system can continue unattended.</w:t>
      </w:r>
    </w:p>
    <w:p>
      <w:pPr>
        <w:pStyle w:val="ListBullet"/>
        <w:spacing w:after="40"/>
      </w:pPr>
      <w:r>
        <w:t>When the current 25-image session is finished, the automation returns to My Drive for the next discovery batch.</w:t>
      </w:r>
    </w:p>
    <w:p>
      <w:pPr>
        <w:pStyle w:val="ListBullet"/>
        <w:spacing w:after="40"/>
      </w:pPr>
      <w:r>
        <w:t>When no pending work and no new images remain, the automation stops cleanly.</w:t>
      </w:r>
    </w:p>
    <w:p>
      <w:pPr>
        <w:jc w:val="center"/>
      </w:pPr>
      <w:r>
        <w:rPr>
          <w:b/>
          <w:color w:val="2F5597"/>
        </w:rPr>
        <w:t>My Drive scan → up to 25 new rows → analyze 5 → auto-continue → finish 25 → scan again → repeat until complete</w:t>
      </w:r>
    </w:p>
    <w:p>
      <w:pPr>
        <w:pStyle w:val="Heading1"/>
      </w:pPr>
      <w:r>
        <w:t>4. Reliability Hardening Completed</w:t>
      </w:r>
    </w:p>
    <w:tbl>
      <w:tblPr>
        <w:tblW w:type="auto" w:w="0"/>
        <w:jc w:val="center"/>
        <w:tblLayout w:type="fixed"/>
        <w:tblLook w:firstColumn="1" w:firstRow="1" w:lastColumn="0" w:lastRow="0" w:noHBand="0" w:noVBand="1" w:val="04A0"/>
      </w:tblPr>
      <w:tblGrid>
        <w:gridCol w:w="2880"/>
        <w:gridCol w:w="7344"/>
      </w:tblGrid>
      <w:tr>
        <w:tc>
          <w:tcPr>
            <w:tcW w:type="dxa" w:w="4968"/>
            <w:shd w:fill="D9E2F3"/>
            <w:tcMar>
              <w:top w:w="90" w:type="dxa"/>
              <w:start w:w="90" w:type="dxa"/>
              <w:bottom w:w="90" w:type="dxa"/>
              <w:end w:w="90" w:type="dxa"/>
            </w:tcMar>
          </w:tcPr>
          <w:p>
            <w:r>
              <w:rPr>
                <w:b/>
              </w:rPr>
              <w:t>Reliability area</w:t>
            </w:r>
          </w:p>
        </w:tc>
        <w:tc>
          <w:tcPr>
            <w:tcW w:type="dxa" w:w="4968"/>
            <w:shd w:fill="D9E2F3"/>
            <w:tcMar>
              <w:top w:w="90" w:type="dxa"/>
              <w:start w:w="90" w:type="dxa"/>
              <w:bottom w:w="90" w:type="dxa"/>
              <w:end w:w="90" w:type="dxa"/>
            </w:tcMar>
          </w:tcPr>
          <w:p>
            <w:r>
              <w:rPr>
                <w:b/>
              </w:rPr>
              <w:t>Verified outcome</w:t>
            </w:r>
          </w:p>
        </w:tc>
      </w:tr>
      <w:tr>
        <w:tc>
          <w:tcPr>
            <w:tcW w:type="dxa" w:w="2880"/>
            <w:tcMar>
              <w:top w:w="90" w:type="dxa"/>
              <w:start w:w="90" w:type="dxa"/>
              <w:bottom w:w="90" w:type="dxa"/>
              <w:end w:w="90" w:type="dxa"/>
            </w:tcMar>
            <w:vAlign w:val="center"/>
          </w:tcPr>
          <w:p>
            <w:r>
              <w:rPr>
                <w:b/>
              </w:rPr>
              <w:t>OpenAI response reliability</w:t>
            </w:r>
          </w:p>
        </w:tc>
        <w:tc>
          <w:tcPr>
            <w:tcW w:type="dxa" w:w="7344"/>
            <w:tcMar>
              <w:top w:w="90" w:type="dxa"/>
              <w:start w:w="90" w:type="dxa"/>
              <w:bottom w:w="90" w:type="dxa"/>
              <w:end w:w="90" w:type="dxa"/>
            </w:tcMar>
            <w:vAlign w:val="center"/>
          </w:tcPr>
          <w:p>
            <w:r>
              <w:t>Output token allowance increased and incomplete-response handling added; five-image production tests subsequently passed.</w:t>
            </w:r>
          </w:p>
        </w:tc>
      </w:tr>
      <w:tr>
        <w:tc>
          <w:tcPr>
            <w:tcW w:type="dxa" w:w="2880"/>
            <w:tcMar>
              <w:top w:w="90" w:type="dxa"/>
              <w:start w:w="90" w:type="dxa"/>
              <w:bottom w:w="90" w:type="dxa"/>
              <w:end w:w="90" w:type="dxa"/>
            </w:tcMar>
            <w:vAlign w:val="center"/>
          </w:tcPr>
          <w:p>
            <w:r>
              <w:rPr>
                <w:b/>
              </w:rPr>
              <w:t>Meal validation reliability</w:t>
            </w:r>
          </w:p>
        </w:tc>
        <w:tc>
          <w:tcPr>
            <w:tcW w:type="dxa" w:w="7344"/>
            <w:tcMar>
              <w:top w:w="90" w:type="dxa"/>
              <w:start w:w="90" w:type="dxa"/>
              <w:bottom w:w="90" w:type="dxa"/>
              <w:end w:w="90" w:type="dxa"/>
            </w:tcMar>
            <w:vAlign w:val="center"/>
          </w:tcPr>
          <w:p>
            <w:r>
              <w:t>Meal dropdown mismatch was corrected so valid values no longer fail spreadsheet validation.</w:t>
            </w:r>
          </w:p>
        </w:tc>
      </w:tr>
      <w:tr>
        <w:tc>
          <w:tcPr>
            <w:tcW w:type="dxa" w:w="2880"/>
            <w:tcMar>
              <w:top w:w="90" w:type="dxa"/>
              <w:start w:w="90" w:type="dxa"/>
              <w:bottom w:w="90" w:type="dxa"/>
              <w:end w:w="90" w:type="dxa"/>
            </w:tcMar>
            <w:vAlign w:val="center"/>
          </w:tcPr>
          <w:p>
            <w:r>
              <w:rPr>
                <w:b/>
              </w:rPr>
              <w:t>Stale row recovery</w:t>
            </w:r>
          </w:p>
        </w:tc>
        <w:tc>
          <w:tcPr>
            <w:tcW w:type="dxa" w:w="7344"/>
            <w:tcMar>
              <w:top w:w="90" w:type="dxa"/>
              <w:start w:w="90" w:type="dxa"/>
              <w:bottom w:w="90" w:type="dxa"/>
              <w:end w:w="90" w:type="dxa"/>
            </w:tcMar>
            <w:vAlign w:val="center"/>
          </w:tcPr>
          <w:p>
            <w:r>
              <w:t>Rows stranded in Analyzing can be returned safely to Pending Analysis through the recovery helper.</w:t>
            </w:r>
          </w:p>
        </w:tc>
      </w:tr>
      <w:tr>
        <w:tc>
          <w:tcPr>
            <w:tcW w:type="dxa" w:w="2880"/>
            <w:tcMar>
              <w:top w:w="90" w:type="dxa"/>
              <w:start w:w="90" w:type="dxa"/>
              <w:bottom w:w="90" w:type="dxa"/>
              <w:end w:w="90" w:type="dxa"/>
            </w:tcMar>
            <w:vAlign w:val="center"/>
          </w:tcPr>
          <w:p>
            <w:r>
              <w:rPr>
                <w:b/>
              </w:rPr>
              <w:t>Resume-first automation</w:t>
            </w:r>
          </w:p>
        </w:tc>
        <w:tc>
          <w:tcPr>
            <w:tcW w:type="dxa" w:w="7344"/>
            <w:tcMar>
              <w:top w:w="90" w:type="dxa"/>
              <w:start w:w="90" w:type="dxa"/>
              <w:bottom w:w="90" w:type="dxa"/>
              <w:end w:w="90" w:type="dxa"/>
            </w:tcMar>
            <w:vAlign w:val="center"/>
          </w:tcPr>
          <w:p>
            <w:r>
              <w:t>Existing pending work is processed before new discovery, preventing the queue from growing while unfinished rows remain.</w:t>
            </w:r>
          </w:p>
        </w:tc>
      </w:tr>
      <w:tr>
        <w:tc>
          <w:tcPr>
            <w:tcW w:type="dxa" w:w="2880"/>
            <w:tcMar>
              <w:top w:w="90" w:type="dxa"/>
              <w:start w:w="90" w:type="dxa"/>
              <w:bottom w:w="90" w:type="dxa"/>
              <w:end w:w="90" w:type="dxa"/>
            </w:tcMar>
            <w:vAlign w:val="center"/>
          </w:tcPr>
          <w:p>
            <w:r>
              <w:rPr>
                <w:b/>
              </w:rPr>
              <w:t>Whole-Drive coverage</w:t>
            </w:r>
          </w:p>
        </w:tc>
        <w:tc>
          <w:tcPr>
            <w:tcW w:type="dxa" w:w="7344"/>
            <w:tcMar>
              <w:top w:w="90" w:type="dxa"/>
              <w:start w:w="90" w:type="dxa"/>
              <w:bottom w:w="90" w:type="dxa"/>
              <w:end w:w="90" w:type="dxa"/>
            </w:tcMar>
            <w:vAlign w:val="center"/>
          </w:tcPr>
          <w:p>
            <w:r>
              <w:t>Production and coverage diagnostics now scan My Drive rather than a single test folder.</w:t>
            </w:r>
          </w:p>
        </w:tc>
      </w:tr>
      <w:tr>
        <w:tc>
          <w:tcPr>
            <w:tcW w:type="dxa" w:w="2880"/>
            <w:tcMar>
              <w:top w:w="90" w:type="dxa"/>
              <w:start w:w="90" w:type="dxa"/>
              <w:bottom w:w="90" w:type="dxa"/>
              <w:end w:w="90" w:type="dxa"/>
            </w:tcMar>
            <w:vAlign w:val="center"/>
          </w:tcPr>
          <w:p>
            <w:r>
              <w:rPr>
                <w:b/>
              </w:rPr>
              <w:t>Discovery batching</w:t>
            </w:r>
          </w:p>
        </w:tc>
        <w:tc>
          <w:tcPr>
            <w:tcW w:type="dxa" w:w="7344"/>
            <w:tcMar>
              <w:top w:w="90" w:type="dxa"/>
              <w:start w:w="90" w:type="dxa"/>
              <w:bottom w:w="90" w:type="dxa"/>
              <w:end w:w="90" w:type="dxa"/>
            </w:tcMar>
            <w:vAlign w:val="center"/>
          </w:tcPr>
          <w:p>
            <w:r>
              <w:t>Production discovery is capped at 25 new images per cycle instead of adding the full backlog at once.</w:t>
            </w:r>
          </w:p>
        </w:tc>
      </w:tr>
      <w:tr>
        <w:tc>
          <w:tcPr>
            <w:tcW w:type="dxa" w:w="2880"/>
            <w:tcMar>
              <w:top w:w="90" w:type="dxa"/>
              <w:start w:w="90" w:type="dxa"/>
              <w:bottom w:w="90" w:type="dxa"/>
              <w:end w:w="90" w:type="dxa"/>
            </w:tcMar>
            <w:vAlign w:val="center"/>
          </w:tcPr>
          <w:p>
            <w:r>
              <w:rPr>
                <w:b/>
              </w:rPr>
              <w:t>Review Required logic</w:t>
            </w:r>
          </w:p>
        </w:tc>
        <w:tc>
          <w:tcPr>
            <w:tcW w:type="dxa" w:w="7344"/>
            <w:tcMar>
              <w:top w:w="90" w:type="dxa"/>
              <w:start w:w="90" w:type="dxa"/>
              <w:bottom w:w="90" w:type="dxa"/>
              <w:end w:w="90" w:type="dxa"/>
            </w:tcMar>
            <w:vAlign w:val="center"/>
          </w:tcPr>
          <w:p>
            <w:r>
              <w:t>Unknown recipe alone no longer forces Review Required. Low confidence remains the review trigger.</w:t>
            </w:r>
          </w:p>
        </w:tc>
      </w:tr>
      <w:tr>
        <w:tc>
          <w:tcPr>
            <w:tcW w:type="dxa" w:w="2880"/>
            <w:tcMar>
              <w:top w:w="90" w:type="dxa"/>
              <w:start w:w="90" w:type="dxa"/>
              <w:bottom w:w="90" w:type="dxa"/>
              <w:end w:w="90" w:type="dxa"/>
            </w:tcMar>
            <w:vAlign w:val="center"/>
          </w:tcPr>
          <w:p>
            <w:r>
              <w:rPr>
                <w:b/>
              </w:rPr>
              <w:t>Quota recovery</w:t>
            </w:r>
          </w:p>
        </w:tc>
        <w:tc>
          <w:tcPr>
            <w:tcW w:type="dxa" w:w="7344"/>
            <w:tcMar>
              <w:top w:w="90" w:type="dxa"/>
              <w:start w:w="90" w:type="dxa"/>
              <w:bottom w:w="90" w:type="dxa"/>
              <w:end w:w="90" w:type="dxa"/>
            </w:tcMar>
            <w:vAlign w:val="center"/>
          </w:tcPr>
          <w:p>
            <w:r>
              <w:t>A dedicated helper can restore rows that were previously marked Error because of insufficient_quota.</w:t>
            </w:r>
          </w:p>
        </w:tc>
      </w:tr>
      <w:tr>
        <w:tc>
          <w:tcPr>
            <w:tcW w:type="dxa" w:w="2880"/>
            <w:tcMar>
              <w:top w:w="90" w:type="dxa"/>
              <w:start w:w="90" w:type="dxa"/>
              <w:bottom w:w="90" w:type="dxa"/>
              <w:end w:w="90" w:type="dxa"/>
            </w:tcMar>
            <w:vAlign w:val="center"/>
          </w:tcPr>
          <w:p>
            <w:r>
              <w:rPr>
                <w:b/>
              </w:rPr>
              <w:t>Quota safe-stop</w:t>
            </w:r>
          </w:p>
        </w:tc>
        <w:tc>
          <w:tcPr>
            <w:tcW w:type="dxa" w:w="7344"/>
            <w:tcMar>
              <w:top w:w="90" w:type="dxa"/>
              <w:start w:w="90" w:type="dxa"/>
              <w:bottom w:w="90" w:type="dxa"/>
              <w:end w:w="90" w:type="dxa"/>
            </w:tcMar>
            <w:vAlign w:val="center"/>
          </w:tcPr>
          <w:p>
            <w:r>
              <w:t>A live production fix now detects insufficient_quota, restores the current row to Pending Analysis, removes continuation triggers, and stops the batch immediately.</w:t>
            </w:r>
          </w:p>
        </w:tc>
      </w:tr>
      <w:tr>
        <w:tc>
          <w:tcPr>
            <w:tcW w:type="dxa" w:w="2880"/>
            <w:tcMar>
              <w:top w:w="90" w:type="dxa"/>
              <w:start w:w="90" w:type="dxa"/>
              <w:bottom w:w="90" w:type="dxa"/>
              <w:end w:w="90" w:type="dxa"/>
            </w:tcMar>
            <w:vAlign w:val="center"/>
          </w:tcPr>
          <w:p>
            <w:r>
              <w:rPr>
                <w:b/>
              </w:rPr>
              <w:t>Quota safe-stop verification</w:t>
            </w:r>
          </w:p>
        </w:tc>
        <w:tc>
          <w:tcPr>
            <w:tcW w:type="dxa" w:w="7344"/>
            <w:tcMar>
              <w:top w:w="90" w:type="dxa"/>
              <w:start w:w="90" w:type="dxa"/>
              <w:bottom w:w="90" w:type="dxa"/>
              <w:end w:w="90" w:type="dxa"/>
            </w:tcMar>
            <w:vAlign w:val="center"/>
          </w:tcPr>
          <w:p>
            <w:r>
              <w:t>A self-contained simulated test verified that quota exhaustion leaves the test row Pending Analysis and pauses processing safely without calling OpenAI.</w:t>
            </w:r>
          </w:p>
        </w:tc>
      </w:tr>
    </w:tbl>
    <w:p>
      <w:pPr>
        <w:pStyle w:val="Heading1"/>
      </w:pPr>
      <w:r>
        <w:t>5. Known Exceptions and Deferred Manual Work</w:t>
      </w:r>
    </w:p>
    <w:p>
      <w:pPr>
        <w:pStyle w:val="Heading2"/>
      </w:pPr>
      <w:r>
        <w:t>19 Review Required rows</w:t>
      </w:r>
    </w:p>
    <w:p>
      <w:r>
        <w:t>These are the only rows still requiring human judgment. Diagnostic breakdown: 4 are Low confidence only and 15 are both Low confidence and Unknown recipe. Their quality distribution is 14 Poor, 4 Usable, 1 Good, and 0 Excellent. Manual review may be completed later and does not block Phase 1 closeout.</w:t>
      </w:r>
    </w:p>
    <w:p>
      <w:pPr>
        <w:pStyle w:val="Heading2"/>
      </w:pPr>
      <w:r>
        <w:t>8 technical image-data errors</w:t>
      </w:r>
    </w:p>
    <w:p>
      <w:r>
        <w:t>All 8 Error rows share the same OpenAI HTTP 400 invalid-image-data condition. They are inventoried in the Sheet but could not be decoded by the API as valid image data. These exceptions are parked for later investigation and do not block Phase 1 closeout.</w:t>
      </w:r>
    </w:p>
    <w:p>
      <w:pPr>
        <w:pStyle w:val="Heading1"/>
      </w:pPr>
      <w:r>
        <w:t>6. Operating and Recovery Procedures</w:t>
      </w:r>
    </w:p>
    <w:tbl>
      <w:tblPr>
        <w:tblW w:type="auto" w:w="0"/>
        <w:jc w:val="center"/>
        <w:tblLayout w:type="fixed"/>
        <w:tblLook w:firstColumn="1" w:firstRow="1" w:lastColumn="0" w:lastRow="0" w:noHBand="0" w:noVBand="1" w:val="04A0"/>
      </w:tblPr>
      <w:tblGrid>
        <w:gridCol w:w="2880"/>
        <w:gridCol w:w="7344"/>
      </w:tblGrid>
      <w:tr>
        <w:tc>
          <w:tcPr>
            <w:tcW w:type="dxa" w:w="4968"/>
            <w:shd w:fill="D9E2F3"/>
            <w:tcMar>
              <w:top w:w="90" w:type="dxa"/>
              <w:start w:w="90" w:type="dxa"/>
              <w:bottom w:w="90" w:type="dxa"/>
              <w:end w:w="90" w:type="dxa"/>
            </w:tcMar>
          </w:tcPr>
          <w:p>
            <w:r>
              <w:rPr>
                <w:b/>
              </w:rPr>
              <w:t>Situation</w:t>
            </w:r>
          </w:p>
        </w:tc>
        <w:tc>
          <w:tcPr>
            <w:tcW w:type="dxa" w:w="4968"/>
            <w:shd w:fill="D9E2F3"/>
            <w:tcMar>
              <w:top w:w="90" w:type="dxa"/>
              <w:start w:w="90" w:type="dxa"/>
              <w:bottom w:w="90" w:type="dxa"/>
              <w:end w:w="90" w:type="dxa"/>
            </w:tcMar>
          </w:tcPr>
          <w:p>
            <w:r>
              <w:rPr>
                <w:b/>
              </w:rPr>
              <w:t>Action</w:t>
            </w:r>
          </w:p>
        </w:tc>
      </w:tr>
      <w:tr>
        <w:tc>
          <w:tcPr>
            <w:tcW w:type="dxa" w:w="2880"/>
            <w:tcMar>
              <w:top w:w="90" w:type="dxa"/>
              <w:start w:w="90" w:type="dxa"/>
              <w:bottom w:w="90" w:type="dxa"/>
              <w:end w:w="90" w:type="dxa"/>
            </w:tcMar>
            <w:vAlign w:val="center"/>
          </w:tcPr>
          <w:p>
            <w:r>
              <w:rPr>
                <w:b/>
              </w:rPr>
              <w:t>Normal start</w:t>
            </w:r>
          </w:p>
        </w:tc>
        <w:tc>
          <w:tcPr>
            <w:tcW w:type="dxa" w:w="7344"/>
            <w:tcMar>
              <w:top w:w="90" w:type="dxa"/>
              <w:start w:w="90" w:type="dxa"/>
              <w:bottom w:w="90" w:type="dxa"/>
              <w:end w:w="90" w:type="dxa"/>
            </w:tcMar>
            <w:vAlign w:val="center"/>
          </w:tcPr>
          <w:p>
            <w:r>
              <w:t>Run runInventoryAutomation once. Allow scheduled continuation to proceed without manually starting additional batches.</w:t>
            </w:r>
          </w:p>
        </w:tc>
      </w:tr>
      <w:tr>
        <w:tc>
          <w:tcPr>
            <w:tcW w:type="dxa" w:w="2880"/>
            <w:tcMar>
              <w:top w:w="90" w:type="dxa"/>
              <w:start w:w="90" w:type="dxa"/>
              <w:bottom w:w="90" w:type="dxa"/>
              <w:end w:w="90" w:type="dxa"/>
            </w:tcMar>
            <w:vAlign w:val="center"/>
          </w:tcPr>
          <w:p>
            <w:r>
              <w:rPr>
                <w:b/>
              </w:rPr>
              <w:t>Stale Analyzing rows</w:t>
            </w:r>
          </w:p>
        </w:tc>
        <w:tc>
          <w:tcPr>
            <w:tcW w:type="dxa" w:w="7344"/>
            <w:tcMar>
              <w:top w:w="90" w:type="dxa"/>
              <w:start w:w="90" w:type="dxa"/>
              <w:bottom w:w="90" w:type="dxa"/>
              <w:end w:w="90" w:type="dxa"/>
            </w:tcMar>
            <w:vAlign w:val="center"/>
          </w:tcPr>
          <w:p>
            <w:r>
              <w:t>Run recoverStaleAnalyzingRows if a prior interruption left rows marked Analyzing.</w:t>
            </w:r>
          </w:p>
        </w:tc>
      </w:tr>
      <w:tr>
        <w:tc>
          <w:tcPr>
            <w:tcW w:type="dxa" w:w="2880"/>
            <w:tcMar>
              <w:top w:w="90" w:type="dxa"/>
              <w:start w:w="90" w:type="dxa"/>
              <w:bottom w:w="90" w:type="dxa"/>
              <w:end w:w="90" w:type="dxa"/>
            </w:tcMar>
            <w:vAlign w:val="center"/>
          </w:tcPr>
          <w:p>
            <w:r>
              <w:rPr>
                <w:b/>
              </w:rPr>
              <w:t>Previous quota-error recovery</w:t>
            </w:r>
          </w:p>
        </w:tc>
        <w:tc>
          <w:tcPr>
            <w:tcW w:type="dxa" w:w="7344"/>
            <w:tcMar>
              <w:top w:w="90" w:type="dxa"/>
              <w:start w:w="90" w:type="dxa"/>
              <w:bottom w:w="90" w:type="dxa"/>
              <w:end w:w="90" w:type="dxa"/>
            </w:tcMar>
            <w:vAlign w:val="center"/>
          </w:tcPr>
          <w:p>
            <w:r>
              <w:t>Run recoverInsufficientQuotaErrors only when rows are known to be Error specifically because Notes contain insufficient_quota.</w:t>
            </w:r>
          </w:p>
        </w:tc>
      </w:tr>
      <w:tr>
        <w:tc>
          <w:tcPr>
            <w:tcW w:type="dxa" w:w="2880"/>
            <w:tcMar>
              <w:top w:w="90" w:type="dxa"/>
              <w:start w:w="90" w:type="dxa"/>
              <w:bottom w:w="90" w:type="dxa"/>
              <w:end w:w="90" w:type="dxa"/>
            </w:tcMar>
            <w:vAlign w:val="center"/>
          </w:tcPr>
          <w:p>
            <w:r>
              <w:rPr>
                <w:b/>
              </w:rPr>
              <w:t>Quota exhausted now</w:t>
            </w:r>
          </w:p>
        </w:tc>
        <w:tc>
          <w:tcPr>
            <w:tcW w:type="dxa" w:w="7344"/>
            <w:tcMar>
              <w:top w:w="90" w:type="dxa"/>
              <w:start w:w="90" w:type="dxa"/>
              <w:bottom w:w="90" w:type="dxa"/>
              <w:end w:w="90" w:type="dxa"/>
            </w:tcMar>
            <w:vAlign w:val="center"/>
          </w:tcPr>
          <w:p>
            <w:r>
              <w:t>The new production logic should pause automatically, return the current row to Pending Analysis, delete continuation triggers, and stop. Restore API credits, then restart runInventoryAutomation once.</w:t>
            </w:r>
          </w:p>
        </w:tc>
      </w:tr>
      <w:tr>
        <w:tc>
          <w:tcPr>
            <w:tcW w:type="dxa" w:w="2880"/>
            <w:tcMar>
              <w:top w:w="90" w:type="dxa"/>
              <w:start w:w="90" w:type="dxa"/>
              <w:bottom w:w="90" w:type="dxa"/>
              <w:end w:w="90" w:type="dxa"/>
            </w:tcMar>
            <w:vAlign w:val="center"/>
          </w:tcPr>
          <w:p>
            <w:r>
              <w:rPr>
                <w:b/>
              </w:rPr>
              <w:t>Coverage check</w:t>
            </w:r>
          </w:p>
        </w:tc>
        <w:tc>
          <w:tcPr>
            <w:tcW w:type="dxa" w:w="7344"/>
            <w:tcMar>
              <w:top w:w="90" w:type="dxa"/>
              <w:start w:w="90" w:type="dxa"/>
              <w:bottom w:w="90" w:type="dxa"/>
              <w:end w:w="90" w:type="dxa"/>
            </w:tcMar>
            <w:vAlign w:val="center"/>
          </w:tcPr>
          <w:p>
            <w:r>
              <w:t>Run diagnoseInventoryCoverage. Completion target: NOT inventoried = 0.</w:t>
            </w:r>
          </w:p>
        </w:tc>
      </w:tr>
      <w:tr>
        <w:tc>
          <w:tcPr>
            <w:tcW w:type="dxa" w:w="2880"/>
            <w:tcMar>
              <w:top w:w="90" w:type="dxa"/>
              <w:start w:w="90" w:type="dxa"/>
              <w:bottom w:w="90" w:type="dxa"/>
              <w:end w:w="90" w:type="dxa"/>
            </w:tcMar>
            <w:vAlign w:val="center"/>
          </w:tcPr>
          <w:p>
            <w:r>
              <w:rPr>
                <w:b/>
              </w:rPr>
              <w:t>Status check</w:t>
            </w:r>
          </w:p>
        </w:tc>
        <w:tc>
          <w:tcPr>
            <w:tcW w:type="dxa" w:w="7344"/>
            <w:tcMar>
              <w:top w:w="90" w:type="dxa"/>
              <w:start w:w="90" w:type="dxa"/>
              <w:bottom w:w="90" w:type="dxa"/>
              <w:end w:w="90" w:type="dxa"/>
            </w:tcMar>
            <w:vAlign w:val="center"/>
          </w:tcPr>
          <w:p>
            <w:r>
              <w:t>Run diagnoseAnalysisErrors to review counts for Complete, Review Required, Error, Pending Analysis, Analyzing, and grouped error messages.</w:t>
            </w:r>
          </w:p>
        </w:tc>
      </w:tr>
      <w:tr>
        <w:tc>
          <w:tcPr>
            <w:tcW w:type="dxa" w:w="2880"/>
            <w:tcMar>
              <w:top w:w="90" w:type="dxa"/>
              <w:start w:w="90" w:type="dxa"/>
              <w:bottom w:w="90" w:type="dxa"/>
              <w:end w:w="90" w:type="dxa"/>
            </w:tcMar>
            <w:vAlign w:val="center"/>
          </w:tcPr>
          <w:p>
            <w:r>
              <w:rPr>
                <w:b/>
              </w:rPr>
              <w:t>Review breakdown</w:t>
            </w:r>
          </w:p>
        </w:tc>
        <w:tc>
          <w:tcPr>
            <w:tcW w:type="dxa" w:w="7344"/>
            <w:tcMar>
              <w:top w:w="90" w:type="dxa"/>
              <w:start w:w="90" w:type="dxa"/>
              <w:bottom w:w="90" w:type="dxa"/>
              <w:end w:w="90" w:type="dxa"/>
            </w:tcMar>
            <w:vAlign w:val="center"/>
          </w:tcPr>
          <w:p>
            <w:r>
              <w:t>Run diagnoseReviewRequiredReasons to understand why rows are still marked Review Required.</w:t>
            </w:r>
          </w:p>
        </w:tc>
      </w:tr>
    </w:tbl>
    <w:p>
      <w:pPr>
        <w:pStyle w:val="Heading1"/>
      </w:pPr>
      <w:r>
        <w:t>7. Repository and Deployment State</w:t>
      </w:r>
    </w:p>
    <w:p>
      <w:pPr>
        <w:pStyle w:val="ListBullet"/>
        <w:spacing w:after="40"/>
      </w:pPr>
      <w:r>
        <w:t>Production baseline branch: main. The reliability branch fix/openai-json-reliability was fast-forward merged into main.</w:t>
      </w:r>
    </w:p>
    <w:p>
      <w:pPr>
        <w:pStyle w:val="ListBullet"/>
        <w:spacing w:after="40"/>
      </w:pPr>
      <w:r>
        <w:t>main was pushed successfully and verified up to date with origin/main after the Phase 1 fast-forward merge.</w:t>
      </w:r>
    </w:p>
    <w:p>
      <w:pPr>
        <w:pStyle w:val="ListBullet"/>
        <w:spacing w:after="40"/>
      </w:pPr>
      <w:r>
        <w:t>Apps Script deployment is managed with clasp using the sandy profile.</w:t>
      </w:r>
    </w:p>
    <w:p>
      <w:pPr>
        <w:pStyle w:val="ListBullet"/>
        <w:spacing w:after="40"/>
      </w:pPr>
      <w:r>
        <w:t>The backlog document and LegacyAppsScriptBackup/ remain intentionally untracked and are not part of the Phase 1 code merge.</w:t>
      </w:r>
    </w:p>
    <w:p>
      <w:pPr>
        <w:pStyle w:val="ListBullet"/>
        <w:spacing w:after="40"/>
      </w:pPr>
      <w:r>
        <w:t>Production baseline commit: 3d9df0b — Make quota safe-stop test self-contained.</w:t>
      </w:r>
    </w:p>
    <w:p>
      <w:pPr>
        <w:pStyle w:val="Heading1"/>
      </w:pPr>
      <w:r>
        <w:t>8. Phase 1 Acceptance Criteria</w:t>
      </w:r>
    </w:p>
    <w:tbl>
      <w:tblPr>
        <w:tblW w:type="auto" w:w="0"/>
        <w:jc w:val="center"/>
        <w:tblLayout w:type="fixed"/>
        <w:tblLook w:firstColumn="1" w:firstRow="1" w:lastColumn="0" w:lastRow="0" w:noHBand="0" w:noVBand="1" w:val="04A0"/>
      </w:tblPr>
      <w:tblGrid>
        <w:gridCol w:w="2448"/>
        <w:gridCol w:w="7776"/>
      </w:tblGrid>
      <w:tr>
        <w:tc>
          <w:tcPr>
            <w:tcW w:type="dxa" w:w="4968"/>
            <w:shd w:fill="D9E2F3"/>
            <w:tcMar>
              <w:top w:w="90" w:type="dxa"/>
              <w:start w:w="90" w:type="dxa"/>
              <w:bottom w:w="90" w:type="dxa"/>
              <w:end w:w="90" w:type="dxa"/>
            </w:tcMar>
          </w:tcPr>
          <w:p>
            <w:r>
              <w:rPr>
                <w:b/>
              </w:rPr>
              <w:t>Result</w:t>
            </w:r>
          </w:p>
        </w:tc>
        <w:tc>
          <w:tcPr>
            <w:tcW w:type="dxa" w:w="4968"/>
            <w:shd w:fill="D9E2F3"/>
            <w:tcMar>
              <w:top w:w="90" w:type="dxa"/>
              <w:start w:w="90" w:type="dxa"/>
              <w:bottom w:w="90" w:type="dxa"/>
              <w:end w:w="90" w:type="dxa"/>
            </w:tcMar>
          </w:tcPr>
          <w:p>
            <w:r>
              <w:rPr>
                <w:b/>
              </w:rPr>
              <w:t>Criterion</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All eligible images in the current My Drive scope are represented in the inventory.</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Duplicate protection is based on Drive File ID.</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Original Drive files remain unchanged.</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Inventory discovery and image analysis operate in bounded batches.</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Automation resumes pending work before discovering more files.</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Automatic continuation is production-verified.</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Quota exhaustion now stops safely and preserves unfinished work.</w:t>
            </w:r>
          </w:p>
        </w:tc>
      </w:tr>
      <w:tr>
        <w:tc>
          <w:tcPr>
            <w:tcW w:type="dxa" w:w="2448"/>
            <w:tcMar>
              <w:top w:w="90" w:type="dxa"/>
              <w:start w:w="90" w:type="dxa"/>
              <w:bottom w:w="90" w:type="dxa"/>
              <w:end w:w="90" w:type="dxa"/>
            </w:tcMar>
            <w:vAlign w:val="center"/>
          </w:tcPr>
          <w:p>
            <w:r>
              <w:rPr>
                <w:b/>
              </w:rPr>
              <w:t>PASS</w:t>
            </w:r>
          </w:p>
        </w:tc>
        <w:tc>
          <w:tcPr>
            <w:tcW w:type="dxa" w:w="7776"/>
            <w:tcMar>
              <w:top w:w="90" w:type="dxa"/>
              <w:start w:w="90" w:type="dxa"/>
              <w:bottom w:w="90" w:type="dxa"/>
              <w:end w:w="90" w:type="dxa"/>
            </w:tcMar>
            <w:vAlign w:val="center"/>
          </w:tcPr>
          <w:p>
            <w:r>
              <w:t>Final inventory has no Pending Analysis or Analyzing rows.</w:t>
            </w:r>
          </w:p>
        </w:tc>
      </w:tr>
      <w:tr>
        <w:tc>
          <w:tcPr>
            <w:tcW w:type="dxa" w:w="2448"/>
            <w:tcMar>
              <w:top w:w="90" w:type="dxa"/>
              <w:start w:w="90" w:type="dxa"/>
              <w:bottom w:w="90" w:type="dxa"/>
              <w:end w:w="90" w:type="dxa"/>
            </w:tcMar>
            <w:vAlign w:val="center"/>
          </w:tcPr>
          <w:p>
            <w:r>
              <w:rPr>
                <w:b/>
              </w:rPr>
              <w:t>PASS WITH KNOWN EXCEPTIONS</w:t>
            </w:r>
          </w:p>
        </w:tc>
        <w:tc>
          <w:tcPr>
            <w:tcW w:type="dxa" w:w="7776"/>
            <w:tcMar>
              <w:top w:w="90" w:type="dxa"/>
              <w:start w:w="90" w:type="dxa"/>
              <w:bottom w:w="90" w:type="dxa"/>
              <w:end w:w="90" w:type="dxa"/>
            </w:tcMar>
            <w:vAlign w:val="center"/>
          </w:tcPr>
          <w:p>
            <w:r>
              <w:t>19 low-confidence manual-review rows and 8 invalid-image-data errors remain documented for later follow-up.</w:t>
            </w:r>
          </w:p>
        </w:tc>
      </w:tr>
    </w:tbl>
    <w:p>
      <w:pPr>
        <w:pStyle w:val="Heading1"/>
      </w:pPr>
      <w:r>
        <w:t>9. Closeout Recommendation</w:t>
      </w:r>
    </w:p>
    <w:p>
      <w:r>
        <w:t>Phase 1 is closed and established as the production baseline on main. The approved fix/openai-json-reliability branch was fast-forward merged into main, and main was pushed successfully to origin/main.</w:t>
      </w:r>
    </w:p>
    <w:p>
      <w:r>
        <w:t>New feature work should be handled as a separate Phase 2 or subsequent SSAMS workstream rather than extending the closed Phase 1 scope.</w:t>
      </w:r>
    </w:p>
    <w:tbl>
      <w:tblPr>
        <w:tblW w:type="auto" w:w="0"/>
        <w:jc w:val="center"/>
        <w:tblLayout w:type="fixed"/>
        <w:tblLook w:firstColumn="1" w:firstRow="1" w:lastColumn="0" w:lastRow="0" w:noHBand="0" w:noVBand="1" w:val="04A0"/>
      </w:tblPr>
      <w:tblGrid>
        <w:gridCol w:w="3024"/>
        <w:gridCol w:w="7200"/>
      </w:tblGrid>
      <w:tr>
        <w:tc>
          <w:tcPr>
            <w:tcW w:type="dxa" w:w="4968"/>
            <w:tcMar>
              <w:top w:w="90" w:type="dxa"/>
              <w:start w:w="90" w:type="dxa"/>
              <w:bottom w:w="90" w:type="dxa"/>
              <w:end w:w="90" w:type="dxa"/>
            </w:tcMar>
            <w:vAlign w:val="center"/>
            <w:shd w:fill="EAF2F8"/>
          </w:tcPr>
          <w:p>
            <w:r>
              <w:rPr>
                <w:b/>
              </w:rPr>
              <w:t>Closeout status</w:t>
            </w:r>
          </w:p>
        </w:tc>
        <w:tc>
          <w:tcPr>
            <w:tcW w:type="dxa" w:w="4968"/>
            <w:tcMar>
              <w:top w:w="90" w:type="dxa"/>
              <w:start w:w="90" w:type="dxa"/>
              <w:bottom w:w="90" w:type="dxa"/>
              <w:end w:w="90" w:type="dxa"/>
            </w:tcMar>
            <w:vAlign w:val="center"/>
            <w:shd w:fill="EAF2F8"/>
          </w:tcPr>
          <w:p>
            <w:r>
              <w:t>CLOSED — production baseline established on main</w:t>
            </w:r>
          </w:p>
        </w:tc>
      </w:tr>
      <w:tr>
        <w:tc>
          <w:tcPr>
            <w:tcW w:type="dxa" w:w="4968"/>
            <w:tcMar>
              <w:top w:w="90" w:type="dxa"/>
              <w:start w:w="90" w:type="dxa"/>
              <w:bottom w:w="90" w:type="dxa"/>
              <w:end w:w="90" w:type="dxa"/>
            </w:tcMar>
            <w:vAlign w:val="center"/>
          </w:tcPr>
          <w:p>
            <w:r>
              <w:rPr>
                <w:b/>
              </w:rPr>
              <w:t>Production inventory</w:t>
            </w:r>
          </w:p>
        </w:tc>
        <w:tc>
          <w:tcPr>
            <w:tcW w:type="dxa" w:w="4968"/>
            <w:tcMar>
              <w:top w:w="90" w:type="dxa"/>
              <w:start w:w="90" w:type="dxa"/>
              <w:bottom w:w="90" w:type="dxa"/>
              <w:end w:w="90" w:type="dxa"/>
            </w:tcMar>
            <w:vAlign w:val="center"/>
          </w:tcPr>
          <w:p>
            <w:r>
              <w:t>1,021 / 1,021 inventoried</w:t>
            </w:r>
          </w:p>
        </w:tc>
      </w:tr>
      <w:tr>
        <w:tc>
          <w:tcPr>
            <w:tcW w:type="dxa" w:w="4968"/>
            <w:tcMar>
              <w:top w:w="90" w:type="dxa"/>
              <w:start w:w="90" w:type="dxa"/>
              <w:bottom w:w="90" w:type="dxa"/>
              <w:end w:w="90" w:type="dxa"/>
            </w:tcMar>
            <w:vAlign w:val="center"/>
          </w:tcPr>
          <w:p>
            <w:r>
              <w:rPr>
                <w:b/>
              </w:rPr>
              <w:t>Final merge commit</w:t>
            </w:r>
          </w:p>
        </w:tc>
        <w:tc>
          <w:tcPr>
            <w:tcW w:type="dxa" w:w="4968"/>
            <w:tcMar>
              <w:top w:w="90" w:type="dxa"/>
              <w:start w:w="90" w:type="dxa"/>
              <w:bottom w:w="90" w:type="dxa"/>
              <w:end w:w="90" w:type="dxa"/>
            </w:tcMar>
            <w:vAlign w:val="center"/>
          </w:tcPr>
          <w:p>
            <w:r>
              <w:t>3d9df0b</w:t>
            </w:r>
          </w:p>
        </w:tc>
      </w:tr>
      <w:tr>
        <w:tc>
          <w:tcPr>
            <w:tcW w:type="dxa" w:w="4968"/>
            <w:tcMar>
              <w:top w:w="90" w:type="dxa"/>
              <w:start w:w="90" w:type="dxa"/>
              <w:bottom w:w="90" w:type="dxa"/>
              <w:end w:w="90" w:type="dxa"/>
            </w:tcMar>
            <w:vAlign w:val="center"/>
          </w:tcPr>
          <w:p>
            <w:r>
              <w:rPr>
                <w:b/>
              </w:rPr>
              <w:t>Date</w:t>
            </w:r>
          </w:p>
        </w:tc>
        <w:tc>
          <w:tcPr>
            <w:tcW w:type="dxa" w:w="4968"/>
            <w:tcMar>
              <w:top w:w="90" w:type="dxa"/>
              <w:start w:w="90" w:type="dxa"/>
              <w:bottom w:w="90" w:type="dxa"/>
              <w:end w:w="90" w:type="dxa"/>
            </w:tcMar>
            <w:vAlign w:val="center"/>
          </w:tcPr>
          <w:p>
            <w:r>
              <w:t>August 23, 2026</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SB Schirmer Asset Management System — Phase 1 Closeout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