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 w:right="0"/>
        <w:jc w:val="left"/>
      </w:pPr>
      <w:r>
        <w:rPr>
          <w:rFonts w:ascii="Calibri" w:hAnsi="Calibri"/>
          <w:i/>
          <w:sz w:val="22"/>
        </w:rPr>
        <w:t>Combined hierarchical regression model predictions per condition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Metric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Predictors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Estimates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CI (2.5%, 97.5%)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ESS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Null effect probability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σ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1.57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1.49 – 1.65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21820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σj Participant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0.45 – 0.98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4789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Interaction[In situ]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3.64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3.25 – 4.03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3869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Interaction[Interactive]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2.68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2.28 – 3.07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3764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Interaction[Non-interactive]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1.84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1.44 – 2.23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3791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Interaction[No-opponent]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1.02 – 1.80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3872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σ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1.82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1.73 – 1.92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23795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σj Participant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0.46 – 1.02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5089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Interaction[In situ]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5.40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4.99 – 5.82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3992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Interaction[Interactive]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4.29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3.87 – 4.71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3941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Interaction[Non-interactive]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2.86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2.44 – 3.28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4054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  <w:tr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Interaction[No-opponent]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2.44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2.03 – 2.87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3968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&lt;0.01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