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left="0" w:firstLine="0" w:right="0"/>
        <w:jc w:val="left"/>
      </w:pPr>
      <w:r>
        <w:rPr>
          <w:rFonts w:ascii="Calibri" w:hAnsi="Calibri"/>
          <w:i/>
          <w:sz w:val="22"/>
        </w:rPr>
        <w:t>Hierarchical regression with varying intercepts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Predictors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Estimates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CI (2.5%, 97.5%)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Odds Ratios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ESS</w:t>
            </w:r>
          </w:p>
        </w:tc>
        <w:tc>
          <w:tcPr>
            <w:tcW w:type="dxa" w:w="1560"/>
            <w:tcBorders>
              <w:top w:sz="12" w:val="single"/>
              <w:bottom w:sz="6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Probability of null effect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Motion[Left]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-0.11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-0.15 – -0.06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0.90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4774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Background Motion[Right]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0.17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0.14 – 0.20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1.19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24550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0.34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0.32 – 0.35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1.40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21860</w:t>
            </w:r>
          </w:p>
        </w:tc>
        <w:tc>
          <w:tcPr>
            <w:tcW w:type="dxa" w:w="1560"/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  <w:tr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σ Participant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0.1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0.07 – 0.14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1.11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5490</w:t>
            </w:r>
          </w:p>
        </w:tc>
        <w:tc>
          <w:tcPr>
            <w:tcW w:type="dxa" w:w="1560"/>
            <w:tcBorders>
              <w:bottom w:sz="12" w:val="single"/>
            </w:tcBorders>
          </w:tcPr>
          <w:p>
            <w:pPr>
              <w:jc w:val="center"/>
            </w:pPr>
            <w:r>
              <w:rPr>
                <w:rFonts w:ascii="Calibri" w:hAnsi="Calibri"/>
                <w:sz w:val="22"/>
              </w:rPr>
              <w:t>&lt;0.01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