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color w:val="2D5016"/>
          <w:sz w:val="72"/>
          <w:szCs w:val="72"/>
        </w:rPr>
        <w:t xml:space="preserve">THE JEAN PAIN METHOD</w:t>
      </w:r>
    </w:p>
    <w:p>
      <w:pPr>
        <w:spacing w:before="200"/>
        <w:jc w:val="center"/>
      </w:pPr>
      <w:r>
        <w:rPr>
          <w:i/>
          <w:iCs/>
          <w:color w:val="4A7A2A"/>
          <w:sz w:val="32"/>
          <w:szCs w:val="32"/>
        </w:rPr>
        <w:t xml:space="preserve">Brushwood Composting for Living Humus</w:t>
      </w:r>
    </w:p>
    <w:p>
      <w:pPr>
        <w:spacing w:before="600"/>
        <w:jc w:val="center"/>
      </w:pPr>
      <w:r>
        <w:rPr>
          <w:sz w:val="28"/>
          <w:szCs w:val="28"/>
        </w:rPr>
        <w:t xml:space="preserve">A Complete Step-by-Step Protocol</w:t>
      </w:r>
    </w:p>
    <w:p>
      <w:pPr>
        <w:spacing w:before="100"/>
        <w:jc w:val="center"/>
      </w:pPr>
      <w:r>
        <w:rPr>
          <w:color w:val="666666"/>
          <w:sz w:val="24"/>
          <w:szCs w:val="24"/>
        </w:rPr>
        <w:t xml:space="preserve">For Garden-Scale Implementation</w:t>
      </w:r>
    </w:p>
    <w:p>
      <w:pPr>
        <w:spacing w:before="800"/>
        <w:jc w:val="center"/>
      </w:pPr>
      <w:r>
        <w:rPr>
          <w:i/>
          <w:iCs/>
          <w:sz w:val="20"/>
          <w:szCs w:val="20"/>
        </w:rPr>
        <w:t xml:space="preserve">Based on 'Another Kind of Garden: The Methods of Jean Pain'</w:t>
      </w:r>
    </w:p>
    <w:p>
      <w:pPr>
        <w:spacing w:before="100"/>
        <w:jc w:val="center"/>
      </w:pPr>
      <w:r>
        <w:rPr>
          <w:i/>
          <w:iCs/>
          <w:sz w:val="20"/>
          <w:szCs w:val="20"/>
        </w:rPr>
        <w:t xml:space="preserve">7th Edition</w:t>
      </w:r>
    </w:p>
    <w:p>
      <w:pPr>
        <w:spacing w:before="1200"/>
        <w:jc w:val="center"/>
      </w:pPr>
      <w:r>
        <w:rPr>
          <w:b/>
          <w:bCs/>
          <w:sz w:val="22"/>
          <w:szCs w:val="22"/>
        </w:rPr>
        <w:t xml:space="preserve">Documented by SPUDNIK × Free</w:t>
      </w:r>
    </w:p>
    <w:p>
      <w:pPr>
        <w:spacing w:before="100"/>
        <w:jc w:val="center"/>
      </w:pPr>
      <w:r>
        <w:rPr>
          <w:color w:val="666666"/>
          <w:sz w:val="20"/>
          <w:szCs w:val="20"/>
        </w:rPr>
        <w:t xml:space="preserve">East Flanders Regenerative Agriculture Project</w:t>
      </w:r>
    </w:p>
    <w:p>
      <w:r>
        <w:br w:type="page"/>
      </w:r>
    </w:p>
    <w:p>
      <w:pPr>
        <w:pStyle w:val="Heading1"/>
      </w:pPr>
      <w:r>
        <w:t xml:space="preserve">Introduction</w:t>
      </w:r>
    </w:p>
    <w:p>
      <w:pPr>
        <w:spacing w:after="200"/>
      </w:pPr>
      <w:r>
        <w:t xml:space="preserve">Jean Pain (1928-1981) was a French forester and inventor who developed a revolutionary method for transforming forest brushwood into high-quality humus while simultaneously extracting energy in the form of hot water and methane gas. Working in the harsh conditions of Provence—rocky soil, extreme summer heat, and water scarcity—he proved that 'waste' biomass could regenerate even the most degraded soils.</w:t>
      </w:r>
    </w:p>
    <w:p>
      <w:pPr>
        <w:spacing w:after="200"/>
      </w:pPr>
      <w:r>
        <w:t xml:space="preserve">This protocol adapts his methods for garden-scale implementation, focusing on the core composting process that produces what Pain called 'Living Humus'—the fundamental food of the soil.</w:t>
      </w:r>
    </w:p>
    <w:p>
      <w:pPr>
        <w:pStyle w:val="Heading2"/>
      </w:pPr>
      <w:r>
        <w:t xml:space="preserve">Core Philosophy</w:t>
      </w:r>
    </w:p>
    <w:p>
      <w:pPr>
        <w:pStyle w:val="ListParagraph"/>
        <w:numPr>
          <w:ilvl w:val="0"/>
          <w:numId w:val="2"/>
        </w:numPr>
      </w:pPr>
      <w:r>
        <w:rPr>
          <w:b/>
          <w:bCs/>
        </w:rPr>
        <w:t xml:space="preserve">Variety is essential: </w:t>
      </w:r>
      <w:r>
        <w:t xml:space="preserve">Use diverse plant materials without selection or preference. Balance comes from diversity itself.</w:t>
      </w:r>
    </w:p>
    <w:p>
      <w:pPr>
        <w:pStyle w:val="ListParagraph"/>
        <w:numPr>
          <w:ilvl w:val="0"/>
          <w:numId w:val="2"/>
        </w:numPr>
      </w:pPr>
      <w:r>
        <w:rPr>
          <w:b/>
          <w:bCs/>
        </w:rPr>
        <w:t xml:space="preserve">Precision matters: </w:t>
      </w:r>
      <w:r>
        <w:t xml:space="preserve">The dimensions and procedures must be 'scrupulously respected' for success.</w:t>
      </w:r>
    </w:p>
    <w:p>
      <w:pPr>
        <w:pStyle w:val="ListParagraph"/>
        <w:numPr>
          <w:ilvl w:val="0"/>
          <w:numId w:val="2"/>
        </w:numPr>
      </w:pPr>
      <w:r>
        <w:rPr>
          <w:b/>
          <w:bCs/>
        </w:rPr>
        <w:t xml:space="preserve">Surface application: </w:t>
      </w:r>
      <w:r>
        <w:t xml:space="preserve">Young compost feeds soil from above, mimicking natural forest floor processes.</w:t>
      </w:r>
    </w:p>
    <w:p>
      <w:pPr>
        <w:pStyle w:val="ListParagraph"/>
        <w:numPr>
          <w:ilvl w:val="0"/>
          <w:numId w:val="2"/>
        </w:numPr>
      </w:pPr>
      <w:r>
        <w:rPr>
          <w:b/>
          <w:bCs/>
        </w:rPr>
        <w:t xml:space="preserve">Closed-loop thinking: </w:t>
      </w:r>
      <w:r>
        <w:t xml:space="preserve">Forest 'waste' becomes fertility. Energy generated offsets labor costs.</w:t>
      </w:r>
    </w:p>
    <w:p>
      <w:r>
        <w:br w:type="page"/>
      </w:r>
    </w:p>
    <w:p>
      <w:pPr>
        <w:pStyle w:val="Heading1"/>
      </w:pPr>
      <w:r>
        <w:t xml:space="preserve">Critical Parameters</w:t>
      </w:r>
    </w:p>
    <w:p>
      <w:pPr>
        <w:spacing w:after="200"/>
      </w:pPr>
      <w:r>
        <w:t xml:space="preserve">The following parameters must be maintained for successful composting: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Parameter</w:t>
            </w:r>
          </w:p>
        </w:tc>
        <w:tc>
          <w:tcPr>
            <w:tcW w:type="dxa" w:w="25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Value</w:t>
            </w:r>
          </w:p>
        </w:tc>
        <w:tc>
          <w:tcPr>
            <w:tcW w:type="dxa" w:w="386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Pr>
          <w:p>
            <w:r>
              <w:t xml:space="preserve">Heap Base Width</w:t>
            </w:r>
          </w:p>
        </w:tc>
        <w:tc>
          <w:tcPr>
            <w:tcW w:type="dxa" w:w="2500"/>
            <w:tcBorders>
              <w:top w:val="single" w:color="CCCCCC" w:sz="1"/>
              <w:left w:val="single" w:color="CCCCCC" w:sz="1"/>
              <w:bottom w:val="single" w:color="CCCCCC" w:sz="1"/>
              <w:right w:val="single" w:color="CCCCCC" w:sz="1"/>
            </w:tcBorders>
          </w:tcPr>
          <w:p>
            <w:pPr>
              <w:jc w:val="center"/>
            </w:pPr>
            <w:r>
              <w:rPr>
                <w:b/>
                <w:bCs/>
              </w:rPr>
              <w:t xml:space="preserve">2.20 meters</w:t>
            </w:r>
          </w:p>
        </w:tc>
        <w:tc>
          <w:tcPr>
            <w:tcW w:type="dxa" w:w="3860"/>
            <w:tcBorders>
              <w:top w:val="single" w:color="CCCCCC" w:sz="1"/>
              <w:left w:val="single" w:color="CCCCCC" w:sz="1"/>
              <w:bottom w:val="single" w:color="CCCCCC" w:sz="1"/>
              <w:right w:val="single" w:color="CCCCCC" w:sz="1"/>
            </w:tcBorders>
          </w:tcPr>
          <w:p>
            <w:r>
              <w:t xml:space="preserve">Must be exact for proper airflow</w:t>
            </w:r>
          </w:p>
        </w:tc>
      </w:tr>
      <w:tr>
        <w:tc>
          <w:tcPr>
            <w:tcW w:type="dxa" w:w="3000"/>
            <w:tcBorders>
              <w:top w:val="single" w:color="CCCCCC" w:sz="1"/>
              <w:left w:val="single" w:color="CCCCCC" w:sz="1"/>
              <w:bottom w:val="single" w:color="CCCCCC" w:sz="1"/>
              <w:right w:val="single" w:color="CCCCCC" w:sz="1"/>
            </w:tcBorders>
            <w:shd w:fill="F5F8F0" w:val="clear"/>
          </w:tcPr>
          <w:p>
            <w:r>
              <w:t xml:space="preserve">Heap Center Height</w:t>
            </w:r>
          </w:p>
        </w:tc>
        <w:tc>
          <w:tcPr>
            <w:tcW w:type="dxa" w:w="2500"/>
            <w:tcBorders>
              <w:top w:val="single" w:color="CCCCCC" w:sz="1"/>
              <w:left w:val="single" w:color="CCCCCC" w:sz="1"/>
              <w:bottom w:val="single" w:color="CCCCCC" w:sz="1"/>
              <w:right w:val="single" w:color="CCCCCC" w:sz="1"/>
            </w:tcBorders>
            <w:shd w:fill="F5F8F0" w:val="clear"/>
          </w:tcPr>
          <w:p>
            <w:pPr>
              <w:jc w:val="center"/>
            </w:pPr>
            <w:r>
              <w:rPr>
                <w:b/>
                <w:bCs/>
              </w:rPr>
              <w:t xml:space="preserve">1.60 meters</w:t>
            </w:r>
          </w:p>
        </w:tc>
        <w:tc>
          <w:tcPr>
            <w:tcW w:type="dxa" w:w="3860"/>
            <w:tcBorders>
              <w:top w:val="single" w:color="CCCCCC" w:sz="1"/>
              <w:left w:val="single" w:color="CCCCCC" w:sz="1"/>
              <w:bottom w:val="single" w:color="CCCCCC" w:sz="1"/>
              <w:right w:val="single" w:color="CCCCCC" w:sz="1"/>
            </w:tcBorders>
            <w:shd w:fill="F5F8F0" w:val="clear"/>
          </w:tcPr>
          <w:p>
            <w:r>
              <w:t xml:space="preserve">Triangular cross-section</w:t>
            </w:r>
          </w:p>
        </w:tc>
      </w:tr>
      <w:tr>
        <w:tc>
          <w:tcPr>
            <w:tcW w:type="dxa" w:w="3000"/>
            <w:tcBorders>
              <w:top w:val="single" w:color="CCCCCC" w:sz="1"/>
              <w:left w:val="single" w:color="CCCCCC" w:sz="1"/>
              <w:bottom w:val="single" w:color="CCCCCC" w:sz="1"/>
              <w:right w:val="single" w:color="CCCCCC" w:sz="1"/>
            </w:tcBorders>
          </w:tcPr>
          <w:p>
            <w:r>
              <w:t xml:space="preserve">Moisture Content</w:t>
            </w:r>
          </w:p>
        </w:tc>
        <w:tc>
          <w:tcPr>
            <w:tcW w:type="dxa" w:w="2500"/>
            <w:tcBorders>
              <w:top w:val="single" w:color="CCCCCC" w:sz="1"/>
              <w:left w:val="single" w:color="CCCCCC" w:sz="1"/>
              <w:bottom w:val="single" w:color="CCCCCC" w:sz="1"/>
              <w:right w:val="single" w:color="CCCCCC" w:sz="1"/>
            </w:tcBorders>
          </w:tcPr>
          <w:p>
            <w:pPr>
              <w:jc w:val="center"/>
            </w:pPr>
            <w:r>
              <w:rPr>
                <w:b/>
                <w:bCs/>
              </w:rPr>
              <w:t xml:space="preserve">40-50%</w:t>
            </w:r>
          </w:p>
        </w:tc>
        <w:tc>
          <w:tcPr>
            <w:tcW w:type="dxa" w:w="3860"/>
            <w:tcBorders>
              <w:top w:val="single" w:color="CCCCCC" w:sz="1"/>
              <w:left w:val="single" w:color="CCCCCC" w:sz="1"/>
              <w:bottom w:val="single" w:color="CCCCCC" w:sz="1"/>
              <w:right w:val="single" w:color="CCCCCC" w:sz="1"/>
            </w:tcBorders>
          </w:tcPr>
          <w:p>
            <w:r>
              <w:t xml:space="preserve">Maintain throughout process</w:t>
            </w:r>
          </w:p>
        </w:tc>
      </w:tr>
      <w:tr>
        <w:tc>
          <w:tcPr>
            <w:tcW w:type="dxa" w:w="3000"/>
            <w:tcBorders>
              <w:top w:val="single" w:color="CCCCCC" w:sz="1"/>
              <w:left w:val="single" w:color="CCCCCC" w:sz="1"/>
              <w:bottom w:val="single" w:color="CCCCCC" w:sz="1"/>
              <w:right w:val="single" w:color="CCCCCC" w:sz="1"/>
            </w:tcBorders>
            <w:shd w:fill="F5F8F0" w:val="clear"/>
          </w:tcPr>
          <w:p>
            <w:r>
              <w:t xml:space="preserve">Target Temperature</w:t>
            </w:r>
          </w:p>
        </w:tc>
        <w:tc>
          <w:tcPr>
            <w:tcW w:type="dxa" w:w="2500"/>
            <w:tcBorders>
              <w:top w:val="single" w:color="CCCCCC" w:sz="1"/>
              <w:left w:val="single" w:color="CCCCCC" w:sz="1"/>
              <w:bottom w:val="single" w:color="CCCCCC" w:sz="1"/>
              <w:right w:val="single" w:color="CCCCCC" w:sz="1"/>
            </w:tcBorders>
            <w:shd w:fill="F5F8F0" w:val="clear"/>
          </w:tcPr>
          <w:p>
            <w:pPr>
              <w:jc w:val="center"/>
            </w:pPr>
            <w:r>
              <w:rPr>
                <w:b/>
                <w:bCs/>
              </w:rPr>
              <w:t xml:space="preserve">60-75°C</w:t>
            </w:r>
          </w:p>
        </w:tc>
        <w:tc>
          <w:tcPr>
            <w:tcW w:type="dxa" w:w="3860"/>
            <w:tcBorders>
              <w:top w:val="single" w:color="CCCCCC" w:sz="1"/>
              <w:left w:val="single" w:color="CCCCCC" w:sz="1"/>
              <w:bottom w:val="single" w:color="CCCCCC" w:sz="1"/>
              <w:right w:val="single" w:color="CCCCCC" w:sz="1"/>
            </w:tcBorders>
            <w:shd w:fill="F5F8F0" w:val="clear"/>
          </w:tcPr>
          <w:p>
            <w:r>
              <w:t xml:space="preserve">Thermophilic zone</w:t>
            </w:r>
          </w:p>
        </w:tc>
      </w:tr>
      <w:tr>
        <w:tc>
          <w:tcPr>
            <w:tcW w:type="dxa" w:w="3000"/>
            <w:tcBorders>
              <w:top w:val="single" w:color="CCCCCC" w:sz="1"/>
              <w:left w:val="single" w:color="CCCCCC" w:sz="1"/>
              <w:bottom w:val="single" w:color="CCCCCC" w:sz="1"/>
              <w:right w:val="single" w:color="CCCCCC" w:sz="1"/>
            </w:tcBorders>
          </w:tcPr>
          <w:p>
            <w:r>
              <w:t xml:space="preserve">Branch Diameter</w:t>
            </w:r>
          </w:p>
        </w:tc>
        <w:tc>
          <w:tcPr>
            <w:tcW w:type="dxa" w:w="2500"/>
            <w:tcBorders>
              <w:top w:val="single" w:color="CCCCCC" w:sz="1"/>
              <w:left w:val="single" w:color="CCCCCC" w:sz="1"/>
              <w:bottom w:val="single" w:color="CCCCCC" w:sz="1"/>
              <w:right w:val="single" w:color="CCCCCC" w:sz="1"/>
            </w:tcBorders>
          </w:tcPr>
          <w:p>
            <w:pPr>
              <w:jc w:val="center"/>
            </w:pPr>
            <w:r>
              <w:rPr>
                <w:b/>
                <w:bCs/>
              </w:rPr>
              <w:t xml:space="preserve">≤ 8mm</w:t>
            </w:r>
          </w:p>
        </w:tc>
        <w:tc>
          <w:tcPr>
            <w:tcW w:type="dxa" w:w="3860"/>
            <w:tcBorders>
              <w:top w:val="single" w:color="CCCCCC" w:sz="1"/>
              <w:left w:val="single" w:color="CCCCCC" w:sz="1"/>
              <w:bottom w:val="single" w:color="CCCCCC" w:sz="1"/>
              <w:right w:val="single" w:color="CCCCCC" w:sz="1"/>
            </w:tcBorders>
          </w:tcPr>
          <w:p>
            <w:r>
              <w:t xml:space="preserve">For manual composting</w:t>
            </w:r>
          </w:p>
        </w:tc>
      </w:tr>
      <w:tr>
        <w:tc>
          <w:tcPr>
            <w:tcW w:type="dxa" w:w="3000"/>
            <w:tcBorders>
              <w:top w:val="single" w:color="CCCCCC" w:sz="1"/>
              <w:left w:val="single" w:color="CCCCCC" w:sz="1"/>
              <w:bottom w:val="single" w:color="CCCCCC" w:sz="1"/>
              <w:right w:val="single" w:color="CCCCCC" w:sz="1"/>
            </w:tcBorders>
            <w:shd w:fill="F5F8F0" w:val="clear"/>
          </w:tcPr>
          <w:p>
            <w:r>
              <w:t xml:space="preserve">Minimum Volume</w:t>
            </w:r>
          </w:p>
        </w:tc>
        <w:tc>
          <w:tcPr>
            <w:tcW w:type="dxa" w:w="2500"/>
            <w:tcBorders>
              <w:top w:val="single" w:color="CCCCCC" w:sz="1"/>
              <w:left w:val="single" w:color="CCCCCC" w:sz="1"/>
              <w:bottom w:val="single" w:color="CCCCCC" w:sz="1"/>
              <w:right w:val="single" w:color="CCCCCC" w:sz="1"/>
            </w:tcBorders>
            <w:shd w:fill="F5F8F0" w:val="clear"/>
          </w:tcPr>
          <w:p>
            <w:pPr>
              <w:jc w:val="center"/>
            </w:pPr>
            <w:r>
              <w:rPr>
                <w:b/>
                <w:bCs/>
              </w:rPr>
              <w:t xml:space="preserve">4 m³</w:t>
            </w:r>
          </w:p>
        </w:tc>
        <w:tc>
          <w:tcPr>
            <w:tcW w:type="dxa" w:w="3860"/>
            <w:tcBorders>
              <w:top w:val="single" w:color="CCCCCC" w:sz="1"/>
              <w:left w:val="single" w:color="CCCCCC" w:sz="1"/>
              <w:bottom w:val="single" w:color="CCCCCC" w:sz="1"/>
              <w:right w:val="single" w:color="CCCCCC" w:sz="1"/>
            </w:tcBorders>
            <w:shd w:fill="F5F8F0" w:val="clear"/>
          </w:tcPr>
          <w:p>
            <w:r>
              <w:t xml:space="preserve">For adequate fermentation</w:t>
            </w:r>
          </w:p>
        </w:tc>
      </w:tr>
    </w:tbl>
    <w:p>
      <w:r>
        <w:br w:type="page"/>
      </w:r>
    </w:p>
    <w:p>
      <w:pPr>
        <w:pStyle w:val="Heading1"/>
      </w:pPr>
      <w:r>
        <w:t xml:space="preserve">Phase 1: Raw Material Gathering</w:t>
      </w:r>
    </w:p>
    <w:p>
      <w:r>
        <w:rPr>
          <w:b/>
          <w:bCs/>
        </w:rPr>
        <w:t xml:space="preserve">Duration: </w:t>
      </w:r>
      <w:r>
        <w:t xml:space="preserve">1-3 days</w:t>
      </w:r>
    </w:p>
    <w:p>
      <w:pPr>
        <w:spacing w:before="200" w:after="200"/>
      </w:pPr>
      <w:r>
        <w:t xml:space="preserve">Gather diverse brushwood from forest understory, hedgerows, or garden prunings. The key principle is variety—every plant species contributes unique minerals and microbial communities.</w:t>
      </w:r>
    </w:p>
    <w:p>
      <w:pPr>
        <w:pStyle w:val="Heading2"/>
      </w:pPr>
      <w:r>
        <w:t xml:space="preserve">Acceptable Materials</w:t>
      </w:r>
    </w:p>
    <w:p>
      <w:pPr>
        <w:pStyle w:val="ListParagraph"/>
        <w:numPr>
          <w:ilvl w:val="0"/>
          <w:numId w:val="2"/>
        </w:numPr>
      </w:pPr>
      <w:r>
        <w:t xml:space="preserve">Oak, pine, heather, thyme, rosemary, lavender, broom, juniper</w:t>
      </w:r>
    </w:p>
    <w:p>
      <w:pPr>
        <w:pStyle w:val="ListParagraph"/>
        <w:numPr>
          <w:ilvl w:val="0"/>
          <w:numId w:val="2"/>
        </w:numPr>
      </w:pPr>
      <w:r>
        <w:t xml:space="preserve">Fern, euphorbia, daphne, rue, salsaparilla</w:t>
      </w:r>
    </w:p>
    <w:p>
      <w:pPr>
        <w:pStyle w:val="ListParagraph"/>
        <w:numPr>
          <w:ilvl w:val="0"/>
          <w:numId w:val="2"/>
        </w:numPr>
      </w:pPr>
      <w:r>
        <w:t xml:space="preserve">Any plants without exception—variety is key</w:t>
      </w:r>
    </w:p>
    <w:p>
      <w:pPr>
        <w:pStyle w:val="Heading2"/>
      </w:pPr>
      <w:r>
        <w:t xml:space="preserve">Restrictions</w:t>
      </w:r>
    </w:p>
    <w:p>
      <w:pPr>
        <w:pStyle w:val="ListParagraph"/>
        <w:numPr>
          <w:ilvl w:val="0"/>
          <w:numId w:val="2"/>
        </w:numPr>
      </w:pPr>
      <w:r>
        <w:rPr>
          <w:b/>
          <w:bCs/>
        </w:rPr>
        <w:t xml:space="preserve">Maximum branch diameter: 8mm </w:t>
      </w:r>
      <w:r>
        <w:t xml:space="preserve">for manual composting</w:t>
      </w:r>
    </w:p>
    <w:p>
      <w:pPr>
        <w:pStyle w:val="ListParagraph"/>
        <w:numPr>
          <w:ilvl w:val="0"/>
          <w:numId w:val="2"/>
        </w:numPr>
      </w:pPr>
      <w:r>
        <w:t xml:space="preserve">You are thinning, not clearing—preserve forest structure</w:t>
      </w:r>
    </w:p>
    <w:p>
      <w:r>
        <w:br w:type="page"/>
      </w:r>
    </w:p>
    <w:p>
      <w:pPr>
        <w:pStyle w:val="Heading1"/>
      </w:pPr>
      <w:r>
        <w:t xml:space="preserve">Phase 2: Impregnation</w:t>
      </w:r>
    </w:p>
    <w:p>
      <w:r>
        <w:rPr>
          <w:b/>
          <w:bCs/>
        </w:rPr>
        <w:t xml:space="preserve">Duration: </w:t>
      </w:r>
      <w:r>
        <w:t xml:space="preserve">1-3 days</w:t>
      </w:r>
    </w:p>
    <w:p>
      <w:pPr>
        <w:spacing w:before="200" w:after="200"/>
      </w:pPr>
      <w:r>
        <w:rPr>
          <w:b/>
          <w:bCs/>
        </w:rPr>
        <w:t xml:space="preserve">This is where most people fail. </w:t>
      </w:r>
      <w:r>
        <w:t xml:space="preserve">Jean Pain was emphatic about thorough water saturation.</w:t>
      </w:r>
    </w:p>
    <w:p>
      <w:pPr>
        <w:pStyle w:val="Heading2"/>
      </w:pPr>
      <w:r>
        <w:t xml:space="preserve">Method 1: Barrel Bath (Recommended)</w:t>
      </w:r>
    </w:p>
    <w:p>
      <w:pPr>
        <w:pStyle w:val="ListParagraph"/>
        <w:numPr>
          <w:ilvl w:val="0"/>
          <w:numId w:val="3"/>
        </w:numPr>
      </w:pPr>
      <w:r>
        <w:t xml:space="preserve">Fill non-metallic container with brushwood</w:t>
      </w:r>
    </w:p>
    <w:p>
      <w:pPr>
        <w:pStyle w:val="ListParagraph"/>
        <w:numPr>
          <w:ilvl w:val="0"/>
          <w:numId w:val="3"/>
        </w:numPr>
      </w:pPr>
      <w:r>
        <w:t xml:space="preserve">Press down firmly with heavy stone</w:t>
      </w:r>
    </w:p>
    <w:p>
      <w:pPr>
        <w:pStyle w:val="ListParagraph"/>
        <w:numPr>
          <w:ilvl w:val="0"/>
          <w:numId w:val="3"/>
        </w:numPr>
      </w:pPr>
      <w:r>
        <w:t xml:space="preserve">Fill completely with water</w:t>
      </w:r>
    </w:p>
    <w:p>
      <w:pPr>
        <w:pStyle w:val="ListParagraph"/>
        <w:numPr>
          <w:ilvl w:val="0"/>
          <w:numId w:val="3"/>
        </w:numPr>
      </w:pPr>
      <w:r>
        <w:t xml:space="preserve">Leave 1-3 days</w:t>
      </w:r>
    </w:p>
    <w:p>
      <w:pPr>
        <w:pStyle w:val="ListParagraph"/>
        <w:numPr>
          <w:ilvl w:val="0"/>
          <w:numId w:val="3"/>
        </w:numPr>
      </w:pPr>
      <w:r>
        <w:t xml:space="preserve">Fork out, drain well, add to heap</w:t>
      </w:r>
    </w:p>
    <w:p>
      <w:pPr>
        <w:pStyle w:val="Heading2"/>
      </w:pPr>
      <w:r>
        <w:t xml:space="preserve">Method 2: Spray Watering</w:t>
      </w:r>
    </w:p>
    <w:p>
      <w:pPr>
        <w:spacing w:after="200"/>
      </w:pPr>
      <w:r>
        <w:t xml:space="preserve">Apply water in short, repeated sprayings until fully saturated.</w:t>
      </w:r>
    </w:p>
    <w:p>
      <w:pPr>
        <w:pStyle w:val="Heading2"/>
      </w:pPr>
      <w:r>
        <w:t xml:space="preserve">Method 3: Rain Immersion</w:t>
      </w:r>
    </w:p>
    <w:p>
      <w:pPr>
        <w:spacing w:after="200"/>
      </w:pPr>
      <w:r>
        <w:t xml:space="preserve">Turn material in driving rain, heap quickly. Last resort only.</w:t>
      </w:r>
    </w:p>
    <w:p>
      <w:r>
        <w:br w:type="page"/>
      </w:r>
    </w:p>
    <w:p>
      <w:pPr>
        <w:pStyle w:val="Heading1"/>
      </w:pPr>
      <w:r>
        <w:t xml:space="preserve">Phase 3: Pre-Composting</w:t>
      </w:r>
    </w:p>
    <w:p>
      <w:r>
        <w:rPr>
          <w:b/>
          <w:bCs/>
        </w:rPr>
        <w:t xml:space="preserve">Duration: </w:t>
      </w:r>
      <w:r>
        <w:t xml:space="preserve">3 weeks</w:t>
      </w:r>
    </w:p>
    <w:p>
      <w:pPr>
        <w:spacing w:before="200" w:after="200"/>
      </w:pPr>
      <w:r>
        <w:t xml:space="preserve">Heap material loosely and allow initial fermentation.</w:t>
      </w:r>
    </w:p>
    <w:p>
      <w:pPr>
        <w:pStyle w:val="Heading2"/>
      </w:pPr>
      <w:r>
        <w:t xml:space="preserve">Signs of Progress</w:t>
      </w:r>
    </w:p>
    <w:p>
      <w:pPr>
        <w:pStyle w:val="ListParagraph"/>
        <w:numPr>
          <w:ilvl w:val="0"/>
          <w:numId w:val="2"/>
        </w:numPr>
      </w:pPr>
      <w:r>
        <w:t xml:space="preserve">Heap sinks and softens</w:t>
      </w:r>
    </w:p>
    <w:p>
      <w:pPr>
        <w:pStyle w:val="ListParagraph"/>
        <w:numPr>
          <w:ilvl w:val="0"/>
          <w:numId w:val="2"/>
        </w:numPr>
      </w:pPr>
      <w:r>
        <w:t xml:space="preserve">Color changes to brownish</w:t>
      </w:r>
    </w:p>
    <w:p>
      <w:pPr>
        <w:pStyle w:val="ListParagraph"/>
        <w:numPr>
          <w:ilvl w:val="0"/>
          <w:numId w:val="2"/>
        </w:numPr>
      </w:pPr>
      <w:r>
        <w:t xml:space="preserve">Develops sour smell</w:t>
      </w:r>
    </w:p>
    <w:p>
      <w:pPr>
        <w:pStyle w:val="ListParagraph"/>
        <w:numPr>
          <w:ilvl w:val="0"/>
          <w:numId w:val="2"/>
        </w:numPr>
      </w:pPr>
      <w:r>
        <w:t xml:space="preserve">Becomes slightly warm</w:t>
      </w:r>
    </w:p>
    <w:p>
      <w:pPr>
        <w:pStyle w:val="Heading2"/>
      </w:pPr>
      <w:r>
        <w:t xml:space="preserve">The Carding Process</w:t>
      </w:r>
    </w:p>
    <w:p>
      <w:pPr>
        <w:spacing w:after="100"/>
      </w:pPr>
      <w:r>
        <w:t xml:space="preserve">After 3 weeks, 'card' the material:</w:t>
      </w:r>
    </w:p>
    <w:p>
      <w:pPr>
        <w:pStyle w:val="ListParagraph"/>
        <w:numPr>
          <w:ilvl w:val="0"/>
          <w:numId w:val="3"/>
        </w:numPr>
      </w:pPr>
      <w:r>
        <w:t xml:space="preserve">Take fork with prongs DOWN</w:t>
      </w:r>
    </w:p>
    <w:p>
      <w:pPr>
        <w:pStyle w:val="ListParagraph"/>
        <w:numPr>
          <w:ilvl w:val="0"/>
          <w:numId w:val="3"/>
        </w:numPr>
      </w:pPr>
      <w:r>
        <w:t xml:space="preserve">Tap heap edge vigorously to unravel and shred</w:t>
      </w:r>
    </w:p>
    <w:p>
      <w:pPr>
        <w:pStyle w:val="ListParagraph"/>
        <w:numPr>
          <w:ilvl w:val="0"/>
          <w:numId w:val="3"/>
        </w:numPr>
      </w:pPr>
      <w:r>
        <w:t xml:space="preserve">Process entire heap (~1.5 hours)</w:t>
      </w:r>
    </w:p>
    <w:p>
      <w:r>
        <w:br w:type="page"/>
      </w:r>
    </w:p>
    <w:p>
      <w:pPr>
        <w:pStyle w:val="Heading1"/>
      </w:pPr>
      <w:r>
        <w:t xml:space="preserve">Phase 4: Heap Construction</w:t>
      </w:r>
    </w:p>
    <w:p>
      <w:r>
        <w:rPr>
          <w:b/>
          <w:bCs/>
        </w:rPr>
        <w:t xml:space="preserve">Duration: </w:t>
      </w:r>
      <w:r>
        <w:t xml:space="preserve">~2 hours</w:t>
      </w:r>
    </w:p>
    <w:p>
      <w:pPr>
        <w:pBdr>
          <w:top w:val="single" w:color="856404" w:sz="1"/>
          <w:bottom w:val="single" w:color="856404" w:sz="1"/>
          <w:left w:val="single" w:color="856404" w:sz="1"/>
          <w:right w:val="single" w:color="856404" w:sz="1"/>
        </w:pBdr>
        <w:shd w:fill="FFF3CD" w:val="clear"/>
        <w:spacing w:before="200" w:after="100"/>
      </w:pPr>
      <w:r>
        <w:rPr>
          <w:b/>
          <w:bCs/>
        </w:rPr>
        <w:t xml:space="preserve">⚠ CRITICAL: </w:t>
      </w:r>
      <w:r>
        <w:t xml:space="preserve">Measurements must be scrupulously respected.</w:t>
      </w:r>
    </w:p>
    <w:p>
      <w:pPr>
        <w:pStyle w:val="Heading2"/>
      </w:pPr>
      <w:r>
        <w:t xml:space="preserve">Required Dimensions</w:t>
      </w:r>
    </w:p>
    <w:p>
      <w:pPr>
        <w:pStyle w:val="ListParagraph"/>
        <w:numPr>
          <w:ilvl w:val="0"/>
          <w:numId w:val="2"/>
        </w:numPr>
      </w:pPr>
      <w:r>
        <w:rPr>
          <w:b/>
          <w:bCs/>
        </w:rPr>
        <w:t xml:space="preserve">Base width: 2.20 meters</w:t>
      </w:r>
    </w:p>
    <w:p>
      <w:pPr>
        <w:pStyle w:val="ListParagraph"/>
        <w:numPr>
          <w:ilvl w:val="0"/>
          <w:numId w:val="2"/>
        </w:numPr>
      </w:pPr>
      <w:r>
        <w:rPr>
          <w:b/>
          <w:bCs/>
        </w:rPr>
        <w:t xml:space="preserve">Center height: 1.60 meters</w:t>
      </w:r>
    </w:p>
    <w:p>
      <w:pPr>
        <w:pStyle w:val="ListParagraph"/>
        <w:numPr>
          <w:ilvl w:val="0"/>
          <w:numId w:val="2"/>
        </w:numPr>
      </w:pPr>
      <w:r>
        <w:rPr>
          <w:b/>
          <w:bCs/>
        </w:rPr>
        <w:t xml:space="preserve">Shape: Triangular</w:t>
      </w:r>
      <w:r>
        <w:t xml:space="preserve"> cross-section</w:t>
      </w:r>
    </w:p>
    <w:p>
      <w:pPr>
        <w:pStyle w:val="Heading2"/>
      </w:pPr>
      <w:r>
        <w:t xml:space="preserve">Construction Steps</w:t>
      </w:r>
    </w:p>
    <w:p>
      <w:pPr>
        <w:pStyle w:val="ListParagraph"/>
        <w:numPr>
          <w:ilvl w:val="0"/>
          <w:numId w:val="3"/>
        </w:numPr>
      </w:pPr>
      <w:r>
        <w:t xml:space="preserve">Mark 2.20m base on level ground</w:t>
      </w:r>
    </w:p>
    <w:p>
      <w:pPr>
        <w:pStyle w:val="ListParagraph"/>
        <w:numPr>
          <w:ilvl w:val="0"/>
          <w:numId w:val="3"/>
        </w:numPr>
      </w:pPr>
      <w:r>
        <w:t xml:space="preserve">Fork material layer by layer</w:t>
      </w:r>
    </w:p>
    <w:p>
      <w:pPr>
        <w:pStyle w:val="ListParagraph"/>
        <w:numPr>
          <w:ilvl w:val="0"/>
          <w:numId w:val="3"/>
        </w:numPr>
      </w:pPr>
      <w:r>
        <w:rPr>
          <w:b/>
          <w:bCs/>
        </w:rPr>
        <w:t xml:space="preserve">DO NOT compress</w:t>
      </w:r>
      <w:r>
        <w:t xml:space="preserve">—crucial for airflow</w:t>
      </w:r>
    </w:p>
    <w:p>
      <w:pPr>
        <w:pStyle w:val="ListParagraph"/>
        <w:numPr>
          <w:ilvl w:val="0"/>
          <w:numId w:val="3"/>
        </w:numPr>
      </w:pPr>
      <w:r>
        <w:t xml:space="preserve">Toss into central axis, let fall naturally</w:t>
      </w:r>
    </w:p>
    <w:p>
      <w:pPr>
        <w:pStyle w:val="ListParagraph"/>
        <w:numPr>
          <w:ilvl w:val="0"/>
          <w:numId w:val="3"/>
        </w:numPr>
      </w:pPr>
      <w:r>
        <w:t xml:space="preserve">Add 2cm earth coating</w:t>
      </w:r>
    </w:p>
    <w:p>
      <w:pPr>
        <w:pStyle w:val="ListParagraph"/>
        <w:numPr>
          <w:ilvl w:val="0"/>
          <w:numId w:val="3"/>
        </w:numPr>
      </w:pPr>
      <w:r>
        <w:t xml:space="preserve">Cover with large boughs 'like roof of hut'</w:t>
      </w:r>
    </w:p>
    <w:p>
      <w:pPr>
        <w:pStyle w:val="Heading2"/>
      </w:pPr>
      <w:r>
        <w:t xml:space="preserve">Why This Geometry Works</w:t>
      </w:r>
    </w:p>
    <w:p>
      <w:pPr>
        <w:pStyle w:val="ListParagraph"/>
        <w:numPr>
          <w:ilvl w:val="0"/>
          <w:numId w:val="2"/>
        </w:numPr>
      </w:pPr>
      <w:r>
        <w:rPr>
          <w:b/>
          <w:bCs/>
        </w:rPr>
        <w:t xml:space="preserve">Surface area: </w:t>
      </w:r>
      <w:r>
        <w:t xml:space="preserve">Triangular shape maximizes gas exchange</w:t>
      </w:r>
    </w:p>
    <w:p>
      <w:pPr>
        <w:pStyle w:val="ListParagraph"/>
        <w:numPr>
          <w:ilvl w:val="0"/>
          <w:numId w:val="2"/>
        </w:numPr>
      </w:pPr>
      <w:r>
        <w:rPr>
          <w:b/>
          <w:bCs/>
        </w:rPr>
        <w:t xml:space="preserve">Convection: </w:t>
      </w:r>
      <w:r>
        <w:t xml:space="preserve">Peak creates chimney effect—heap breathes naturally</w:t>
      </w:r>
    </w:p>
    <w:p>
      <w:pPr>
        <w:pStyle w:val="ListParagraph"/>
        <w:numPr>
          <w:ilvl w:val="0"/>
          <w:numId w:val="2"/>
        </w:numPr>
      </w:pPr>
      <w:r>
        <w:rPr>
          <w:b/>
          <w:bCs/>
        </w:rPr>
        <w:t xml:space="preserve">Moisture: </w:t>
      </w:r>
      <w:r>
        <w:t xml:space="preserve">Slopes prevent waterlogging, maintain 40-50%</w:t>
      </w:r>
    </w:p>
    <w:p>
      <w:pPr>
        <w:pStyle w:val="ListParagraph"/>
        <w:numPr>
          <w:ilvl w:val="0"/>
          <w:numId w:val="2"/>
        </w:numPr>
      </w:pPr>
      <w:r>
        <w:rPr>
          <w:b/>
          <w:bCs/>
        </w:rPr>
        <w:t xml:space="preserve">Heat balance: </w:t>
      </w:r>
      <w:r>
        <w:t xml:space="preserve">Optimal ratio prevents over/under-heating</w:t>
      </w:r>
    </w:p>
    <w:p>
      <w:r>
        <w:br w:type="page"/>
      </w:r>
    </w:p>
    <w:p>
      <w:pPr>
        <w:pStyle w:val="Heading1"/>
      </w:pPr>
      <w:r>
        <w:t xml:space="preserve">Phase 5: Active Fermentation</w:t>
      </w:r>
    </w:p>
    <w:p>
      <w:r>
        <w:rPr>
          <w:b/>
          <w:bCs/>
        </w:rPr>
        <w:t xml:space="preserve">Duration: </w:t>
      </w:r>
      <w:r>
        <w:t xml:space="preserve">90 days (Day 21-111)</w:t>
      </w:r>
    </w:p>
    <w:p>
      <w:pPr>
        <w:spacing w:before="200" w:after="200"/>
      </w:pPr>
      <w:r>
        <w:t xml:space="preserve">The heap reaches 60-75°C as thermophilic bacteria devour material.</w:t>
      </w:r>
    </w:p>
    <w:p>
      <w:pPr>
        <w:pStyle w:val="Heading2"/>
      </w:pPr>
      <w:r>
        <w:t xml:space="preserve">Monitoring</w:t>
      </w:r>
    </w:p>
    <w:p>
      <w:pPr>
        <w:pStyle w:val="ListParagraph"/>
        <w:numPr>
          <w:ilvl w:val="0"/>
          <w:numId w:val="2"/>
        </w:numPr>
      </w:pPr>
      <w:r>
        <w:rPr>
          <w:b/>
          <w:bCs/>
        </w:rPr>
        <w:t xml:space="preserve">Temperature: </w:t>
      </w:r>
      <w:r>
        <w:t xml:space="preserve">Check weekly, target 60°C average</w:t>
      </w:r>
    </w:p>
    <w:p>
      <w:pPr>
        <w:pStyle w:val="ListParagraph"/>
        <w:numPr>
          <w:ilvl w:val="0"/>
          <w:numId w:val="2"/>
        </w:numPr>
      </w:pPr>
      <w:r>
        <w:rPr>
          <w:b/>
          <w:bCs/>
        </w:rPr>
        <w:t xml:space="preserve">Moisture: </w:t>
      </w:r>
      <w:r>
        <w:t xml:space="preserve">Maintain 40-50%</w:t>
      </w:r>
    </w:p>
    <w:p>
      <w:pPr>
        <w:pStyle w:val="ListParagraph"/>
        <w:numPr>
          <w:ilvl w:val="0"/>
          <w:numId w:val="2"/>
        </w:numPr>
      </w:pPr>
      <w:r>
        <w:rPr>
          <w:b/>
          <w:bCs/>
        </w:rPr>
        <w:t xml:space="preserve">Protection: </w:t>
      </w:r>
      <w:r>
        <w:t xml:space="preserve">Repair roof after storms</w:t>
      </w:r>
    </w:p>
    <w:p>
      <w:pPr>
        <w:pStyle w:val="Heading2"/>
      </w:pPr>
      <w:r>
        <w:t xml:space="preserve">Troubleshooting</w:t>
      </w:r>
    </w:p>
    <w:p>
      <w:pPr>
        <w:pStyle w:val="ListParagraph"/>
        <w:numPr>
          <w:ilvl w:val="0"/>
          <w:numId w:val="2"/>
        </w:numPr>
      </w:pPr>
      <w:r>
        <w:rPr>
          <w:b/>
          <w:bCs/>
        </w:rPr>
        <w:t xml:space="preserve">Too cold (&lt;50°C): </w:t>
      </w:r>
      <w:r>
        <w:t xml:space="preserve">Add water</w:t>
      </w:r>
    </w:p>
    <w:p>
      <w:pPr>
        <w:pStyle w:val="ListParagraph"/>
        <w:numPr>
          <w:ilvl w:val="0"/>
          <w:numId w:val="2"/>
        </w:numPr>
      </w:pPr>
      <w:r>
        <w:rPr>
          <w:b/>
          <w:bCs/>
        </w:rPr>
        <w:t xml:space="preserve">Ammonia smell: </w:t>
      </w:r>
      <w:r>
        <w:t xml:space="preserve">Add carbon</w:t>
      </w:r>
    </w:p>
    <w:p>
      <w:pPr>
        <w:pStyle w:val="ListParagraph"/>
        <w:numPr>
          <w:ilvl w:val="0"/>
          <w:numId w:val="2"/>
        </w:numPr>
      </w:pPr>
      <w:r>
        <w:rPr>
          <w:b/>
          <w:bCs/>
        </w:rPr>
        <w:t xml:space="preserve">Putrid smell: </w:t>
      </w:r>
      <w:r>
        <w:t xml:space="preserve">Check drainage, add air</w:t>
      </w:r>
    </w:p>
    <w:p>
      <w:r>
        <w:br w:type="page"/>
      </w:r>
    </w:p>
    <w:p>
      <w:pPr>
        <w:pStyle w:val="Heading1"/>
      </w:pPr>
      <w:r>
        <w:t xml:space="preserve">Phase 6: Maturation &amp; Use</w:t>
      </w:r>
    </w:p>
    <w:p>
      <w:pPr>
        <w:pStyle w:val="Heading2"/>
      </w:pPr>
      <w:r>
        <w:t xml:space="preserve">90-Day Compost: Surface Only</w:t>
      </w:r>
    </w:p>
    <w:p>
      <w:pPr>
        <w:spacing w:after="200"/>
      </w:pPr>
      <w:r>
        <w:t xml:space="preserve">Apply ON TOP of soil only. Do not incorporate.</w:t>
      </w:r>
    </w:p>
    <w:p>
      <w:pPr>
        <w:pStyle w:val="Heading2"/>
      </w:pPr>
      <w:r>
        <w:t xml:space="preserve">18-Month Compost: Full Use</w:t>
      </w:r>
    </w:p>
    <w:p>
      <w:pPr>
        <w:spacing w:after="100"/>
      </w:pPr>
      <w:r>
        <w:t xml:space="preserve">Can incorporate into top 10cm after passing the Crushing Test:</w:t>
      </w:r>
    </w:p>
    <w:p>
      <w:pPr>
        <w:pStyle w:val="ListParagraph"/>
        <w:numPr>
          <w:ilvl w:val="0"/>
          <w:numId w:val="3"/>
        </w:numPr>
      </w:pPr>
      <w:r>
        <w:t xml:space="preserve">Take thickest wood piece</w:t>
      </w:r>
    </w:p>
    <w:p>
      <w:pPr>
        <w:pStyle w:val="ListParagraph"/>
        <w:numPr>
          <w:ilvl w:val="0"/>
          <w:numId w:val="3"/>
        </w:numPr>
      </w:pPr>
      <w:r>
        <w:t xml:space="preserve">Crush between thumb and forefinger</w:t>
      </w:r>
    </w:p>
    <w:p>
      <w:pPr>
        <w:pStyle w:val="ListParagraph"/>
        <w:numPr>
          <w:ilvl w:val="0"/>
          <w:numId w:val="3"/>
        </w:numPr>
      </w:pPr>
      <w:r>
        <w:rPr>
          <w:b/>
          <w:bCs/>
        </w:rPr>
        <w:t xml:space="preserve">Crumbles = ready</w:t>
      </w:r>
      <w:r>
        <w:t xml:space="preserve">; Resists = wait longer</w:t>
      </w:r>
    </w:p>
    <w:p>
      <w:pPr>
        <w:pBdr>
          <w:top w:val="single" w:color="721C24" w:sz="1"/>
          <w:bottom w:val="single" w:color="721C24" w:sz="1"/>
          <w:left w:val="single" w:color="721C24" w:sz="1"/>
          <w:right w:val="single" w:color="721C24" w:sz="1"/>
        </w:pBdr>
        <w:shd w:fill="F8D7DA" w:val="clear"/>
        <w:spacing w:before="200" w:after="200"/>
      </w:pPr>
      <w:r>
        <w:rPr>
          <w:b/>
          <w:bCs/>
        </w:rPr>
        <w:t xml:space="preserve">⚠ WARNING: </w:t>
      </w:r>
      <w:r>
        <w:t xml:space="preserve">Incorporating unfinished compost causes 'blockage'—soil exhausts itself digesting coarse material, damaging plants for 1-2 years.</w:t>
      </w:r>
    </w:p>
    <w:p>
      <w:r>
        <w:br w:type="page"/>
      </w:r>
    </w:p>
    <w:p>
      <w:pPr>
        <w:pStyle w:val="Heading1"/>
      </w:pPr>
      <w:r>
        <w:t xml:space="preserve">Timeline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Day</w:t>
            </w:r>
          </w:p>
        </w:tc>
        <w:tc>
          <w:tcPr>
            <w:tcW w:type="dxa" w:w="22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Phase</w:t>
            </w:r>
          </w:p>
        </w:tc>
        <w:tc>
          <w:tcPr>
            <w:tcW w:type="dxa" w:w="536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Activities</w:t>
            </w:r>
          </w:p>
        </w:tc>
      </w:tr>
      <w:tr>
        <w:tc>
          <w:tcPr>
            <w:tcW w:type="dxa" w:w="1800"/>
            <w:tcBorders>
              <w:top w:val="single" w:color="CCCCCC" w:sz="1"/>
              <w:left w:val="single" w:color="CCCCCC" w:sz="1"/>
              <w:bottom w:val="single" w:color="CCCCCC" w:sz="1"/>
              <w:right w:val="single" w:color="CCCCCC" w:sz="1"/>
            </w:tcBorders>
          </w:tcPr>
          <w:p>
            <w:r>
              <w:t xml:space="preserve">1-3</w:t>
            </w:r>
          </w:p>
        </w:tc>
        <w:tc>
          <w:tcPr>
            <w:tcW w:type="dxa" w:w="2200"/>
            <w:tcBorders>
              <w:top w:val="single" w:color="CCCCCC" w:sz="1"/>
              <w:left w:val="single" w:color="CCCCCC" w:sz="1"/>
              <w:bottom w:val="single" w:color="CCCCCC" w:sz="1"/>
              <w:right w:val="single" w:color="CCCCCC" w:sz="1"/>
            </w:tcBorders>
          </w:tcPr>
          <w:p>
            <w:r>
              <w:t xml:space="preserve">Gathering</w:t>
            </w:r>
          </w:p>
        </w:tc>
        <w:tc>
          <w:tcPr>
            <w:tcW w:type="dxa" w:w="5360"/>
            <w:tcBorders>
              <w:top w:val="single" w:color="CCCCCC" w:sz="1"/>
              <w:left w:val="single" w:color="CCCCCC" w:sz="1"/>
              <w:bottom w:val="single" w:color="CCCCCC" w:sz="1"/>
              <w:right w:val="single" w:color="CCCCCC" w:sz="1"/>
            </w:tcBorders>
          </w:tcPr>
          <w:p>
            <w:r>
              <w:t xml:space="preserve">Collect brushwood, begin impregnation</w:t>
            </w:r>
          </w:p>
        </w:tc>
      </w:tr>
      <w:tr>
        <w:tc>
          <w:tcPr>
            <w:tcW w:type="dxa" w:w="1800"/>
            <w:tcBorders>
              <w:top w:val="single" w:color="CCCCCC" w:sz="1"/>
              <w:left w:val="single" w:color="CCCCCC" w:sz="1"/>
              <w:bottom w:val="single" w:color="CCCCCC" w:sz="1"/>
              <w:right w:val="single" w:color="CCCCCC" w:sz="1"/>
            </w:tcBorders>
            <w:shd w:fill="F5F8F0" w:val="clear"/>
          </w:tcPr>
          <w:p>
            <w:r>
              <w:t xml:space="preserve">1-21</w:t>
            </w:r>
          </w:p>
        </w:tc>
        <w:tc>
          <w:tcPr>
            <w:tcW w:type="dxa" w:w="2200"/>
            <w:tcBorders>
              <w:top w:val="single" w:color="CCCCCC" w:sz="1"/>
              <w:left w:val="single" w:color="CCCCCC" w:sz="1"/>
              <w:bottom w:val="single" w:color="CCCCCC" w:sz="1"/>
              <w:right w:val="single" w:color="CCCCCC" w:sz="1"/>
            </w:tcBorders>
            <w:shd w:fill="F5F8F0" w:val="clear"/>
          </w:tcPr>
          <w:p>
            <w:r>
              <w:t xml:space="preserve">Pre-composting</w:t>
            </w:r>
          </w:p>
        </w:tc>
        <w:tc>
          <w:tcPr>
            <w:tcW w:type="dxa" w:w="5360"/>
            <w:tcBorders>
              <w:top w:val="single" w:color="CCCCCC" w:sz="1"/>
              <w:left w:val="single" w:color="CCCCCC" w:sz="1"/>
              <w:bottom w:val="single" w:color="CCCCCC" w:sz="1"/>
              <w:right w:val="single" w:color="CCCCCC" w:sz="1"/>
            </w:tcBorders>
            <w:shd w:fill="F5F8F0" w:val="clear"/>
          </w:tcPr>
          <w:p>
            <w:r>
              <w:t xml:space="preserve">Initial fermentation</w:t>
            </w:r>
          </w:p>
        </w:tc>
      </w:tr>
      <w:tr>
        <w:tc>
          <w:tcPr>
            <w:tcW w:type="dxa" w:w="1800"/>
            <w:tcBorders>
              <w:top w:val="single" w:color="CCCCCC" w:sz="1"/>
              <w:left w:val="single" w:color="CCCCCC" w:sz="1"/>
              <w:bottom w:val="single" w:color="CCCCCC" w:sz="1"/>
              <w:right w:val="single" w:color="CCCCCC" w:sz="1"/>
            </w:tcBorders>
          </w:tcPr>
          <w:p>
            <w:r>
              <w:t xml:space="preserve">~21</w:t>
            </w:r>
          </w:p>
        </w:tc>
        <w:tc>
          <w:tcPr>
            <w:tcW w:type="dxa" w:w="2200"/>
            <w:tcBorders>
              <w:top w:val="single" w:color="CCCCCC" w:sz="1"/>
              <w:left w:val="single" w:color="CCCCCC" w:sz="1"/>
              <w:bottom w:val="single" w:color="CCCCCC" w:sz="1"/>
              <w:right w:val="single" w:color="CCCCCC" w:sz="1"/>
            </w:tcBorders>
          </w:tcPr>
          <w:p>
            <w:r>
              <w:t xml:space="preserve">Construction</w:t>
            </w:r>
          </w:p>
        </w:tc>
        <w:tc>
          <w:tcPr>
            <w:tcW w:type="dxa" w:w="5360"/>
            <w:tcBorders>
              <w:top w:val="single" w:color="CCCCCC" w:sz="1"/>
              <w:left w:val="single" w:color="CCCCCC" w:sz="1"/>
              <w:bottom w:val="single" w:color="CCCCCC" w:sz="1"/>
              <w:right w:val="single" w:color="CCCCCC" w:sz="1"/>
            </w:tcBorders>
          </w:tcPr>
          <w:p>
            <w:r>
              <w:t xml:space="preserve">Card material, build 2.20m × 1.60m heap</w:t>
            </w:r>
          </w:p>
        </w:tc>
      </w:tr>
      <w:tr>
        <w:tc>
          <w:tcPr>
            <w:tcW w:type="dxa" w:w="1800"/>
            <w:tcBorders>
              <w:top w:val="single" w:color="CCCCCC" w:sz="1"/>
              <w:left w:val="single" w:color="CCCCCC" w:sz="1"/>
              <w:bottom w:val="single" w:color="CCCCCC" w:sz="1"/>
              <w:right w:val="single" w:color="CCCCCC" w:sz="1"/>
            </w:tcBorders>
            <w:shd w:fill="F5F8F0" w:val="clear"/>
          </w:tcPr>
          <w:p>
            <w:r>
              <w:t xml:space="preserve">21-111</w:t>
            </w:r>
          </w:p>
        </w:tc>
        <w:tc>
          <w:tcPr>
            <w:tcW w:type="dxa" w:w="2200"/>
            <w:tcBorders>
              <w:top w:val="single" w:color="CCCCCC" w:sz="1"/>
              <w:left w:val="single" w:color="CCCCCC" w:sz="1"/>
              <w:bottom w:val="single" w:color="CCCCCC" w:sz="1"/>
              <w:right w:val="single" w:color="CCCCCC" w:sz="1"/>
            </w:tcBorders>
            <w:shd w:fill="F5F8F0" w:val="clear"/>
          </w:tcPr>
          <w:p>
            <w:r>
              <w:t xml:space="preserve">Fermentation</w:t>
            </w:r>
          </w:p>
        </w:tc>
        <w:tc>
          <w:tcPr>
            <w:tcW w:type="dxa" w:w="5360"/>
            <w:tcBorders>
              <w:top w:val="single" w:color="CCCCCC" w:sz="1"/>
              <w:left w:val="single" w:color="CCCCCC" w:sz="1"/>
              <w:bottom w:val="single" w:color="CCCCCC" w:sz="1"/>
              <w:right w:val="single" w:color="CCCCCC" w:sz="1"/>
            </w:tcBorders>
            <w:shd w:fill="F5F8F0" w:val="clear"/>
          </w:tcPr>
          <w:p>
            <w:r>
              <w:t xml:space="preserve">Thermophilic decomposition, monitor weekly</w:t>
            </w:r>
          </w:p>
        </w:tc>
      </w:tr>
      <w:tr>
        <w:tc>
          <w:tcPr>
            <w:tcW w:type="dxa" w:w="1800"/>
            <w:tcBorders>
              <w:top w:val="single" w:color="CCCCCC" w:sz="1"/>
              <w:left w:val="single" w:color="CCCCCC" w:sz="1"/>
              <w:bottom w:val="single" w:color="CCCCCC" w:sz="1"/>
              <w:right w:val="single" w:color="CCCCCC" w:sz="1"/>
            </w:tcBorders>
          </w:tcPr>
          <w:p>
            <w:r>
              <w:t xml:space="preserve">111+</w:t>
            </w:r>
          </w:p>
        </w:tc>
        <w:tc>
          <w:tcPr>
            <w:tcW w:type="dxa" w:w="2200"/>
            <w:tcBorders>
              <w:top w:val="single" w:color="CCCCCC" w:sz="1"/>
              <w:left w:val="single" w:color="CCCCCC" w:sz="1"/>
              <w:bottom w:val="single" w:color="CCCCCC" w:sz="1"/>
              <w:right w:val="single" w:color="CCCCCC" w:sz="1"/>
            </w:tcBorders>
          </w:tcPr>
          <w:p>
            <w:r>
              <w:t xml:space="preserve">Surface Use</w:t>
            </w:r>
          </w:p>
        </w:tc>
        <w:tc>
          <w:tcPr>
            <w:tcW w:type="dxa" w:w="5360"/>
            <w:tcBorders>
              <w:top w:val="single" w:color="CCCCCC" w:sz="1"/>
              <w:left w:val="single" w:color="CCCCCC" w:sz="1"/>
              <w:bottom w:val="single" w:color="CCCCCC" w:sz="1"/>
              <w:right w:val="single" w:color="CCCCCC" w:sz="1"/>
            </w:tcBorders>
          </w:tcPr>
          <w:p>
            <w:r>
              <w:t xml:space="preserve">Apply ON TOP of soil only</w:t>
            </w:r>
          </w:p>
        </w:tc>
      </w:tr>
      <w:tr>
        <w:tc>
          <w:tcPr>
            <w:tcW w:type="dxa" w:w="1800"/>
            <w:tcBorders>
              <w:top w:val="single" w:color="CCCCCC" w:sz="1"/>
              <w:left w:val="single" w:color="CCCCCC" w:sz="1"/>
              <w:bottom w:val="single" w:color="CCCCCC" w:sz="1"/>
              <w:right w:val="single" w:color="CCCCCC" w:sz="1"/>
            </w:tcBorders>
            <w:shd w:fill="F5F8F0" w:val="clear"/>
          </w:tcPr>
          <w:p>
            <w:r>
              <w:t xml:space="preserve">540+</w:t>
            </w:r>
          </w:p>
        </w:tc>
        <w:tc>
          <w:tcPr>
            <w:tcW w:type="dxa" w:w="2200"/>
            <w:tcBorders>
              <w:top w:val="single" w:color="CCCCCC" w:sz="1"/>
              <w:left w:val="single" w:color="CCCCCC" w:sz="1"/>
              <w:bottom w:val="single" w:color="CCCCCC" w:sz="1"/>
              <w:right w:val="single" w:color="CCCCCC" w:sz="1"/>
            </w:tcBorders>
            <w:shd w:fill="F5F8F0" w:val="clear"/>
          </w:tcPr>
          <w:p>
            <w:r>
              <w:t xml:space="preserve">Incorporation</w:t>
            </w:r>
          </w:p>
        </w:tc>
        <w:tc>
          <w:tcPr>
            <w:tcW w:type="dxa" w:w="5360"/>
            <w:tcBorders>
              <w:top w:val="single" w:color="CCCCCC" w:sz="1"/>
              <w:left w:val="single" w:color="CCCCCC" w:sz="1"/>
              <w:bottom w:val="single" w:color="CCCCCC" w:sz="1"/>
              <w:right w:val="single" w:color="CCCCCC" w:sz="1"/>
            </w:tcBorders>
            <w:shd w:fill="F5F8F0" w:val="clear"/>
          </w:tcPr>
          <w:p>
            <w:r>
              <w:t xml:space="preserve">After crushing test, can mix into soil</w:t>
            </w:r>
          </w:p>
        </w:tc>
      </w:tr>
    </w:tbl>
    <w:p>
      <w:r>
        <w:br w:type="page"/>
      </w:r>
    </w:p>
    <w:p>
      <w:pPr>
        <w:pStyle w:val="Heading1"/>
      </w:pPr>
      <w:r>
        <w:t xml:space="preserve">Implementation Checklist</w:t>
      </w:r>
    </w:p>
    <w:p>
      <w:pPr>
        <w:pStyle w:val="Heading2"/>
      </w:pPr>
      <w:r>
        <w:t xml:space="preserve">Materials Needed</w:t>
      </w:r>
    </w:p>
    <w:p>
      <w:pPr>
        <w:pStyle w:val="ListParagraph"/>
        <w:numPr>
          <w:ilvl w:val="0"/>
          <w:numId w:val="4"/>
        </w:numPr>
      </w:pPr>
      <w:r>
        <w:t xml:space="preserve">Diverse brushwood (min. 4m³)</w:t>
      </w:r>
    </w:p>
    <w:p>
      <w:pPr>
        <w:pStyle w:val="ListParagraph"/>
        <w:numPr>
          <w:ilvl w:val="0"/>
          <w:numId w:val="4"/>
        </w:numPr>
      </w:pPr>
      <w:r>
        <w:t xml:space="preserve">Water source</w:t>
      </w:r>
    </w:p>
    <w:p>
      <w:pPr>
        <w:pStyle w:val="ListParagraph"/>
        <w:numPr>
          <w:ilvl w:val="0"/>
          <w:numId w:val="4"/>
        </w:numPr>
      </w:pPr>
      <w:r>
        <w:t xml:space="preserve">Non-metallic soaking container</w:t>
      </w:r>
    </w:p>
    <w:p>
      <w:pPr>
        <w:pStyle w:val="ListParagraph"/>
        <w:numPr>
          <w:ilvl w:val="0"/>
          <w:numId w:val="4"/>
        </w:numPr>
      </w:pPr>
      <w:r>
        <w:t xml:space="preserve">Heavy stone</w:t>
      </w:r>
    </w:p>
    <w:p>
      <w:pPr>
        <w:pStyle w:val="ListParagraph"/>
        <w:numPr>
          <w:ilvl w:val="0"/>
          <w:numId w:val="4"/>
        </w:numPr>
      </w:pPr>
      <w:r>
        <w:t xml:space="preserve">Garden fork</w:t>
      </w:r>
    </w:p>
    <w:p>
      <w:pPr>
        <w:pStyle w:val="ListParagraph"/>
        <w:numPr>
          <w:ilvl w:val="0"/>
          <w:numId w:val="4"/>
        </w:numPr>
      </w:pPr>
      <w:r>
        <w:t xml:space="preserve">Spade</w:t>
      </w:r>
    </w:p>
    <w:p>
      <w:pPr>
        <w:pStyle w:val="ListParagraph"/>
        <w:numPr>
          <w:ilvl w:val="0"/>
          <w:numId w:val="4"/>
        </w:numPr>
      </w:pPr>
      <w:r>
        <w:t xml:space="preserve">Earth/sand/leaf-mould for coating</w:t>
      </w:r>
    </w:p>
    <w:p>
      <w:pPr>
        <w:pStyle w:val="ListParagraph"/>
        <w:numPr>
          <w:ilvl w:val="0"/>
          <w:numId w:val="4"/>
        </w:numPr>
      </w:pPr>
      <w:r>
        <w:t xml:space="preserve">Large branches for roof</w:t>
      </w:r>
    </w:p>
    <w:p>
      <w:pPr>
        <w:pStyle w:val="ListParagraph"/>
        <w:numPr>
          <w:ilvl w:val="0"/>
          <w:numId w:val="4"/>
        </w:numPr>
      </w:pPr>
      <w:r>
        <w:t xml:space="preserve">Compost thermometer</w:t>
      </w:r>
    </w:p>
    <w:p>
      <w:pPr>
        <w:pStyle w:val="ListParagraph"/>
        <w:numPr>
          <w:ilvl w:val="0"/>
          <w:numId w:val="4"/>
        </w:numPr>
      </w:pPr>
      <w:r>
        <w:t xml:space="preserve">Measuring tape</w:t>
      </w:r>
    </w:p>
    <w:p>
      <w:pPr>
        <w:pStyle w:val="Heading2"/>
      </w:pPr>
      <w:r>
        <w:t xml:space="preserve">Site Requirements</w:t>
      </w:r>
    </w:p>
    <w:p>
      <w:pPr>
        <w:pStyle w:val="ListParagraph"/>
        <w:numPr>
          <w:ilvl w:val="0"/>
          <w:numId w:val="4"/>
        </w:numPr>
      </w:pPr>
      <w:r>
        <w:t xml:space="preserve">Level ground with drainage</w:t>
      </w:r>
    </w:p>
    <w:p>
      <w:pPr>
        <w:pStyle w:val="ListParagraph"/>
        <w:numPr>
          <w:ilvl w:val="0"/>
          <w:numId w:val="4"/>
        </w:numPr>
      </w:pPr>
      <w:r>
        <w:t xml:space="preserve">Space for 2.20m × desired length</w:t>
      </w:r>
    </w:p>
    <w:p>
      <w:pPr>
        <w:pStyle w:val="ListParagraph"/>
        <w:numPr>
          <w:ilvl w:val="0"/>
          <w:numId w:val="4"/>
        </w:numPr>
      </w:pPr>
      <w:r>
        <w:t xml:space="preserve">Working room on all sides</w:t>
      </w:r>
    </w:p>
    <w:p>
      <w:pPr>
        <w:pStyle w:val="ListParagraph"/>
        <w:numPr>
          <w:ilvl w:val="0"/>
          <w:numId w:val="4"/>
        </w:numPr>
      </w:pPr>
      <w:r>
        <w:t xml:space="preserve">Water access</w:t>
      </w:r>
    </w:p>
    <w:p>
      <w:r>
        <w:br w:type="page"/>
      </w:r>
    </w:p>
    <w:p>
      <w:pPr>
        <w:spacing w:before="1200"/>
      </w:pPr>
    </w:p>
    <w:p>
      <w:pPr>
        <w:spacing w:after="200"/>
        <w:jc w:val="center"/>
      </w:pPr>
      <w:r>
        <w:rPr>
          <w:i/>
          <w:iCs/>
          <w:sz w:val="28"/>
          <w:szCs w:val="28"/>
        </w:rPr>
        <w:t xml:space="preserve">"From a minute blade of grass to the gigantic Sequoia,</w:t>
      </w:r>
    </w:p>
    <w:p>
      <w:pPr>
        <w:spacing w:after="400"/>
        <w:jc w:val="center"/>
      </w:pPr>
      <w:r>
        <w:rPr>
          <w:i/>
          <w:iCs/>
          <w:sz w:val="28"/>
          <w:szCs w:val="28"/>
        </w:rPr>
        <w:t xml:space="preserve">every plant is potential HUMUS."</w:t>
      </w:r>
    </w:p>
    <w:p>
      <w:pPr>
        <w:spacing w:after="600"/>
        <w:jc w:val="center"/>
      </w:pPr>
      <w:r>
        <w:rPr>
          <w:color w:val="666666"/>
          <w:sz w:val="24"/>
          <w:szCs w:val="24"/>
        </w:rPr>
        <w:t xml:space="preserve">— Jean Pain</w:t>
      </w:r>
    </w:p>
    <w:p>
      <w:pPr>
        <w:spacing w:before="400"/>
        <w:jc w:val="center"/>
      </w:pPr>
      <w:r>
        <w:rPr>
          <w:color w:val="CCCCCC"/>
          <w:sz w:val="28"/>
          <w:szCs w:val="28"/>
        </w:rPr>
        <w:t xml:space="preserve">───────────────────</w:t>
      </w:r>
    </w:p>
    <w:p>
      <w:pPr>
        <w:spacing w:before="400"/>
        <w:jc w:val="center"/>
      </w:pPr>
      <w:r>
        <w:rPr>
          <w:i/>
          <w:iCs/>
          <w:sz w:val="24"/>
          <w:szCs w:val="24"/>
        </w:rPr>
        <w:t xml:space="preserve">Brushwood compost will be for the soil</w:t>
      </w:r>
    </w:p>
    <w:p>
      <w:pPr>
        <w:jc w:val="center"/>
      </w:pPr>
      <w:r>
        <w:rPr>
          <w:i/>
          <w:iCs/>
          <w:sz w:val="24"/>
          <w:szCs w:val="24"/>
        </w:rPr>
        <w:t xml:space="preserve">both food and framework—</w:t>
      </w:r>
    </w:p>
    <w:p>
      <w:pPr>
        <w:spacing w:after="600"/>
        <w:jc w:val="center"/>
      </w:pPr>
      <w:r>
        <w:rPr>
          <w:b/>
          <w:bCs/>
          <w:color w:val="2D5016"/>
          <w:sz w:val="28"/>
          <w:szCs w:val="28"/>
        </w:rPr>
        <w:t xml:space="preserve">LIVING HUMUS.</w:t>
      </w:r>
    </w:p>
    <w:p>
      <w:pPr>
        <w:spacing w:before="800"/>
        <w:jc w:val="center"/>
      </w:pPr>
      <w:r>
        <w:rPr>
          <w:sz w:val="36"/>
          <w:szCs w:val="36"/>
        </w:rPr>
        <w:t xml:space="preserve">🥔</w:t>
      </w:r>
    </w:p>
    <w:p>
      <w:pPr>
        <w:spacing w:before="200"/>
        <w:jc w:val="center"/>
      </w:pPr>
      <w:r>
        <w:rPr>
          <w:color w:val="999999"/>
          <w:sz w:val="20"/>
          <w:szCs w:val="20"/>
        </w:rPr>
        <w:t xml:space="preserve">SPUDNIK Documentation Series</w:t>
      </w:r>
    </w:p>
    <w:p>
      <w:pPr>
        <w:jc w:val="center"/>
      </w:pPr>
      <w:r>
        <w:rPr>
          <w:color w:val="999999"/>
          <w:sz w:val="20"/>
          <w:szCs w:val="20"/>
        </w:rPr>
        <w:t xml:space="preserve">East Flanders Regenerative Agriculture Project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999999"/>
        <w:sz w:val="20"/>
        <w:szCs w:val="20"/>
      </w:rPr>
      <w:t xml:space="preserve">  |  SPUDNIK Documentation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Jean Pain Composting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2D5016"/>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4A7A2A"/>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5C8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2025-12-21T08:40:29.248Z</dcterms:created>
  <dcterms:modified xsi:type="dcterms:W3CDTF">2025-12-21T08:40:29.249Z</dcterms:modified>
</cp:coreProperties>
</file>

<file path=docProps/custom.xml><?xml version="1.0" encoding="utf-8"?>
<Properties xmlns="http://schemas.openxmlformats.org/officeDocument/2006/custom-properties" xmlns:vt="http://schemas.openxmlformats.org/officeDocument/2006/docPropsVTypes"/>
</file>