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rPr>
          <w:b/>
          <w:bCs/>
          <w:color w:val="1C1E1B"/>
          <w:sz w:val="44"/>
          <w:szCs w:val="44"/>
        </w:rPr>
        <w:t xml:space="preserve">Vendor Evaluation Scorecard</w:t>
      </w:r>
    </w:p>
    <w:p>
      <w:pPr>
        <w:spacing w:after="60"/>
      </w:pPr>
      <w:r>
        <w:rPr>
          <w:b/>
          <w:bCs/>
          <w:sz w:val="21"/>
          <w:szCs w:val="21"/>
        </w:rPr>
        <w:t xml:space="preserve">Vendor name: </w:t>
      </w:r>
      <w:r>
        <w:rPr>
          <w:sz w:val="21"/>
          <w:szCs w:val="21"/>
        </w:rP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Evaluator(s): </w:t>
      </w:r>
      <w:r>
        <w:rPr>
          <w:sz w:val="21"/>
          <w:szCs w:val="21"/>
        </w:rP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Date: </w:t>
      </w:r>
      <w:r>
        <w:rPr>
          <w:sz w:val="21"/>
          <w:szCs w:val="21"/>
        </w:rP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Category / use case: </w:t>
      </w:r>
      <w:r>
        <w:rPr>
          <w:sz w:val="21"/>
          <w:szCs w:val="21"/>
        </w:rPr>
        <w:t xml:space="preserve"/>
      </w:r>
    </w:p>
    <w:p>
      <w:pPr>
        <w:pBdr>
          <w:bottom w:val="single" w:color="DCDAD2" w:sz="6" w:space="1"/>
        </w:pBdr>
        <w:spacing w:after="200" w:before="100"/>
      </w:pPr>
      <w:r>
        <w:t xml:space="preserve"/>
      </w:r>
    </w:p>
    <w:p>
      <w:pPr>
        <w:spacing w:after="140"/>
      </w:pPr>
      <w:r>
        <w:rPr>
          <w:i w:val="false"/>
          <w:iCs w:val="false"/>
          <w:color w:val="52564F"/>
          <w:sz w:val="21"/>
          <w:szCs w:val="21"/>
        </w:rPr>
        <w:t xml:space="preserve">Score each dimension 1-5 (1 = poor fit or high risk, 5 = excellent fit or low risk). Multiply by weight for the weighted score. Adjust weights to reflect what actually matters for this decision; the defaults below are a reasonable starting point, not a fixed formula.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100"/>
        <w:gridCol w:w="1300"/>
        <w:gridCol w:w="1600"/>
        <w:gridCol w:w="2600"/>
      </w:tblGrid>
      <w:tr>
        <w:trPr>
          <w:tblHeader/>
        </w:trPr>
        <w:tc>
          <w:tcPr>
            <w:tcW w:type="dxa" w:w="2400"/>
            <w:shd w:fill="E4EDE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2564F"/>
                <w:sz w:val="19"/>
                <w:szCs w:val="19"/>
              </w:rPr>
              <w:t xml:space="preserve">Dimension</w:t>
            </w:r>
          </w:p>
        </w:tc>
        <w:tc>
          <w:tcPr>
            <w:tcW w:type="dxa" w:w="1100"/>
            <w:shd w:fill="E4EDE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2564F"/>
                <w:sz w:val="19"/>
                <w:szCs w:val="19"/>
              </w:rPr>
              <w:t xml:space="preserve">Weight</w:t>
            </w:r>
          </w:p>
        </w:tc>
        <w:tc>
          <w:tcPr>
            <w:tcW w:type="dxa" w:w="1300"/>
            <w:shd w:fill="E4EDE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2564F"/>
                <w:sz w:val="19"/>
                <w:szCs w:val="19"/>
              </w:rPr>
              <w:t xml:space="preserve">Score (1-5)</w:t>
            </w:r>
          </w:p>
        </w:tc>
        <w:tc>
          <w:tcPr>
            <w:tcW w:type="dxa" w:w="1600"/>
            <w:shd w:fill="E4EDE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2564F"/>
                <w:sz w:val="19"/>
                <w:szCs w:val="19"/>
              </w:rPr>
              <w:t xml:space="preserve">Weighted Score</w:t>
            </w:r>
          </w:p>
        </w:tc>
        <w:tc>
          <w:tcPr>
            <w:tcW w:type="dxa" w:w="2600"/>
            <w:shd w:fill="E4EDE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2564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>Functional fit</w:t>
            </w:r>
          </w:p>
        </w:tc>
        <w:tc>
          <w:tcPr>
            <w:tcW w:type="dxa" w:w="1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>30%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>Security posture</w:t>
            </w:r>
          </w:p>
        </w:tc>
        <w:tc>
          <w:tcPr>
            <w:tcW w:type="dxa" w:w="1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>20%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>Financial stability</w:t>
            </w:r>
          </w:p>
        </w:tc>
        <w:tc>
          <w:tcPr>
            <w:tcW w:type="dxa" w:w="1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>15%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>Integration complexity</w:t>
            </w:r>
          </w:p>
        </w:tc>
        <w:tc>
          <w:tcPr>
            <w:tcW w:type="dxa" w:w="1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>15%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>Support &amp; SLA</w:t>
            </w:r>
          </w:p>
        </w:tc>
        <w:tc>
          <w:tcPr>
            <w:tcW w:type="dxa" w:w="1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>10%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>Exit cost / lock-in</w:t>
            </w:r>
          </w:p>
        </w:tc>
        <w:tc>
          <w:tcPr>
            <w:tcW w:type="dxa" w:w="1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>10%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>Total</w:t>
            </w:r>
          </w:p>
        </w:tc>
        <w:tc>
          <w:tcPr>
            <w:tcW w:type="dxa" w:w="1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>100%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</w:tr>
    </w:tbl>
    <w:p>
      <w:pPr>
        <w:spacing w:before="240"/>
      </w:pPr>
    </w:p>
    <w:p>
      <w:pPr>
        <w:pStyle w:val="Heading1"/>
        <w:spacing w:after="120" w:before="300"/>
      </w:pPr>
      <w:r>
        <w:rPr>
          <w:b/>
          <w:bCs/>
          <w:color w:val="2E5E4E"/>
          <w:sz w:val="26"/>
          <w:szCs w:val="26"/>
        </w:rPr>
        <w:t xml:space="preserve">Dimension Guidance</w:t>
      </w:r>
    </w:p>
    <w:p>
      <w:pPr>
        <w:pStyle w:val="Heading2"/>
        <w:spacing w:after="80" w:before="200"/>
      </w:pPr>
      <w:r>
        <w:rPr>
          <w:b/>
          <w:bCs/>
          <w:color w:val="1C1E1B"/>
          <w:sz w:val="22"/>
          <w:szCs w:val="22"/>
        </w:rPr>
        <w:t xml:space="preserve">Functional fit</w:t>
      </w:r>
    </w:p>
    <w:p>
      <w:pPr>
        <w:spacing w:after="140"/>
      </w:pPr>
      <w:r>
        <w:rPr>
          <w:i w:val="false"/>
          <w:iCs w:val="false"/>
          <w:color w:val="52564F"/>
          <w:sz w:val="21"/>
          <w:szCs w:val="21"/>
        </w:rPr>
        <w:t xml:space="preserve">Does it solve the actual problem without excessive customization? Score down for features that require significant workarounds to fit the real use case.</w:t>
      </w:r>
    </w:p>
    <w:p>
      <w:pPr>
        <w:pStyle w:val="Heading2"/>
        <w:spacing w:after="80" w:before="200"/>
      </w:pPr>
      <w:r>
        <w:rPr>
          <w:b/>
          <w:bCs/>
          <w:color w:val="1C1E1B"/>
          <w:sz w:val="22"/>
          <w:szCs w:val="22"/>
        </w:rPr>
        <w:t xml:space="preserve">Security posture</w:t>
      </w:r>
    </w:p>
    <w:p>
      <w:pPr>
        <w:spacing w:after="140"/>
      </w:pPr>
      <w:r>
        <w:rPr>
          <w:i w:val="false"/>
          <w:iCs w:val="false"/>
          <w:color w:val="52564F"/>
          <w:sz w:val="21"/>
          <w:szCs w:val="21"/>
        </w:rPr>
        <w:t xml:space="preserve">Certifications held (SOC 2, ISO 27001, and similar), data handling practices, breach history, access control model.</w:t>
      </w:r>
    </w:p>
    <w:p>
      <w:pPr>
        <w:pStyle w:val="Heading2"/>
        <w:spacing w:after="80" w:before="200"/>
      </w:pPr>
      <w:r>
        <w:rPr>
          <w:b/>
          <w:bCs/>
          <w:color w:val="1C1E1B"/>
          <w:sz w:val="22"/>
          <w:szCs w:val="22"/>
        </w:rPr>
        <w:t xml:space="preserve">Financial stability</w:t>
      </w:r>
    </w:p>
    <w:p>
      <w:pPr>
        <w:spacing w:after="140"/>
      </w:pPr>
      <w:r>
        <w:rPr>
          <w:i w:val="false"/>
          <w:iCs w:val="false"/>
          <w:color w:val="52564F"/>
          <w:sz w:val="21"/>
          <w:szCs w:val="21"/>
        </w:rPr>
        <w:t xml:space="preserve">Company size, funding stage, revenue trajectory, and customer concentration risk on their side. A vendor that might not exist in two years is a risk regardless of product quality.</w:t>
      </w:r>
    </w:p>
    <w:p>
      <w:pPr>
        <w:pStyle w:val="Heading2"/>
        <w:spacing w:after="80" w:before="200"/>
      </w:pPr>
      <w:r>
        <w:rPr>
          <w:b/>
          <w:bCs/>
          <w:color w:val="1C1E1B"/>
          <w:sz w:val="22"/>
          <w:szCs w:val="22"/>
        </w:rPr>
        <w:t xml:space="preserve">Integration complexity</w:t>
      </w:r>
    </w:p>
    <w:p>
      <w:pPr>
        <w:spacing w:after="140"/>
      </w:pPr>
      <w:r>
        <w:rPr>
          <w:i w:val="false"/>
          <w:iCs w:val="false"/>
          <w:color w:val="52564F"/>
          <w:sz w:val="21"/>
          <w:szCs w:val="21"/>
        </w:rPr>
        <w:t xml:space="preserve">API quality and documentation, authentication model compatibility, data format compatibility, and estimated integration effort.</w:t>
      </w:r>
    </w:p>
    <w:p>
      <w:pPr>
        <w:pStyle w:val="Heading2"/>
        <w:spacing w:after="80" w:before="200"/>
      </w:pPr>
      <w:r>
        <w:rPr>
          <w:b/>
          <w:bCs/>
          <w:color w:val="1C1E1B"/>
          <w:sz w:val="22"/>
          <w:szCs w:val="22"/>
        </w:rPr>
        <w:t xml:space="preserve">Support &amp; SLA</w:t>
      </w:r>
    </w:p>
    <w:p>
      <w:pPr>
        <w:spacing w:after="140"/>
      </w:pPr>
      <w:r>
        <w:rPr>
          <w:i w:val="false"/>
          <w:iCs w:val="false"/>
          <w:color w:val="52564F"/>
          <w:sz w:val="21"/>
          <w:szCs w:val="21"/>
        </w:rPr>
        <w:t xml:space="preserve">Response time commitments, support channel quality, account management model, and uptime track record.</w:t>
      </w:r>
    </w:p>
    <w:p>
      <w:pPr>
        <w:pStyle w:val="Heading2"/>
        <w:spacing w:after="80" w:before="200"/>
      </w:pPr>
      <w:r>
        <w:rPr>
          <w:b/>
          <w:bCs/>
          <w:color w:val="1C1E1B"/>
          <w:sz w:val="22"/>
          <w:szCs w:val="22"/>
        </w:rPr>
        <w:t xml:space="preserve">Exit cost / lock-in</w:t>
      </w:r>
    </w:p>
    <w:p>
      <w:pPr>
        <w:spacing w:after="140"/>
      </w:pPr>
      <w:r>
        <w:rPr>
          <w:i w:val="false"/>
          <w:iCs w:val="false"/>
          <w:color w:val="52564F"/>
          <w:sz w:val="21"/>
          <w:szCs w:val="21"/>
        </w:rPr>
        <w:t xml:space="preserve">Data portability, contract termination terms, proprietary format lock-in, and estimated cost and time to migrate away if needed.</w:t>
      </w:r>
    </w:p>
    <w:p>
      <w:pPr>
        <w:pStyle w:val="Heading1"/>
        <w:spacing w:after="120" w:before="300"/>
      </w:pPr>
      <w:r>
        <w:rPr>
          <w:b/>
          <w:bCs/>
          <w:color w:val="2E5E4E"/>
          <w:sz w:val="26"/>
          <w:szCs w:val="26"/>
        </w:rPr>
        <w:t xml:space="preserve">Recommendation</w:t>
      </w:r>
    </w:p>
    <w:p>
      <w:pPr>
        <w:spacing w:after="140"/>
      </w:pPr>
      <w:r>
        <w:rPr>
          <w:i/>
          <w:iCs/>
          <w:color w:val="52564F"/>
          <w:sz w:val="21"/>
          <w:szCs w:val="21"/>
        </w:rPr>
        <w:t xml:space="preserve">[Proceed / Proceed with conditions / Do not proceed], with reasoning.</w:t>
      </w:r>
    </w:p>
    <w:p>
      <w:pPr>
        <w:pStyle w:val="Heading1"/>
        <w:spacing w:after="120" w:before="300"/>
      </w:pPr>
      <w:r>
        <w:rPr>
          <w:b/>
          <w:bCs/>
          <w:color w:val="2E5E4E"/>
          <w:sz w:val="26"/>
          <w:szCs w:val="26"/>
        </w:rPr>
        <w:t xml:space="preserve">Key Risks &amp; Mitigations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E4EDE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2564F"/>
                <w:sz w:val="19"/>
                <w:szCs w:val="19"/>
              </w:rPr>
              <w:t xml:space="preserve">Risk</w:t>
            </w:r>
          </w:p>
        </w:tc>
        <w:tc>
          <w:tcPr>
            <w:tcW w:type="dxa" w:w="4500"/>
            <w:shd w:fill="E4EDE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2564F"/>
                <w:sz w:val="19"/>
                <w:szCs w:val="19"/>
              </w:rPr>
              <w:t xml:space="preserve">Mitigation</w:t>
            </w:r>
          </w:p>
        </w:tc>
      </w:tr>
      <w:tr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2026-08-29T05:31:43.020Z</dcterms:created>
  <dcterms:modified xsi:type="dcterms:W3CDTF">2026-08-29T05:31:43.020Z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