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19734" w14:textId="77777777" w:rsidR="00306C3E" w:rsidRDefault="00000000"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>Vendor Evaluation Scorecard</w:t>
      </w:r>
    </w:p>
    <w:p w14:paraId="41826488" w14:textId="77777777" w:rsidR="00306C3E" w:rsidRDefault="00000000">
      <w:pPr>
        <w:spacing w:after="60"/>
      </w:pPr>
      <w:r>
        <w:rPr>
          <w:b/>
          <w:bCs/>
          <w:sz w:val="21"/>
          <w:szCs w:val="21"/>
        </w:rPr>
        <w:t xml:space="preserve">Vendor name: </w:t>
      </w:r>
    </w:p>
    <w:p w14:paraId="4257898D" w14:textId="77777777" w:rsidR="00306C3E" w:rsidRDefault="00000000">
      <w:pPr>
        <w:spacing w:after="60"/>
      </w:pPr>
      <w:r>
        <w:rPr>
          <w:b/>
          <w:bCs/>
          <w:sz w:val="21"/>
          <w:szCs w:val="21"/>
        </w:rPr>
        <w:t xml:space="preserve">Evaluator(s): </w:t>
      </w:r>
    </w:p>
    <w:p w14:paraId="3344BF63" w14:textId="77777777" w:rsidR="00306C3E" w:rsidRDefault="00000000">
      <w:pPr>
        <w:spacing w:after="60"/>
      </w:pPr>
      <w:r>
        <w:rPr>
          <w:b/>
          <w:bCs/>
          <w:sz w:val="21"/>
          <w:szCs w:val="21"/>
        </w:rPr>
        <w:t xml:space="preserve">Date: </w:t>
      </w:r>
    </w:p>
    <w:p w14:paraId="6F6F18A5" w14:textId="77777777" w:rsidR="00306C3E" w:rsidRDefault="00000000">
      <w:pPr>
        <w:spacing w:after="60"/>
      </w:pPr>
      <w:r>
        <w:rPr>
          <w:b/>
          <w:bCs/>
          <w:sz w:val="21"/>
          <w:szCs w:val="21"/>
        </w:rPr>
        <w:t xml:space="preserve">Category / use case: </w:t>
      </w:r>
    </w:p>
    <w:p w14:paraId="1411706C" w14:textId="77777777" w:rsidR="00306C3E" w:rsidRDefault="00306C3E">
      <w:pPr>
        <w:pBdr>
          <w:bottom w:val="single" w:sz="6" w:space="1" w:color="DCDAD2"/>
        </w:pBdr>
        <w:spacing w:before="100" w:after="200"/>
      </w:pPr>
    </w:p>
    <w:p w14:paraId="7C12AA16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 xml:space="preserve">Score each dimension 1-5 (1 = poor fit or high risk, 5 = excellent fit or low risk). Multiply by weight for the weighted score. Adjust weights to reflect what </w:t>
      </w:r>
      <w:proofErr w:type="gramStart"/>
      <w:r>
        <w:rPr>
          <w:color w:val="52564F"/>
          <w:sz w:val="21"/>
          <w:szCs w:val="21"/>
        </w:rPr>
        <w:t>actually matters</w:t>
      </w:r>
      <w:proofErr w:type="gramEnd"/>
      <w:r>
        <w:rPr>
          <w:color w:val="52564F"/>
          <w:sz w:val="21"/>
          <w:szCs w:val="21"/>
        </w:rPr>
        <w:t xml:space="preserve"> for this decision; the defaults below are a reasonable starting point, not a fixed formula.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100"/>
        <w:gridCol w:w="1300"/>
        <w:gridCol w:w="1600"/>
        <w:gridCol w:w="2600"/>
      </w:tblGrid>
      <w:tr w:rsidR="00306C3E" w14:paraId="25FBBC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3F970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Dimension</w:t>
            </w:r>
          </w:p>
        </w:tc>
        <w:tc>
          <w:tcPr>
            <w:tcW w:w="11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29A8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Weight</w:t>
            </w:r>
          </w:p>
        </w:tc>
        <w:tc>
          <w:tcPr>
            <w:tcW w:w="13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C087E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Score (1-5)</w:t>
            </w:r>
          </w:p>
        </w:tc>
        <w:tc>
          <w:tcPr>
            <w:tcW w:w="1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EAA48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Weighted Score</w:t>
            </w:r>
          </w:p>
        </w:tc>
        <w:tc>
          <w:tcPr>
            <w:tcW w:w="2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76432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Notes</w:t>
            </w:r>
          </w:p>
        </w:tc>
      </w:tr>
      <w:tr w:rsidR="00306C3E" w14:paraId="506D06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7F7B6" w14:textId="77777777" w:rsidR="00306C3E" w:rsidRDefault="00000000">
            <w:r>
              <w:rPr>
                <w:color w:val="1C1E1B"/>
                <w:sz w:val="19"/>
                <w:szCs w:val="19"/>
              </w:rPr>
              <w:t>Functional fit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6ECB7" w14:textId="77777777" w:rsidR="00306C3E" w:rsidRDefault="00000000">
            <w:r>
              <w:rPr>
                <w:color w:val="1C1E1B"/>
                <w:sz w:val="19"/>
                <w:szCs w:val="19"/>
              </w:rPr>
              <w:t>30%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3FC06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6053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42A70" w14:textId="77777777" w:rsidR="00306C3E" w:rsidRDefault="00306C3E"/>
        </w:tc>
      </w:tr>
      <w:tr w:rsidR="00306C3E" w14:paraId="15C337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286A7" w14:textId="77777777" w:rsidR="00306C3E" w:rsidRDefault="00000000">
            <w:r>
              <w:rPr>
                <w:color w:val="1C1E1B"/>
                <w:sz w:val="19"/>
                <w:szCs w:val="19"/>
              </w:rPr>
              <w:t>Security posture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45EC6" w14:textId="77777777" w:rsidR="00306C3E" w:rsidRDefault="00000000">
            <w:r>
              <w:rPr>
                <w:color w:val="1C1E1B"/>
                <w:sz w:val="19"/>
                <w:szCs w:val="19"/>
              </w:rPr>
              <w:t>20%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4D547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6FA0F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3CF43" w14:textId="77777777" w:rsidR="00306C3E" w:rsidRDefault="00306C3E"/>
        </w:tc>
      </w:tr>
      <w:tr w:rsidR="00306C3E" w14:paraId="1C07AF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538DD" w14:textId="77777777" w:rsidR="00306C3E" w:rsidRDefault="00000000">
            <w:r>
              <w:rPr>
                <w:color w:val="1C1E1B"/>
                <w:sz w:val="19"/>
                <w:szCs w:val="19"/>
              </w:rPr>
              <w:t>Financial stability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37835" w14:textId="77777777" w:rsidR="00306C3E" w:rsidRDefault="00000000">
            <w:r>
              <w:rPr>
                <w:color w:val="1C1E1B"/>
                <w:sz w:val="19"/>
                <w:szCs w:val="19"/>
              </w:rPr>
              <w:t>15%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7881C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D6182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D268B4" w14:textId="77777777" w:rsidR="00306C3E" w:rsidRDefault="00306C3E"/>
        </w:tc>
      </w:tr>
      <w:tr w:rsidR="00306C3E" w14:paraId="59F522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A83F6" w14:textId="77777777" w:rsidR="00306C3E" w:rsidRDefault="00000000">
            <w:r>
              <w:rPr>
                <w:color w:val="1C1E1B"/>
                <w:sz w:val="19"/>
                <w:szCs w:val="19"/>
              </w:rPr>
              <w:t>Integration complexity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5552C" w14:textId="77777777" w:rsidR="00306C3E" w:rsidRDefault="00000000">
            <w:r>
              <w:rPr>
                <w:color w:val="1C1E1B"/>
                <w:sz w:val="19"/>
                <w:szCs w:val="19"/>
              </w:rPr>
              <w:t>15%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16CE6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B8D66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C2D5D" w14:textId="77777777" w:rsidR="00306C3E" w:rsidRDefault="00306C3E"/>
        </w:tc>
      </w:tr>
      <w:tr w:rsidR="00306C3E" w14:paraId="0E2B25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CFD94" w14:textId="77777777" w:rsidR="00306C3E" w:rsidRDefault="00000000">
            <w:r>
              <w:rPr>
                <w:color w:val="1C1E1B"/>
                <w:sz w:val="19"/>
                <w:szCs w:val="19"/>
              </w:rPr>
              <w:t>Support &amp; SLA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8D973" w14:textId="77777777" w:rsidR="00306C3E" w:rsidRDefault="00000000">
            <w:r>
              <w:rPr>
                <w:color w:val="1C1E1B"/>
                <w:sz w:val="19"/>
                <w:szCs w:val="19"/>
              </w:rPr>
              <w:t>10%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B03F1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3155C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737FA" w14:textId="77777777" w:rsidR="00306C3E" w:rsidRDefault="00306C3E"/>
        </w:tc>
      </w:tr>
      <w:tr w:rsidR="00306C3E" w14:paraId="11BEAC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FC66A" w14:textId="77777777" w:rsidR="00306C3E" w:rsidRDefault="00000000">
            <w:r>
              <w:rPr>
                <w:color w:val="1C1E1B"/>
                <w:sz w:val="19"/>
                <w:szCs w:val="19"/>
              </w:rPr>
              <w:t>Exit cost / lock-in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B87A8" w14:textId="77777777" w:rsidR="00306C3E" w:rsidRDefault="00000000">
            <w:r>
              <w:rPr>
                <w:color w:val="1C1E1B"/>
                <w:sz w:val="19"/>
                <w:szCs w:val="19"/>
              </w:rPr>
              <w:t>10%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005E2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E7E5F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30976" w14:textId="77777777" w:rsidR="00306C3E" w:rsidRDefault="00306C3E"/>
        </w:tc>
      </w:tr>
      <w:tr w:rsidR="00306C3E" w14:paraId="07CD6A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FE396" w14:textId="77777777" w:rsidR="00306C3E" w:rsidRDefault="00000000">
            <w:r>
              <w:rPr>
                <w:color w:val="1C1E1B"/>
                <w:sz w:val="19"/>
                <w:szCs w:val="19"/>
              </w:rPr>
              <w:t>Total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ADD50" w14:textId="77777777" w:rsidR="00306C3E" w:rsidRDefault="00000000">
            <w:r>
              <w:rPr>
                <w:color w:val="1C1E1B"/>
                <w:sz w:val="19"/>
                <w:szCs w:val="19"/>
              </w:rPr>
              <w:t>100%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92E84" w14:textId="77777777" w:rsidR="00306C3E" w:rsidRDefault="00306C3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A395E" w14:textId="77777777" w:rsidR="00306C3E" w:rsidRDefault="00306C3E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7CCED" w14:textId="77777777" w:rsidR="00306C3E" w:rsidRDefault="00306C3E"/>
        </w:tc>
      </w:tr>
    </w:tbl>
    <w:p w14:paraId="6E81583D" w14:textId="77777777" w:rsidR="00306C3E" w:rsidRDefault="00306C3E">
      <w:pPr>
        <w:spacing w:before="240"/>
      </w:pPr>
    </w:p>
    <w:p w14:paraId="7323189D" w14:textId="77777777" w:rsidR="00306C3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Dimension Guidance</w:t>
      </w:r>
    </w:p>
    <w:p w14:paraId="24743400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Functional fit</w:t>
      </w:r>
    </w:p>
    <w:p w14:paraId="18FBAC4F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Does it solve the actual problem without excessive customization? Score down for features that require significant workarounds to fit the real use case.</w:t>
      </w:r>
    </w:p>
    <w:p w14:paraId="0A0E110B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Security posture</w:t>
      </w:r>
    </w:p>
    <w:p w14:paraId="58B08B44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Certifications held (SOC 2, ISO 27001, and similar), data handling practices, breach history, access control model.</w:t>
      </w:r>
    </w:p>
    <w:p w14:paraId="07DB995B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Financial stability</w:t>
      </w:r>
    </w:p>
    <w:p w14:paraId="0E96EFE2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Company size, funding stage, revenue trajectory, and customer concentration risk on their side. A vendor that might not exist in two years is a risk regardless of product quality.</w:t>
      </w:r>
    </w:p>
    <w:p w14:paraId="4F7D70F1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Integration complexity</w:t>
      </w:r>
    </w:p>
    <w:p w14:paraId="1A629E1A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API quality and documentation, authentication model compatibility, data format compatibility, and estimated integration effort.</w:t>
      </w:r>
    </w:p>
    <w:p w14:paraId="54580909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Support &amp; SLA</w:t>
      </w:r>
    </w:p>
    <w:p w14:paraId="505F83F2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Response time commitments, support channel quality, account management model, and uptime track record.</w:t>
      </w:r>
    </w:p>
    <w:p w14:paraId="7B55C768" w14:textId="77777777" w:rsidR="00306C3E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Exit cost / lock-in</w:t>
      </w:r>
    </w:p>
    <w:p w14:paraId="24CFE196" w14:textId="77777777" w:rsidR="00306C3E" w:rsidRDefault="00000000">
      <w:pPr>
        <w:spacing w:after="140"/>
      </w:pPr>
      <w:r>
        <w:rPr>
          <w:color w:val="52564F"/>
          <w:sz w:val="21"/>
          <w:szCs w:val="21"/>
        </w:rPr>
        <w:t>Data portability, contract termination terms, proprietary format lock-in, and estimated cost and time to migrate away if needed.</w:t>
      </w:r>
    </w:p>
    <w:p w14:paraId="560DF442" w14:textId="77777777" w:rsidR="00306C3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lastRenderedPageBreak/>
        <w:t>Recommendation</w:t>
      </w:r>
    </w:p>
    <w:p w14:paraId="70606DBA" w14:textId="77777777" w:rsidR="00306C3E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[Proceed / Proceed with conditions / Do not proceed], with reasoning.</w:t>
      </w:r>
    </w:p>
    <w:p w14:paraId="3E5E6C09" w14:textId="77777777" w:rsidR="00306C3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Key Risks &amp; Mitigations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306C3E" w14:paraId="6D2B6E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36BA9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Risk</w:t>
            </w:r>
          </w:p>
        </w:tc>
        <w:tc>
          <w:tcPr>
            <w:tcW w:w="45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61CCB" w14:textId="77777777" w:rsidR="00306C3E" w:rsidRDefault="00000000">
            <w:r>
              <w:rPr>
                <w:b/>
                <w:bCs/>
                <w:color w:val="52564F"/>
                <w:sz w:val="19"/>
                <w:szCs w:val="19"/>
              </w:rPr>
              <w:t>Mitigation</w:t>
            </w:r>
          </w:p>
        </w:tc>
      </w:tr>
      <w:tr w:rsidR="00306C3E" w14:paraId="18AA5C3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9DDD2" w14:textId="77777777" w:rsidR="00306C3E" w:rsidRDefault="00306C3E"/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F9595" w14:textId="77777777" w:rsidR="00306C3E" w:rsidRDefault="00306C3E"/>
        </w:tc>
      </w:tr>
      <w:tr w:rsidR="00306C3E" w14:paraId="5D5DFA5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11AE0" w14:textId="77777777" w:rsidR="00306C3E" w:rsidRDefault="00306C3E"/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0DC3D" w14:textId="77777777" w:rsidR="00306C3E" w:rsidRDefault="00306C3E"/>
        </w:tc>
      </w:tr>
    </w:tbl>
    <w:p w14:paraId="7959778D" w14:textId="77777777" w:rsidR="006B0B81" w:rsidRDefault="006B0B81"/>
    <w:sectPr w:rsidR="006B0B8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B36245"/>
    <w:multiLevelType w:val="hybridMultilevel"/>
    <w:tmpl w:val="7B9C722C"/>
    <w:lvl w:ilvl="0" w:tplc="647AFB4A">
      <w:start w:val="1"/>
      <w:numFmt w:val="bullet"/>
      <w:lvlText w:val="●"/>
      <w:lvlJc w:val="left"/>
      <w:pPr>
        <w:ind w:left="720" w:hanging="360"/>
      </w:pPr>
    </w:lvl>
    <w:lvl w:ilvl="1" w:tplc="12943DEE">
      <w:start w:val="1"/>
      <w:numFmt w:val="bullet"/>
      <w:lvlText w:val="○"/>
      <w:lvlJc w:val="left"/>
      <w:pPr>
        <w:ind w:left="1440" w:hanging="360"/>
      </w:pPr>
    </w:lvl>
    <w:lvl w:ilvl="2" w:tplc="3B82590A">
      <w:start w:val="1"/>
      <w:numFmt w:val="bullet"/>
      <w:lvlText w:val="■"/>
      <w:lvlJc w:val="left"/>
      <w:pPr>
        <w:ind w:left="2160" w:hanging="360"/>
      </w:pPr>
    </w:lvl>
    <w:lvl w:ilvl="3" w:tplc="519E9E9C">
      <w:start w:val="1"/>
      <w:numFmt w:val="bullet"/>
      <w:lvlText w:val="●"/>
      <w:lvlJc w:val="left"/>
      <w:pPr>
        <w:ind w:left="2880" w:hanging="360"/>
      </w:pPr>
    </w:lvl>
    <w:lvl w:ilvl="4" w:tplc="71C64D5E">
      <w:start w:val="1"/>
      <w:numFmt w:val="bullet"/>
      <w:lvlText w:val="○"/>
      <w:lvlJc w:val="left"/>
      <w:pPr>
        <w:ind w:left="3600" w:hanging="360"/>
      </w:pPr>
    </w:lvl>
    <w:lvl w:ilvl="5" w:tplc="60DA1590">
      <w:start w:val="1"/>
      <w:numFmt w:val="bullet"/>
      <w:lvlText w:val="■"/>
      <w:lvlJc w:val="left"/>
      <w:pPr>
        <w:ind w:left="4320" w:hanging="360"/>
      </w:pPr>
    </w:lvl>
    <w:lvl w:ilvl="6" w:tplc="B0842582">
      <w:start w:val="1"/>
      <w:numFmt w:val="bullet"/>
      <w:lvlText w:val="●"/>
      <w:lvlJc w:val="left"/>
      <w:pPr>
        <w:ind w:left="5040" w:hanging="360"/>
      </w:pPr>
    </w:lvl>
    <w:lvl w:ilvl="7" w:tplc="609A7E36">
      <w:start w:val="1"/>
      <w:numFmt w:val="bullet"/>
      <w:lvlText w:val="●"/>
      <w:lvlJc w:val="left"/>
      <w:pPr>
        <w:ind w:left="5760" w:hanging="360"/>
      </w:pPr>
    </w:lvl>
    <w:lvl w:ilvl="8" w:tplc="81DE9052">
      <w:start w:val="1"/>
      <w:numFmt w:val="bullet"/>
      <w:lvlText w:val="●"/>
      <w:lvlJc w:val="left"/>
      <w:pPr>
        <w:ind w:left="6480" w:hanging="360"/>
      </w:pPr>
    </w:lvl>
  </w:abstractNum>
  <w:num w:numId="1" w16cid:durableId="17728935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C3E"/>
    <w:rsid w:val="00306C3E"/>
    <w:rsid w:val="00323D28"/>
    <w:rsid w:val="006B0B81"/>
    <w:rsid w:val="0085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4B113"/>
  <w15:docId w15:val="{99AC2993-DA11-D643-BFCD-65650A4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236</Words>
  <Characters>1370</Characters>
  <Application>Microsoft Office Word</Application>
  <DocSecurity>0</DocSecurity>
  <Lines>76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</dc:creator>
  <cp:keywords/>
  <dc:description/>
  <cp:lastModifiedBy>Kevin Forbes</cp:lastModifiedBy>
  <cp:revision>2</cp:revision>
  <dcterms:created xsi:type="dcterms:W3CDTF">2026-08-29T05:31:00Z</dcterms:created>
  <dcterms:modified xsi:type="dcterms:W3CDTF">2026-09-01T05:08:00Z</dcterms:modified>
  <cp:category/>
</cp:coreProperties>
</file>