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7" w:name="X0ade1cf3c72b77157c220524aabb083d077068d"/>
    <w:p>
      <w:pPr>
        <w:pStyle w:val="Heading1"/>
      </w:pPr>
      <w:r>
        <w:t xml:space="preserve">AI-Assisted Development Policy and Pipeline Control Standard</w:t>
      </w:r>
    </w:p>
    <w:p>
      <w:pPr>
        <w:pStyle w:val="FirstParagraph"/>
      </w:pPr>
      <w:r>
        <w:rPr>
          <w:bCs/>
          <w:b/>
        </w:rPr>
        <w:t xml:space="preserve">Organization:</w:t>
      </w:r>
    </w:p>
    <w:p>
      <w:pPr>
        <w:pStyle w:val="BodyText"/>
      </w:pPr>
      <w:r>
        <w:rPr>
          <w:bCs/>
          <w:b/>
        </w:rPr>
        <w:t xml:space="preserve">Policy owner (engineering):</w:t>
      </w:r>
    </w:p>
    <w:p>
      <w:pPr>
        <w:pStyle w:val="BodyText"/>
      </w:pPr>
      <w:r>
        <w:rPr>
          <w:bCs/>
          <w:b/>
        </w:rPr>
        <w:t xml:space="preserve">Control owner (platform or security):</w:t>
      </w:r>
    </w:p>
    <w:p>
      <w:pPr>
        <w:pStyle w:val="BodyText"/>
      </w:pPr>
      <w:r>
        <w:rPr>
          <w:bCs/>
          <w:b/>
        </w:rPr>
        <w:t xml:space="preserve">Version and date:</w:t>
      </w:r>
    </w:p>
    <w:p>
      <w:pPr>
        <w:pStyle w:val="BodyText"/>
      </w:pPr>
      <w:r>
        <w:rPr>
          <w:bCs/>
          <w:b/>
        </w:rPr>
        <w:t xml:space="preserve">Approved by:</w:t>
      </w:r>
    </w:p>
    <w:p>
      <w:pPr>
        <w:pStyle w:val="BodyText"/>
      </w:pPr>
      <w:r>
        <w:rPr>
          <w:iCs/>
          <w:i/>
        </w:rPr>
        <w:t xml:space="preserve">Part A is the policy engineers follow. Part B is the control standard the platform and security teams implement and verify. Bracketed values are starting points to set for your organization. Everything in Part B should be enforced by tooling, not by memory.</w:t>
      </w:r>
    </w:p>
    <w:p>
      <w:r>
        <w:pict>
          <v:rect style="width:0;height:1.5pt" o:hralign="center" o:hrstd="t" o:hr="t"/>
        </w:pict>
      </w:r>
    </w:p>
    <w:bookmarkStart w:id="28" w:name="part-a-policy-for-engineers"/>
    <w:p>
      <w:pPr>
        <w:pStyle w:val="Heading2"/>
      </w:pPr>
      <w:r>
        <w:t xml:space="preserve">Part A: Policy for engineers</w:t>
      </w:r>
    </w:p>
    <w:bookmarkStart w:id="20" w:name="X14dfe8f0b252f4039975e19fb03b37d6f7b59ff"/>
    <w:p>
      <w:pPr>
        <w:pStyle w:val="Heading3"/>
      </w:pPr>
      <w:r>
        <w:t xml:space="preserve">1. Scope</w:t>
      </w:r>
    </w:p>
    <w:p>
      <w:pPr>
        <w:pStyle w:val="FirstParagraph"/>
      </w:pPr>
      <w:r>
        <w:t xml:space="preserve">This policy applies to any AI tool used to plan, write, review, test, build, release, or operate software for [organization], including code completion, chat assistants, local agents, background agents, and agents triggered by the pipeline. It applies to employees, contractors, and vendors working in our repositories.</w:t>
      </w:r>
    </w:p>
    <w:bookmarkEnd w:id="20"/>
    <w:bookmarkStart w:id="21" w:name="Xc2250f187005c8e2ca132e3f820012aac0c5dc5"/>
    <w:p>
      <w:pPr>
        <w:pStyle w:val="Heading3"/>
      </w:pPr>
      <w:r>
        <w:t xml:space="preserve">2. Approved tools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Approved uses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Autonomy level allowed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Enterprise terms in place (no training on our code, retention stated)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numPr>
          <w:ilvl w:val="0"/>
          <w:numId w:val="1001"/>
        </w:numPr>
        <w:pStyle w:val="Compact"/>
      </w:pPr>
      <w:r>
        <w:t xml:space="preserve">Only tools on this list may be used with our code, data, or systems</w:t>
      </w:r>
    </w:p>
    <w:p>
      <w:pPr>
        <w:numPr>
          <w:ilvl w:val="0"/>
          <w:numId w:val="1001"/>
        </w:numPr>
        <w:pStyle w:val="Compact"/>
      </w:pPr>
      <w:r>
        <w:t xml:space="preserve">Personal accounts and unapproved extensions may not be used with company code</w:t>
      </w:r>
    </w:p>
    <w:p>
      <w:pPr>
        <w:numPr>
          <w:ilvl w:val="0"/>
          <w:numId w:val="1001"/>
        </w:numPr>
        <w:pStyle w:val="Compact"/>
      </w:pPr>
      <w:r>
        <w:t xml:space="preserve">New tools are requested through [process] and reviewed by security and procurement</w:t>
      </w:r>
    </w:p>
    <w:bookmarkEnd w:id="21"/>
    <w:bookmarkStart w:id="22" w:name="Xe33c32052b98458ea7975ccc317cd0282112b4e"/>
    <w:p>
      <w:pPr>
        <w:pStyle w:val="Heading3"/>
      </w:pPr>
      <w:r>
        <w:t xml:space="preserve">3. Data rules</w:t>
      </w:r>
    </w:p>
    <w:p>
      <w:pPr>
        <w:numPr>
          <w:ilvl w:val="0"/>
          <w:numId w:val="1002"/>
        </w:numPr>
        <w:pStyle w:val="Compact"/>
      </w:pPr>
      <w:r>
        <w:t xml:space="preserve">Never put secrets, credentials, or keys in a prompt, instruction file, or agent context</w:t>
      </w:r>
    </w:p>
    <w:p>
      <w:pPr>
        <w:numPr>
          <w:ilvl w:val="0"/>
          <w:numId w:val="1002"/>
        </w:numPr>
        <w:pStyle w:val="Compact"/>
      </w:pPr>
      <w:r>
        <w:t xml:space="preserve">Never put customer data, personal data, or regulated data into an AI tool unless the tool is approved for that data class</w:t>
      </w:r>
    </w:p>
    <w:p>
      <w:pPr>
        <w:numPr>
          <w:ilvl w:val="0"/>
          <w:numId w:val="1002"/>
        </w:numPr>
        <w:pStyle w:val="Compact"/>
      </w:pPr>
      <w:r>
        <w:t xml:space="preserve">Proprietary code may be used only with approved tools under enterprise terms</w:t>
      </w:r>
    </w:p>
    <w:p>
      <w:pPr>
        <w:numPr>
          <w:ilvl w:val="0"/>
          <w:numId w:val="1002"/>
        </w:numPr>
        <w:pStyle w:val="Compact"/>
      </w:pPr>
      <w:r>
        <w:t xml:space="preserve">When in doubt, treat the data as restricted and ask</w:t>
      </w:r>
    </w:p>
    <w:bookmarkEnd w:id="22"/>
    <w:bookmarkStart w:id="23" w:name="Xb58fce6f0bbf33a42a93e3ff5fe59cba293460b"/>
    <w:p>
      <w:pPr>
        <w:pStyle w:val="Heading3"/>
      </w:pPr>
      <w:r>
        <w:t xml:space="preserve">4. Responsibility</w:t>
      </w:r>
    </w:p>
    <w:p>
      <w:pPr>
        <w:numPr>
          <w:ilvl w:val="0"/>
          <w:numId w:val="1003"/>
        </w:numPr>
        <w:pStyle w:val="Compact"/>
      </w:pPr>
      <w:r>
        <w:t xml:space="preserve">The engineer who submits a change is responsible for it, whoever or whatever wrote it</w:t>
      </w:r>
    </w:p>
    <w:p>
      <w:pPr>
        <w:numPr>
          <w:ilvl w:val="0"/>
          <w:numId w:val="1003"/>
        </w:numPr>
        <w:pStyle w:val="Compact"/>
      </w:pPr>
      <w:r>
        <w:t xml:space="preserve">AI-assisted changes meet the same review, testing, and security standards as any other change</w:t>
      </w:r>
    </w:p>
    <w:p>
      <w:pPr>
        <w:numPr>
          <w:ilvl w:val="0"/>
          <w:numId w:val="1003"/>
        </w:numPr>
        <w:pStyle w:val="Compact"/>
      </w:pPr>
      <w:r>
        <w:t xml:space="preserve">Do not approve a change you have not read and understood, however clean it looks</w:t>
      </w:r>
    </w:p>
    <w:bookmarkEnd w:id="23"/>
    <w:bookmarkStart w:id="24" w:name="Xba90d620bee8bf428aa21353d63242e23e7890d"/>
    <w:p>
      <w:pPr>
        <w:pStyle w:val="Heading3"/>
      </w:pPr>
      <w:r>
        <w:t xml:space="preserve">5. Disclosure</w:t>
      </w:r>
    </w:p>
    <w:p>
      <w:pPr>
        <w:numPr>
          <w:ilvl w:val="0"/>
          <w:numId w:val="1004"/>
        </w:numPr>
        <w:pStyle w:val="Compact"/>
      </w:pPr>
      <w:r>
        <w:t xml:space="preserve">Mark AI-assisted and agent-authored changes with an</w:t>
      </w:r>
      <w:r>
        <w:t xml:space="preserve"> </w:t>
      </w:r>
      <w:r>
        <w:rPr>
          <w:rStyle w:val="VerbatimChar"/>
        </w:rPr>
        <w:t xml:space="preserve">Assisted-by: &lt;tool and model&gt;</w:t>
      </w:r>
      <w:r>
        <w:t xml:space="preserve"> </w:t>
      </w:r>
      <w:r>
        <w:t xml:space="preserve">commit trailer (our convention, similar to the Linux kernel and Fedora practice) or the pull request label</w:t>
      </w:r>
      <w:r>
        <w:t xml:space="preserve"> </w:t>
      </w:r>
      <w:r>
        <w:rPr>
          <w:rStyle w:val="VerbatimChar"/>
        </w:rPr>
        <w:t xml:space="preserve">ai-assisted</w:t>
      </w:r>
    </w:p>
    <w:p>
      <w:pPr>
        <w:numPr>
          <w:ilvl w:val="0"/>
          <w:numId w:val="1004"/>
        </w:numPr>
        <w:pStyle w:val="Compact"/>
      </w:pPr>
      <w:r>
        <w:t xml:space="preserve">Agent-authored commits link to the agent session log</w:t>
      </w:r>
    </w:p>
    <w:bookmarkEnd w:id="24"/>
    <w:bookmarkStart w:id="25" w:name="X1bcad50d3ab90a6d1f19bd91566b0757bed01a7"/>
    <w:p>
      <w:pPr>
        <w:pStyle w:val="Heading3"/>
      </w:pPr>
      <w:r>
        <w:t xml:space="preserve">6. Agents</w:t>
      </w:r>
    </w:p>
    <w:p>
      <w:pPr>
        <w:numPr>
          <w:ilvl w:val="0"/>
          <w:numId w:val="1005"/>
        </w:numPr>
        <w:pStyle w:val="Compact"/>
      </w:pPr>
      <w:r>
        <w:t xml:space="preserve">Agents run only in approved sandboxes, never on a laptop that holds standing credentials</w:t>
      </w:r>
    </w:p>
    <w:p>
      <w:pPr>
        <w:numPr>
          <w:ilvl w:val="0"/>
          <w:numId w:val="1005"/>
        </w:numPr>
        <w:pStyle w:val="Compact"/>
      </w:pPr>
      <w:r>
        <w:t xml:space="preserve">Do not turn off an agent's permission prompts outside an approved sandbox</w:t>
      </w:r>
    </w:p>
    <w:p>
      <w:pPr>
        <w:numPr>
          <w:ilvl w:val="0"/>
          <w:numId w:val="1005"/>
        </w:numPr>
        <w:pStyle w:val="Compact"/>
      </w:pPr>
      <w:r>
        <w:t xml:space="preserve">You may review an agent's pull request that you requested, but your approval does not count toward merge</w:t>
      </w:r>
    </w:p>
    <w:p>
      <w:pPr>
        <w:numPr>
          <w:ilvl w:val="0"/>
          <w:numId w:val="1005"/>
        </w:numPr>
        <w:pStyle w:val="Compact"/>
      </w:pPr>
      <w:r>
        <w:t xml:space="preserve">Report any agent action that surprised you to [channel]</w:t>
      </w:r>
    </w:p>
    <w:bookmarkEnd w:id="25"/>
    <w:bookmarkStart w:id="26" w:name="X45d757016c9336652d4b44bf5370d1cbd0de1b3"/>
    <w:p>
      <w:pPr>
        <w:pStyle w:val="Heading3"/>
      </w:pPr>
      <w:r>
        <w:t xml:space="preserve">7. Dependencies</w:t>
      </w:r>
    </w:p>
    <w:p>
      <w:pPr>
        <w:numPr>
          <w:ilvl w:val="0"/>
          <w:numId w:val="1006"/>
        </w:numPr>
        <w:pStyle w:val="Compact"/>
      </w:pPr>
      <w:r>
        <w:t xml:space="preserve">Do not add a package an AI suggested until you have confirmed it exists, is the package you intended, and is maintained</w:t>
      </w:r>
    </w:p>
    <w:p>
      <w:pPr>
        <w:numPr>
          <w:ilvl w:val="0"/>
          <w:numId w:val="1006"/>
        </w:numPr>
        <w:pStyle w:val="Compact"/>
      </w:pPr>
      <w:r>
        <w:t xml:space="preserve">All installs go through the registry proxy</w:t>
      </w:r>
    </w:p>
    <w:bookmarkEnd w:id="26"/>
    <w:bookmarkStart w:id="27" w:name="Xdaf27763f93556cdb651607361d69eb3d31edc5"/>
    <w:p>
      <w:pPr>
        <w:pStyle w:val="Heading3"/>
      </w:pPr>
      <w:r>
        <w:t xml:space="preserve">8. Exceptions</w:t>
      </w:r>
    </w:p>
    <w:p>
      <w:pPr>
        <w:pStyle w:val="FirstParagraph"/>
      </w:pPr>
      <w:r>
        <w:t xml:space="preserve">Exceptions are requested through [process], approved by the policy owner and the control owner, time-limited to [90] days, and logged.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5" w:name="part-b-pipeline-control-standard"/>
    <w:p>
      <w:pPr>
        <w:pStyle w:val="Heading2"/>
      </w:pPr>
      <w:r>
        <w:t xml:space="preserve">Part B: Pipeline control standard</w:t>
      </w:r>
    </w:p>
    <w:bookmarkStart w:id="29" w:name="X31eb49141942b48e2bed31093b2af75587d3e7a"/>
    <w:p>
      <w:pPr>
        <w:pStyle w:val="Heading3"/>
      </w:pPr>
      <w:r>
        <w:t xml:space="preserve">9. Autonomy levels and required controls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Controls required before use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 Completion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Inline suggestions in the editor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Approved tools; secret and dependency scanning in CI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 Chat and 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Explanations and multi-line edits the developer applies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Level 1, plus data rules published and known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 Local 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Plans and edits many files, runs commands in the developer's environment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Level 2, plus isolated environment with no standing credentials; dependency admission; instruction files under code ownership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 Background 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Works unattended from a ticket and opens a pull request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Level 3, plus agent identity; scoped short-lived tokens; own branch; blocking scans; separation of duties on approval; provenance on every commit; change size limits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 Pipeline 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Triggered by pipeline events; narrow classes may auto-merge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Level 4, plus failure and rework rates measured by provenance; kill switch; auto-merge allowlist reviewed [quarterly]</w:t>
            </w:r>
          </w:p>
        </w:tc>
      </w:tr>
    </w:tbl>
    <w:bookmarkEnd w:id="29"/>
    <w:bookmarkStart w:id="30" w:name="X8cc0ab9b8ccd95321c93d8da02ebb1ef4cd9f99"/>
    <w:p>
      <w:pPr>
        <w:pStyle w:val="Heading3"/>
      </w:pPr>
      <w:r>
        <w:t xml:space="preserve">10. Agent identity and permissions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Control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Verified by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Identity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Each agent has its own identity; no agent acts on a person's token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 log shows agent identity on every 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Credentials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Short-lived, scoped to one repository, least privilege; no production credentials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Token configuration review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Environment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Ephemeral sandbox per task, destroyed afterwards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Platform configuration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Network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Egress allowlist: registry proxy, source host, model endpoint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Network policy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Tools and MCP servers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Allowlisted, version-pinned; new local servers require consent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Allowlist under code ownership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Branches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Agents push only to their own branch; cannot merge, approve, or deploy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Branch protection and rulesets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Destructive actions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deletion of data or resources, no force-push; development and production data separate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Permission review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Workflow runs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 pull requests run workflows only after a human approves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Repository settings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Logging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Session logs retained [12 months] and linked from commits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Spot check monthly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Kill switch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action revokes an agent's access everywhere; tested [quarterly]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 record</w:t>
            </w:r>
          </w:p>
        </w:tc>
      </w:tr>
    </w:tbl>
    <w:p>
      <w:pPr>
        <w:pStyle w:val="BodyText"/>
      </w:pPr>
      <w:r>
        <w:t xml:space="preserve">No agent may hold all three of: access to private data, exposure to untrusted content, and the ability to communicate externally.</w:t>
      </w:r>
    </w:p>
    <w:bookmarkEnd w:id="30"/>
    <w:bookmarkStart w:id="31" w:name="Xc30a2262f89438f4db0ca25e4fefb8cd215853b"/>
    <w:p>
      <w:pPr>
        <w:pStyle w:val="Heading3"/>
      </w:pPr>
      <w:r>
        <w:t xml:space="preserve">11. Pipeline gates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Gate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Change 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Pull requests over [400] changed lines are split or require a second reviewer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Static analysis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Runs on every change; high-severity findings block merge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Secret scanning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Runs on every change and on push; findings block merge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Dependency admission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packages resolved through the registry proxy; must exist, be older than [30] days, and pass malware and vulnerability checks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Instruction files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Rules, instruction, and assistant configuration files are code-owned and checked for hidden or bidirectional Unicode characters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Pipeline files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Workflow and policy files are code-owned; agents cannot modify them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Privileged triggers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privileged workflow triggers run untrusted pull request content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 least one human approval from someone other than the requester; code owners on [authentication, payments, infrastructure] paths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Changed lines have tests; assertions reviewed; mutation testing on [critical services]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Provenance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 provenance signed by the hosted build platform</w:t>
            </w:r>
          </w:p>
        </w:tc>
      </w:tr>
    </w:tbl>
    <w:bookmarkEnd w:id="31"/>
    <w:bookmarkStart w:id="32" w:name="X68350bdf8fd797739b4bfe8dd961065ef1c62c2"/>
    <w:p>
      <w:pPr>
        <w:pStyle w:val="Heading3"/>
      </w:pPr>
      <w:r>
        <w:t xml:space="preserve">12. Measurement</w:t>
      </w:r>
    </w:p>
    <w:p>
      <w:pPr>
        <w:pStyle w:val="FirstParagraph"/>
      </w:pPr>
      <w:r>
        <w:t xml:space="preserve">Record a baseline before rollout, then report monthly, broken down by provenance where possible: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Measure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Change failure rate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Deployment rework rate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Median pull request size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Median review wait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Share of merged changes AI-assisted or agent-authored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Escaped defects by provenance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Security findings by provenance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Rejected dependency additions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 spend per merged change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32"/>
    <w:bookmarkStart w:id="33" w:name="X84396acdb9e4e87372fbd1f1585c8b4c59ee445"/>
    <w:p>
      <w:pPr>
        <w:pStyle w:val="Heading3"/>
      </w:pPr>
      <w:r>
        <w:t xml:space="preserve">13. Cost</w:t>
      </w:r>
    </w:p>
    <w:p>
      <w:pPr>
        <w:numPr>
          <w:ilvl w:val="0"/>
          <w:numId w:val="1007"/>
        </w:numPr>
        <w:pStyle w:val="Compact"/>
      </w:pPr>
      <w:r>
        <w:t xml:space="preserve">Each team or cost center has a monthly AI tooling budget of [amount], with an alert at [80] percent</w:t>
      </w:r>
    </w:p>
    <w:p>
      <w:pPr>
        <w:numPr>
          <w:ilvl w:val="0"/>
          <w:numId w:val="1007"/>
        </w:numPr>
        <w:pStyle w:val="Compact"/>
      </w:pPr>
      <w:r>
        <w:t xml:space="preserve">Spend is reviewed with cloud spend, and reported per merged change and per agent session</w:t>
      </w:r>
    </w:p>
    <w:bookmarkEnd w:id="33"/>
    <w:bookmarkStart w:id="34" w:name="X913d6e267fe3864c362aede3dd051dff3d81500"/>
    <w:p>
      <w:pPr>
        <w:pStyle w:val="Heading3"/>
      </w:pPr>
      <w:r>
        <w:t xml:space="preserve">14. Review</w:t>
      </w:r>
    </w:p>
    <w:p>
      <w:pPr>
        <w:pStyle w:val="FirstParagraph"/>
      </w:pPr>
      <w:r>
        <w:t xml:space="preserve">This standard is reviewed [every six months] and after any incident involving an AI tool or agent. Changes are recorded with their reason.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6" w:name="part-c-rollout-checklist"/>
    <w:p>
      <w:pPr>
        <w:pStyle w:val="Heading2"/>
      </w:pPr>
      <w:r>
        <w:t xml:space="preserve">Part C: Rollout checklist</w:t>
      </w:r>
    </w:p>
    <w:p>
      <w:pPr>
        <w:numPr>
          <w:ilvl w:val="0"/>
          <w:numId w:val="1008"/>
        </w:numPr>
        <w:pStyle w:val="Compact"/>
      </w:pPr>
      <w:r>
        <w:t xml:space="preserve">☐ Inventory of AI tools in use, including personal accounts and extensions</w:t>
      </w:r>
    </w:p>
    <w:p>
      <w:pPr>
        <w:numPr>
          <w:ilvl w:val="0"/>
          <w:numId w:val="1008"/>
        </w:numPr>
        <w:pStyle w:val="Compact"/>
      </w:pPr>
      <w:r>
        <w:t xml:space="preserve">☐ Approved tool list and data rules published</w:t>
      </w:r>
    </w:p>
    <w:p>
      <w:pPr>
        <w:numPr>
          <w:ilvl w:val="0"/>
          <w:numId w:val="1008"/>
        </w:numPr>
        <w:pStyle w:val="Compact"/>
      </w:pPr>
      <w:r>
        <w:t xml:space="preserve">☐ Baseline delivery metrics recorded</w:t>
      </w:r>
    </w:p>
    <w:p>
      <w:pPr>
        <w:numPr>
          <w:ilvl w:val="0"/>
          <w:numId w:val="1008"/>
        </w:numPr>
        <w:pStyle w:val="Compact"/>
      </w:pPr>
      <w:r>
        <w:t xml:space="preserve">☐ Secret, dependency, and static analysis scanning blocking on every repository</w:t>
      </w:r>
    </w:p>
    <w:p>
      <w:pPr>
        <w:numPr>
          <w:ilvl w:val="0"/>
          <w:numId w:val="1008"/>
        </w:numPr>
        <w:pStyle w:val="Compact"/>
      </w:pPr>
      <w:r>
        <w:t xml:space="preserve">☐ Registry proxy with dependency admission policy in place</w:t>
      </w:r>
    </w:p>
    <w:p>
      <w:pPr>
        <w:numPr>
          <w:ilvl w:val="0"/>
          <w:numId w:val="1008"/>
        </w:numPr>
        <w:pStyle w:val="Compact"/>
      </w:pPr>
      <w:r>
        <w:t xml:space="preserve">☐ Instruction and rules files under code ownership, with hidden-character checks</w:t>
      </w:r>
    </w:p>
    <w:p>
      <w:pPr>
        <w:numPr>
          <w:ilvl w:val="0"/>
          <w:numId w:val="1008"/>
        </w:numPr>
        <w:pStyle w:val="Compact"/>
      </w:pPr>
      <w:r>
        <w:t xml:space="preserve">☐ Agent sandboxes with their own identity, scoped tokens, and egress allowlist</w:t>
      </w:r>
    </w:p>
    <w:p>
      <w:pPr>
        <w:numPr>
          <w:ilvl w:val="0"/>
          <w:numId w:val="1008"/>
        </w:numPr>
        <w:pStyle w:val="Compact"/>
      </w:pPr>
      <w:r>
        <w:t xml:space="preserve">☐ Provenance labels or trailers, and session logs linked from commits</w:t>
      </w:r>
    </w:p>
    <w:p>
      <w:pPr>
        <w:numPr>
          <w:ilvl w:val="0"/>
          <w:numId w:val="1008"/>
        </w:numPr>
        <w:pStyle w:val="Compact"/>
      </w:pPr>
      <w:r>
        <w:t xml:space="preserve">☐ Separation of duties enforced for agent pull requests</w:t>
      </w:r>
    </w:p>
    <w:p>
      <w:pPr>
        <w:numPr>
          <w:ilvl w:val="0"/>
          <w:numId w:val="1008"/>
        </w:numPr>
        <w:pStyle w:val="Compact"/>
      </w:pPr>
      <w:r>
        <w:t xml:space="preserve">☐ Budgets and alerts on AI tooling spend</w:t>
      </w:r>
    </w:p>
    <w:p>
      <w:pPr>
        <w:numPr>
          <w:ilvl w:val="0"/>
          <w:numId w:val="1008"/>
        </w:numPr>
        <w:pStyle w:val="Compact"/>
      </w:pPr>
      <w:r>
        <w:t xml:space="preserve">☐ Pilot of background agents on one narrow class of work, with results reported</w:t>
      </w:r>
    </w:p>
    <w:p>
      <w:pPr>
        <w:numPr>
          <w:ilvl w:val="0"/>
          <w:numId w:val="1008"/>
        </w:numPr>
        <w:pStyle w:val="Compact"/>
      </w:pPr>
      <w:r>
        <w:t xml:space="preserve">☐ Decision to widen scope recorded in an ADR</w:t>
      </w:r>
    </w:p>
    <w:p>
      <w:pPr>
        <w:pStyle w:val="FirstParagraph"/>
      </w:pPr>
      <w:r>
        <w:rPr>
          <w:iCs/>
          <w:i/>
        </w:rPr>
        <w:t xml:space="preserve">Template from the CTO Toolkit AI-Assisted SDLC and Delivery Pipelines page. MIT licensed.</w:t>
      </w:r>
    </w:p>
    <w:bookmarkEnd w:id="36"/>
    <w:bookmarkEnd w:id="37"/>
    <w:sectPr w:rsidR="00321B17">
      <w:pgSz w:h="15840" w:w="12240"/>
      <w:pgMar w:bottom="1440" w:footer="708" w:gutter="0" w:header="708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21D50E5E"/>
    <w:multiLevelType w:val="hybridMultilevel"/>
    <w:tmpl w:val="D9B45B54"/>
    <w:lvl w:ilvl="0" w:tplc="FB7EA38E">
      <w:start w:val="1"/>
      <w:numFmt w:val="bullet"/>
      <w:lvlText w:val="•"/>
      <w:lvlJc w:val="left"/>
      <w:pPr>
        <w:ind w:hanging="360" w:left="720"/>
      </w:pPr>
    </w:lvl>
    <w:lvl w:ilvl="1" w:tplc="EBB07CAE">
      <w:numFmt w:val="decimal"/>
      <w:lvlText w:val=""/>
      <w:lvlJc w:val="left"/>
    </w:lvl>
    <w:lvl w:ilvl="2" w:tplc="7FDA2E82">
      <w:numFmt w:val="decimal"/>
      <w:lvlText w:val=""/>
      <w:lvlJc w:val="left"/>
    </w:lvl>
    <w:lvl w:ilvl="3" w:tplc="839EB7C6">
      <w:numFmt w:val="decimal"/>
      <w:lvlText w:val=""/>
      <w:lvlJc w:val="left"/>
    </w:lvl>
    <w:lvl w:ilvl="4" w:tplc="A27C00C2">
      <w:numFmt w:val="decimal"/>
      <w:lvlText w:val=""/>
      <w:lvlJc w:val="left"/>
    </w:lvl>
    <w:lvl w:ilvl="5" w:tplc="7E8EA3C4">
      <w:numFmt w:val="decimal"/>
      <w:lvlText w:val=""/>
      <w:lvlJc w:val="left"/>
    </w:lvl>
    <w:lvl w:ilvl="6" w:tplc="4334713A">
      <w:numFmt w:val="decimal"/>
      <w:lvlText w:val=""/>
      <w:lvlJc w:val="left"/>
    </w:lvl>
    <w:lvl w:ilvl="7" w:tplc="371A3E3C">
      <w:numFmt w:val="decimal"/>
      <w:lvlText w:val=""/>
      <w:lvlJc w:val="left"/>
    </w:lvl>
    <w:lvl w:ilvl="8" w:tplc="E950540E">
      <w:numFmt w:val="decimal"/>
      <w:lvlText w:val=""/>
      <w:lvlJc w:val="left"/>
    </w:lvl>
  </w:abstractNum>
  <w:abstractNum w15:restartNumberingAfterBreak="0" w:abstractNumId="1">
    <w:nsid w:val="51B141D7"/>
    <w:multiLevelType w:val="hybridMultilevel"/>
    <w:tmpl w:val="099E55B6"/>
    <w:lvl w:ilvl="0" w:tplc="B42C977E">
      <w:start w:val="1"/>
      <w:numFmt w:val="bullet"/>
      <w:lvlText w:val="●"/>
      <w:lvlJc w:val="left"/>
      <w:pPr>
        <w:ind w:hanging="360" w:left="720"/>
      </w:pPr>
    </w:lvl>
    <w:lvl w:ilvl="1" w:tplc="231C6122">
      <w:start w:val="1"/>
      <w:numFmt w:val="bullet"/>
      <w:lvlText w:val="○"/>
      <w:lvlJc w:val="left"/>
      <w:pPr>
        <w:ind w:hanging="360" w:left="1440"/>
      </w:pPr>
    </w:lvl>
    <w:lvl w:ilvl="2" w:tplc="E85CD7EC">
      <w:start w:val="1"/>
      <w:numFmt w:val="bullet"/>
      <w:lvlText w:val="■"/>
      <w:lvlJc w:val="left"/>
      <w:pPr>
        <w:ind w:hanging="360" w:left="2160"/>
      </w:pPr>
    </w:lvl>
    <w:lvl w:ilvl="3" w:tplc="F7F40014">
      <w:start w:val="1"/>
      <w:numFmt w:val="bullet"/>
      <w:lvlText w:val="●"/>
      <w:lvlJc w:val="left"/>
      <w:pPr>
        <w:ind w:hanging="360" w:left="2880"/>
      </w:pPr>
    </w:lvl>
    <w:lvl w:ilvl="4" w:tplc="7CC895C4">
      <w:start w:val="1"/>
      <w:numFmt w:val="bullet"/>
      <w:lvlText w:val="○"/>
      <w:lvlJc w:val="left"/>
      <w:pPr>
        <w:ind w:hanging="360" w:left="3600"/>
      </w:pPr>
    </w:lvl>
    <w:lvl w:ilvl="5" w:tplc="0270C8D2">
      <w:start w:val="1"/>
      <w:numFmt w:val="bullet"/>
      <w:lvlText w:val="■"/>
      <w:lvlJc w:val="left"/>
      <w:pPr>
        <w:ind w:hanging="360" w:left="4320"/>
      </w:pPr>
    </w:lvl>
    <w:lvl w:ilvl="6" w:tplc="B0BEFC2A">
      <w:start w:val="1"/>
      <w:numFmt w:val="bullet"/>
      <w:lvlText w:val="●"/>
      <w:lvlJc w:val="left"/>
      <w:pPr>
        <w:ind w:hanging="360" w:left="5040"/>
      </w:pPr>
    </w:lvl>
    <w:lvl w:ilvl="7" w:tplc="A15268C2">
      <w:start w:val="1"/>
      <w:numFmt w:val="bullet"/>
      <w:lvlText w:val="●"/>
      <w:lvlJc w:val="left"/>
      <w:pPr>
        <w:ind w:hanging="360" w:left="5760"/>
      </w:pPr>
    </w:lvl>
    <w:lvl w:ilvl="8" w:tplc="6B90CFAC">
      <w:start w:val="1"/>
      <w:numFmt w:val="bullet"/>
      <w:lvlText w:val="●"/>
      <w:lvlJc w:val="left"/>
      <w:pPr>
        <w:ind w:hanging="360" w:left="6480"/>
      </w:pPr>
    </w:lvl>
  </w:abstractNum>
  <w:abstractNum w15:restartNumberingAfterBreak="0" w:abstractNumId="2">
    <w:nsid w:val="5B1E5D99"/>
    <w:multiLevelType w:val="hybridMultilevel"/>
    <w:tmpl w:val="DB669530"/>
    <w:lvl w:ilvl="0" w:tplc="C5D29FC2">
      <w:start w:val="1"/>
      <w:numFmt w:val="bullet"/>
      <w:lvlText w:val="☐"/>
      <w:lvlJc w:val="left"/>
      <w:pPr>
        <w:ind w:hanging="360" w:left="720"/>
      </w:pPr>
    </w:lvl>
    <w:lvl w:ilvl="1" w:tplc="575A7E34">
      <w:numFmt w:val="decimal"/>
      <w:lvlText w:val=""/>
      <w:lvlJc w:val="left"/>
    </w:lvl>
    <w:lvl w:ilvl="2" w:tplc="1B04F174">
      <w:numFmt w:val="decimal"/>
      <w:lvlText w:val=""/>
      <w:lvlJc w:val="left"/>
    </w:lvl>
    <w:lvl w:ilvl="3" w:tplc="920C597A">
      <w:numFmt w:val="decimal"/>
      <w:lvlText w:val=""/>
      <w:lvlJc w:val="left"/>
    </w:lvl>
    <w:lvl w:ilvl="4" w:tplc="F5787E44">
      <w:numFmt w:val="decimal"/>
      <w:lvlText w:val=""/>
      <w:lvlJc w:val="left"/>
    </w:lvl>
    <w:lvl w:ilvl="5" w:tplc="5EB0F0D6">
      <w:numFmt w:val="decimal"/>
      <w:lvlText w:val=""/>
      <w:lvlJc w:val="left"/>
    </w:lvl>
    <w:lvl w:ilvl="6" w:tplc="D384FD36">
      <w:numFmt w:val="decimal"/>
      <w:lvlText w:val=""/>
      <w:lvlJc w:val="left"/>
    </w:lvl>
    <w:lvl w:ilvl="7" w:tplc="C0E0CA80">
      <w:numFmt w:val="decimal"/>
      <w:lvlText w:val=""/>
      <w:lvlJc w:val="left"/>
    </w:lvl>
    <w:lvl w:ilvl="8" w:tplc="4B3C9E44">
      <w:numFmt w:val="decimal"/>
      <w:lvlText w:val=""/>
      <w:lvlJc w:val="left"/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16cid:durableId="273706286" w:numId="1">
    <w:abstractNumId w:val="1"/>
    <w:lvlOverride w:ilvl="0">
      <w:startOverride w:val="1"/>
    </w:lvlOverride>
  </w:num>
  <w:num w16cid:durableId="35551499" w:numId="2">
    <w:abstractNumId w:val="0"/>
    <w:lvlOverride w:ilvl="0">
      <w:startOverride w:val="1"/>
    </w:lvlOverride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savePreviewPicture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38"/>
  <w:proofState w:grammar="clean"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cs="Times New Roman" w:eastAsia="Times New Roman" w:hAnsi="Times New Roman"/>
        <w:sz w:val="21"/>
        <w:szCs w:val="21"/>
        <w:lang w:bidi="ar-SA" w:eastAsia="en-US" w:val="en-US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uiPriority w:val="9"/>
    <w:qFormat/>
    <w:pPr>
      <w:spacing w:after="100" w:before="280"/>
      <w:outlineLvl w:val="0"/>
    </w:pPr>
    <w:rPr>
      <w:b/>
      <w:bCs/>
      <w:color w:val="2E5E4E"/>
      <w:sz w:val="26"/>
      <w:szCs w:val="26"/>
    </w:rPr>
  </w:style>
  <w:style w:styleId="Heading2" w:type="paragraph">
    <w:name w:val="heading 2"/>
    <w:uiPriority w:val="9"/>
    <w:unhideWhenUsed/>
    <w:qFormat/>
    <w:pPr>
      <w:spacing w:after="80" w:before="180"/>
      <w:outlineLvl w:val="1"/>
    </w:pPr>
    <w:rPr>
      <w:b/>
      <w:bCs/>
      <w:color w:val="1C1E1B"/>
      <w:sz w:val="22"/>
      <w:szCs w:val="22"/>
    </w:rPr>
  </w:style>
  <w:style w:styleId="Heading3" w:type="paragraph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styleId="Heading4" w:type="paragraph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styleId="Heading5" w:type="paragraph">
    <w:name w:val="heading 5"/>
    <w:uiPriority w:val="9"/>
    <w:semiHidden/>
    <w:unhideWhenUsed/>
    <w:qFormat/>
    <w:pPr>
      <w:outlineLvl w:val="4"/>
    </w:pPr>
    <w:rPr>
      <w:color w:val="2E74B5"/>
    </w:rPr>
  </w:style>
  <w:style w:styleId="Heading6" w:type="paragraph">
    <w:name w:val="heading 6"/>
    <w:uiPriority w:val="9"/>
    <w:semiHidden/>
    <w:unhideWhenUsed/>
    <w:qFormat/>
    <w:pPr>
      <w:outlineLvl w:val="5"/>
    </w:pPr>
    <w:rPr>
      <w:color w:val="1F4D78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Title" w:type="paragraph">
    <w:name w:val="Title"/>
    <w:uiPriority w:val="10"/>
    <w:qFormat/>
    <w:rPr>
      <w:sz w:val="56"/>
      <w:szCs w:val="56"/>
    </w:rPr>
  </w:style>
  <w:style w:customStyle="1" w:styleId="Strong1" w:type="paragraph">
    <w:name w:val="Strong1"/>
    <w:qFormat/>
    <w:rPr>
      <w:b/>
      <w:bCs/>
    </w:rPr>
  </w:style>
  <w:style w:styleId="ListParagraph" w:type="paragraph">
    <w:name w:val="List Paragraph"/>
    <w:qFormat/>
  </w:style>
  <w:style w:styleId="Hyperlink" w:type="character">
    <w:name w:val="Hyperlink"/>
    <w:uiPriority w:val="99"/>
    <w:unhideWhenUsed/>
    <w:rPr>
      <w:color w:val="0563C1"/>
      <w:u w:val="single"/>
    </w:rPr>
  </w:style>
  <w:style w:styleId="FootnoteReference" w:type="character">
    <w:name w:val="footnote reference"/>
    <w:uiPriority w:val="99"/>
    <w:semiHidden/>
    <w:unhideWhenUsed/>
    <w:rPr>
      <w:vertAlign w:val="superscript"/>
    </w:rPr>
  </w:style>
  <w:style w:styleId="FootnoteText" w:type="paragraph">
    <w:name w:val="footnote text"/>
    <w:link w:val="FootnoteTextChar"/>
    <w:uiPriority w:val="99"/>
    <w:semiHidden/>
    <w:unhideWhenUsed/>
    <w:rPr>
      <w:sz w:val="20"/>
      <w:szCs w:val="20"/>
    </w:rPr>
  </w:style>
  <w:style w:customStyle="1" w:styleId="FootnoteTextChar" w:type="character">
    <w:name w:val="Footnote Text Char"/>
    <w:link w:val="FootnoteText"/>
    <w:uiPriority w:val="99"/>
    <w:semiHidden/>
    <w:unhideWhenUsed/>
    <w:rPr>
      <w:sz w:val="20"/>
      <w:szCs w:val="20"/>
    </w:rPr>
  </w:style>
  <w:style w:styleId="EndnoteReference" w:type="character">
    <w:name w:val="endnote reference"/>
    <w:uiPriority w:val="99"/>
    <w:semiHidden/>
    <w:unhideWhenUsed/>
    <w:rPr>
      <w:vertAlign w:val="superscript"/>
    </w:rPr>
  </w:style>
  <w:style w:styleId="EndnoteText" w:type="paragraph">
    <w:name w:val="endnote text"/>
    <w:link w:val="EndnoteTextChar"/>
    <w:uiPriority w:val="99"/>
    <w:semiHidden/>
    <w:unhideWhenUsed/>
    <w:rPr>
      <w:sz w:val="20"/>
      <w:szCs w:val="20"/>
    </w:rPr>
  </w:style>
  <w:style w:customStyle="1" w:styleId="EndnoteTextChar" w:type="character">
    <w:name w:val="Endnote Text Char"/>
    <w:link w:val="EndnoteText"/>
    <w:uiPriority w:val="99"/>
    <w:semiHidden/>
    <w:unhideWhenUsed/>
    <w:rPr>
      <w:sz w:val="20"/>
      <w:szCs w:val="20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387</Words>
  <Characters>2082</Characters>
  <Application>Microsoft Office Word</Application>
  <DocSecurity>0</DocSecurity>
  <Lines>93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Error Budget Policy and Production Readiness Checklist</vt:lpstr>
    </vt:vector>
  </TitlesOfParts>
  <Manager/>
  <Company/>
  <LinksUpToDate>false</LinksUpToDate>
  <CharactersWithSpaces>2435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2026-10-20T21:03:24Z</dcterms:created>
  <dcterms:modified xsi:type="dcterms:W3CDTF">2026-10-20T21:03:24Z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