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B58DA9" w14:textId="77777777" w:rsidR="00321B17" w:rsidRDefault="00000000">
      <w:pPr>
        <w:spacing w:after="160"/>
      </w:pPr>
      <w:r>
        <w:rPr>
          <w:b/>
          <w:bCs/>
          <w:color w:val="1C1E1B"/>
          <w:sz w:val="44"/>
          <w:szCs w:val="44"/>
        </w:rPr>
        <w:t>Error Budget Policy and Production Readiness Checklist</w:t>
      </w:r>
    </w:p>
    <w:p w14:paraId="7A085C91" w14:textId="77777777" w:rsidR="00321B17" w:rsidRDefault="00000000">
      <w:pPr>
        <w:spacing w:after="40"/>
      </w:pPr>
      <w:r>
        <w:rPr>
          <w:b/>
          <w:bCs/>
          <w:color w:val="1C1E1B"/>
        </w:rPr>
        <w:t>Service or service group:</w:t>
      </w:r>
      <w:r>
        <w:rPr>
          <w:color w:val="1C1E1B"/>
        </w:rPr>
        <w:t xml:space="preserve"> </w:t>
      </w:r>
    </w:p>
    <w:p w14:paraId="2DD40E27" w14:textId="77777777" w:rsidR="00321B17" w:rsidRDefault="00000000">
      <w:pPr>
        <w:spacing w:after="40"/>
      </w:pPr>
      <w:r>
        <w:rPr>
          <w:b/>
          <w:bCs/>
          <w:color w:val="1C1E1B"/>
        </w:rPr>
        <w:t>Product owner:</w:t>
      </w:r>
      <w:r>
        <w:rPr>
          <w:color w:val="1C1E1B"/>
        </w:rPr>
        <w:t xml:space="preserve"> </w:t>
      </w:r>
    </w:p>
    <w:p w14:paraId="3B2FC22A" w14:textId="77777777" w:rsidR="00321B17" w:rsidRDefault="00000000">
      <w:pPr>
        <w:spacing w:after="40"/>
      </w:pPr>
      <w:r>
        <w:rPr>
          <w:b/>
          <w:bCs/>
          <w:color w:val="1C1E1B"/>
        </w:rPr>
        <w:t>Engineering owner:</w:t>
      </w:r>
      <w:r>
        <w:rPr>
          <w:color w:val="1C1E1B"/>
        </w:rPr>
        <w:t xml:space="preserve"> </w:t>
      </w:r>
    </w:p>
    <w:p w14:paraId="3238907D" w14:textId="77777777" w:rsidR="00321B17" w:rsidRDefault="00000000">
      <w:pPr>
        <w:spacing w:after="40"/>
      </w:pPr>
      <w:r>
        <w:rPr>
          <w:b/>
          <w:bCs/>
          <w:color w:val="1C1E1B"/>
        </w:rPr>
        <w:t>Version and date:</w:t>
      </w:r>
      <w:r>
        <w:rPr>
          <w:color w:val="1C1E1B"/>
        </w:rPr>
        <w:t xml:space="preserve"> </w:t>
      </w:r>
    </w:p>
    <w:p w14:paraId="3F0BCCF9" w14:textId="77777777" w:rsidR="00321B17" w:rsidRDefault="00000000">
      <w:pPr>
        <w:spacing w:after="40"/>
      </w:pPr>
      <w:r>
        <w:rPr>
          <w:b/>
          <w:bCs/>
          <w:color w:val="1C1E1B"/>
        </w:rPr>
        <w:t>Signed by (executive who owns the roadmap):</w:t>
      </w:r>
      <w:r>
        <w:rPr>
          <w:color w:val="1C1E1B"/>
        </w:rPr>
        <w:t xml:space="preserve"> </w:t>
      </w:r>
    </w:p>
    <w:p w14:paraId="42C343D3" w14:textId="77777777" w:rsidR="00321B17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The policy only works if it is signed before the month starts. Burn-rate alerting thresholds follow the multiwindow approach in Google's SRE Workbook.</w:t>
      </w:r>
    </w:p>
    <w:p w14:paraId="580DC78C" w14:textId="77777777" w:rsidR="00321B17" w:rsidRDefault="00321B17">
      <w:pPr>
        <w:pBdr>
          <w:bottom w:val="single" w:sz="6" w:space="1" w:color="DCDAD2"/>
        </w:pBdr>
        <w:spacing w:before="120" w:after="120"/>
      </w:pPr>
    </w:p>
    <w:p w14:paraId="23AD3428" w14:textId="77777777" w:rsidR="00321B17" w:rsidRDefault="00000000">
      <w:pPr>
        <w:pStyle w:val="Heading1"/>
      </w:pPr>
      <w:r>
        <w:t>Part A: Error budget policy</w:t>
      </w:r>
    </w:p>
    <w:p w14:paraId="46B6A465" w14:textId="77777777" w:rsidR="00321B17" w:rsidRDefault="00000000">
      <w:pPr>
        <w:pStyle w:val="Heading2"/>
      </w:pPr>
      <w:r>
        <w:t>1. Service level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700"/>
        <w:gridCol w:w="1600"/>
        <w:gridCol w:w="2460"/>
      </w:tblGrid>
      <w:tr w:rsidR="00321B17" w14:paraId="2E9C7A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8391" w14:textId="77777777" w:rsidR="00321B17" w:rsidRDefault="00000000">
            <w:r>
              <w:rPr>
                <w:b/>
                <w:bCs/>
                <w:color w:val="52564F"/>
                <w:sz w:val="18"/>
                <w:szCs w:val="18"/>
              </w:rPr>
              <w:t>SLI (measured from the user side)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3973" w14:textId="77777777" w:rsidR="00321B17" w:rsidRDefault="00000000">
            <w:r>
              <w:rPr>
                <w:b/>
                <w:bCs/>
                <w:color w:val="52564F"/>
                <w:sz w:val="18"/>
                <w:szCs w:val="18"/>
              </w:rPr>
              <w:t>Objective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1E093" w14:textId="77777777" w:rsidR="00321B17" w:rsidRDefault="00000000">
            <w:r>
              <w:rPr>
                <w:b/>
                <w:bCs/>
                <w:color w:val="52564F"/>
                <w:sz w:val="18"/>
                <w:szCs w:val="18"/>
              </w:rPr>
              <w:t>Window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1B2E" w14:textId="77777777" w:rsidR="00321B17" w:rsidRDefault="00000000">
            <w:r>
              <w:rPr>
                <w:b/>
                <w:bCs/>
                <w:color w:val="52564F"/>
                <w:sz w:val="18"/>
                <w:szCs w:val="18"/>
              </w:rPr>
              <w:t>Error budget per window</w:t>
            </w:r>
          </w:p>
        </w:tc>
      </w:tr>
      <w:tr w:rsidR="00321B17" w14:paraId="139D78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6C19" w14:textId="77777777" w:rsidR="00321B17" w:rsidRDefault="00000000">
            <w:r>
              <w:rPr>
                <w:color w:val="1C1E1B"/>
                <w:sz w:val="18"/>
                <w:szCs w:val="18"/>
              </w:rPr>
              <w:t>Successful checkout requests within 2 seconds (example)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CACF" w14:textId="77777777" w:rsidR="00321B17" w:rsidRDefault="00000000">
            <w:r>
              <w:rPr>
                <w:color w:val="1C1E1B"/>
                <w:sz w:val="18"/>
                <w:szCs w:val="18"/>
              </w:rPr>
              <w:t>99.9%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F24DE" w14:textId="77777777" w:rsidR="00321B17" w:rsidRDefault="00000000">
            <w:r>
              <w:rPr>
                <w:color w:val="1C1E1B"/>
                <w:sz w:val="18"/>
                <w:szCs w:val="18"/>
              </w:rPr>
              <w:t>30 days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1EEE" w14:textId="77777777" w:rsidR="00321B17" w:rsidRDefault="00000000">
            <w:r>
              <w:rPr>
                <w:color w:val="1C1E1B"/>
                <w:sz w:val="18"/>
                <w:szCs w:val="18"/>
              </w:rPr>
              <w:t>43.2 minutes</w:t>
            </w:r>
          </w:p>
        </w:tc>
      </w:tr>
      <w:tr w:rsidR="00321B17" w14:paraId="4AFC9E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1848F" w14:textId="77777777" w:rsidR="00321B17" w:rsidRDefault="00321B1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1B1E" w14:textId="77777777" w:rsidR="00321B17" w:rsidRDefault="00321B17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83E70" w14:textId="77777777" w:rsidR="00321B17" w:rsidRDefault="00321B17"/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4826" w14:textId="77777777" w:rsidR="00321B17" w:rsidRDefault="00321B17"/>
        </w:tc>
      </w:tr>
      <w:tr w:rsidR="00321B17" w14:paraId="7A22B1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E7799" w14:textId="77777777" w:rsidR="00321B17" w:rsidRDefault="00321B1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1DB2" w14:textId="77777777" w:rsidR="00321B17" w:rsidRDefault="00321B17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0BD5" w14:textId="77777777" w:rsidR="00321B17" w:rsidRDefault="00321B17"/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BFDF" w14:textId="77777777" w:rsidR="00321B17" w:rsidRDefault="00321B17"/>
        </w:tc>
      </w:tr>
    </w:tbl>
    <w:p w14:paraId="2000F730" w14:textId="77777777" w:rsidR="00321B17" w:rsidRDefault="00321B17">
      <w:pPr>
        <w:spacing w:after="120"/>
      </w:pPr>
    </w:p>
    <w:p w14:paraId="6017A502" w14:textId="77777777" w:rsidR="00321B17" w:rsidRDefault="00000000">
      <w:pPr>
        <w:pStyle w:val="Heading2"/>
      </w:pPr>
      <w:r>
        <w:t>2. Alerting</w:t>
      </w:r>
    </w:p>
    <w:p w14:paraId="06221CE4" w14:textId="77777777" w:rsidR="00321B1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Page when the budget burns 14.4 times faster than sustainable over 1 hour, or 6 times over 6 hours</w:t>
      </w:r>
    </w:p>
    <w:p w14:paraId="65BAFE2A" w14:textId="77777777" w:rsidR="00321B1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Ticket when it burns faster than sustainable over 3 days</w:t>
      </w:r>
    </w:p>
    <w:p w14:paraId="51B578F5" w14:textId="77777777" w:rsidR="00321B1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Cause-level signals (CPU, disk, queue depth) go to dashboards, not the pager</w:t>
      </w:r>
    </w:p>
    <w:p w14:paraId="39EE37D4" w14:textId="77777777" w:rsidR="00321B17" w:rsidRDefault="00000000">
      <w:pPr>
        <w:pStyle w:val="Heading2"/>
      </w:pPr>
      <w:r>
        <w:t>3. When the budget is exhausted</w:t>
      </w:r>
    </w:p>
    <w:p w14:paraId="02E09E48" w14:textId="77777777" w:rsidR="00321B1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Feature releases for the service pause, except fixes and security patches</w:t>
      </w:r>
    </w:p>
    <w:p w14:paraId="7E24D099" w14:textId="77777777" w:rsidR="00321B1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The team works on the reliability items named in the latest postmortems and the toil backlog</w:t>
      </w:r>
    </w:p>
    <w:p w14:paraId="6563705F" w14:textId="77777777" w:rsidR="00321B1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Releases resume when the budget has recovered to [X] percent, or when the product owner and engineering owner jointly sign an exception</w:t>
      </w:r>
    </w:p>
    <w:p w14:paraId="32DAE7C5" w14:textId="77777777" w:rsidR="00321B1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An exception is logged with its reason and reviewed at the next monthly review</w:t>
      </w:r>
    </w:p>
    <w:p w14:paraId="12FA42B1" w14:textId="77777777" w:rsidR="00321B17" w:rsidRDefault="00000000">
      <w:pPr>
        <w:pStyle w:val="Heading2"/>
      </w:pPr>
      <w:r>
        <w:t>4. When the budget is healthy</w:t>
      </w:r>
    </w:p>
    <w:p w14:paraId="25DD36C7" w14:textId="77777777" w:rsidR="00321B1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The team may take more release risk (larger changes, faster rollout) within the SLO</w:t>
      </w:r>
    </w:p>
    <w:p w14:paraId="328B25CB" w14:textId="77777777" w:rsidR="00321B1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Consistently unused budget for a quarter triggers a review of whether the SLO is too loose or reliability spend too high</w:t>
      </w:r>
    </w:p>
    <w:p w14:paraId="1F35AAC0" w14:textId="77777777" w:rsidR="00321B17" w:rsidRDefault="00000000">
      <w:pPr>
        <w:pStyle w:val="Heading2"/>
      </w:pPr>
      <w:r>
        <w:t>5. Review</w:t>
      </w:r>
    </w:p>
    <w:p w14:paraId="68E43E98" w14:textId="77777777" w:rsidR="00321B17" w:rsidRDefault="00000000">
      <w:pPr>
        <w:spacing w:after="220"/>
      </w:pPr>
      <w:r>
        <w:rPr>
          <w:b/>
          <w:bCs/>
          <w:color w:val="1C1E1B"/>
        </w:rPr>
        <w:t>Monthly review attendees:</w:t>
      </w:r>
      <w:r>
        <w:rPr>
          <w:color w:val="1C1E1B"/>
        </w:rPr>
        <w:t xml:space="preserve"> </w:t>
      </w:r>
    </w:p>
    <w:p w14:paraId="17424BED" w14:textId="77777777" w:rsidR="00321B17" w:rsidRDefault="00000000">
      <w:pPr>
        <w:spacing w:after="220"/>
      </w:pPr>
      <w:r>
        <w:rPr>
          <w:b/>
          <w:bCs/>
          <w:color w:val="1C1E1B"/>
        </w:rPr>
        <w:t>Quarterly SLO review date:</w:t>
      </w:r>
      <w:r>
        <w:rPr>
          <w:color w:val="1C1E1B"/>
        </w:rPr>
        <w:t xml:space="preserve"> </w:t>
      </w:r>
    </w:p>
    <w:p w14:paraId="65677C7E" w14:textId="77777777" w:rsidR="00321B17" w:rsidRDefault="00000000">
      <w:pPr>
        <w:pStyle w:val="Heading1"/>
      </w:pPr>
      <w:r>
        <w:t>Part B: Production readiness checklist</w:t>
      </w:r>
    </w:p>
    <w:p w14:paraId="4E1FCCDB" w14:textId="77777777" w:rsidR="00321B17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A service passes before it takes production traffic. Record evidence, not intentions.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3000"/>
        <w:gridCol w:w="1160"/>
      </w:tblGrid>
      <w:tr w:rsidR="00321B17" w14:paraId="7BB15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DAA8" w14:textId="77777777" w:rsidR="00321B17" w:rsidRDefault="00000000">
            <w:r>
              <w:rPr>
                <w:b/>
                <w:bCs/>
                <w:color w:val="52564F"/>
                <w:sz w:val="18"/>
                <w:szCs w:val="18"/>
              </w:rPr>
              <w:lastRenderedPageBreak/>
              <w:t>Item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247D" w14:textId="77777777" w:rsidR="00321B17" w:rsidRDefault="00000000">
            <w:r>
              <w:rPr>
                <w:b/>
                <w:bCs/>
                <w:color w:val="52564F"/>
                <w:sz w:val="18"/>
                <w:szCs w:val="18"/>
              </w:rPr>
              <w:t>Evidence (link)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B7DB" w14:textId="77777777" w:rsidR="00321B17" w:rsidRDefault="00000000">
            <w:r>
              <w:rPr>
                <w:b/>
                <w:bCs/>
                <w:color w:val="52564F"/>
                <w:sz w:val="18"/>
                <w:szCs w:val="18"/>
              </w:rPr>
              <w:t>Done</w:t>
            </w:r>
          </w:p>
        </w:tc>
      </w:tr>
      <w:tr w:rsidR="00321B17" w14:paraId="6402561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58E0" w14:textId="77777777" w:rsidR="00321B17" w:rsidRDefault="00000000">
            <w:r>
              <w:rPr>
                <w:color w:val="1C1E1B"/>
                <w:sz w:val="18"/>
                <w:szCs w:val="18"/>
              </w:rPr>
              <w:t>SLOs defined, agreed with the product owner, and on a dashboard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8157" w14:textId="77777777" w:rsidR="00321B17" w:rsidRDefault="00321B17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92A9" w14:textId="77777777" w:rsidR="00321B17" w:rsidRDefault="00321B17"/>
        </w:tc>
      </w:tr>
      <w:tr w:rsidR="00321B17" w14:paraId="7E0376E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1543" w14:textId="77777777" w:rsidR="00321B17" w:rsidRDefault="00000000">
            <w:r>
              <w:rPr>
                <w:color w:val="1C1E1B"/>
                <w:sz w:val="18"/>
                <w:szCs w:val="18"/>
              </w:rPr>
              <w:t>Alerts tied to SLOs; every page has a runbook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81CE" w14:textId="77777777" w:rsidR="00321B17" w:rsidRDefault="00321B17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AD35" w14:textId="77777777" w:rsidR="00321B17" w:rsidRDefault="00321B17"/>
        </w:tc>
      </w:tr>
      <w:tr w:rsidR="00321B17" w14:paraId="18BE0CA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5AC5F" w14:textId="77777777" w:rsidR="00321B17" w:rsidRDefault="00000000">
            <w:r>
              <w:rPr>
                <w:color w:val="1C1E1B"/>
                <w:sz w:val="18"/>
                <w:szCs w:val="18"/>
              </w:rPr>
              <w:t xml:space="preserve">On-call </w:t>
            </w:r>
            <w:proofErr w:type="spellStart"/>
            <w:r>
              <w:rPr>
                <w:color w:val="1C1E1B"/>
                <w:sz w:val="18"/>
                <w:szCs w:val="18"/>
              </w:rPr>
              <w:t>rota</w:t>
            </w:r>
            <w:proofErr w:type="spellEnd"/>
            <w:r>
              <w:rPr>
                <w:color w:val="1C1E1B"/>
                <w:sz w:val="18"/>
                <w:szCs w:val="18"/>
              </w:rPr>
              <w:t xml:space="preserve"> at least six deep, named, and paid per policy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2AFBA" w14:textId="77777777" w:rsidR="00321B17" w:rsidRDefault="00321B17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C25AC" w14:textId="77777777" w:rsidR="00321B17" w:rsidRDefault="00321B17"/>
        </w:tc>
      </w:tr>
      <w:tr w:rsidR="00321B17" w14:paraId="4D64AF9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36D8" w14:textId="77777777" w:rsidR="00321B17" w:rsidRDefault="00000000">
            <w:r>
              <w:rPr>
                <w:color w:val="1C1E1B"/>
                <w:sz w:val="18"/>
                <w:szCs w:val="18"/>
              </w:rPr>
              <w:t>Structured logs, metrics, and traces with a propagated correlation ID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9C8D1" w14:textId="77777777" w:rsidR="00321B17" w:rsidRDefault="00321B17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FDA7" w14:textId="77777777" w:rsidR="00321B17" w:rsidRDefault="00321B17"/>
        </w:tc>
      </w:tr>
      <w:tr w:rsidR="00321B17" w14:paraId="088D0A2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BEA6" w14:textId="77777777" w:rsidR="00321B17" w:rsidRDefault="00000000">
            <w:r>
              <w:rPr>
                <w:color w:val="1C1E1B"/>
                <w:sz w:val="18"/>
                <w:szCs w:val="18"/>
              </w:rPr>
              <w:t>Dashboards built from the standard template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9FC6" w14:textId="77777777" w:rsidR="00321B17" w:rsidRDefault="00321B17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54FB" w14:textId="77777777" w:rsidR="00321B17" w:rsidRDefault="00321B17"/>
        </w:tc>
      </w:tr>
      <w:tr w:rsidR="00321B17" w14:paraId="0316992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8CBB" w14:textId="77777777" w:rsidR="00321B17" w:rsidRDefault="00000000">
            <w:r>
              <w:rPr>
                <w:color w:val="1C1E1B"/>
                <w:sz w:val="18"/>
                <w:szCs w:val="18"/>
              </w:rPr>
              <w:t>Dependencies declared, with timeouts, retries with backoff, and circuit breakers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A081" w14:textId="77777777" w:rsidR="00321B17" w:rsidRDefault="00321B17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1BAC" w14:textId="77777777" w:rsidR="00321B17" w:rsidRDefault="00321B17"/>
        </w:tc>
      </w:tr>
      <w:tr w:rsidR="00321B17" w14:paraId="01A3CED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8CBD" w14:textId="77777777" w:rsidR="00321B17" w:rsidRDefault="00000000">
            <w:r>
              <w:rPr>
                <w:color w:val="1C1E1B"/>
                <w:sz w:val="18"/>
                <w:szCs w:val="18"/>
              </w:rPr>
              <w:t>Backups configured and a restore tested within the RTO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CEAE7" w14:textId="77777777" w:rsidR="00321B17" w:rsidRDefault="00321B17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9243" w14:textId="77777777" w:rsidR="00321B17" w:rsidRDefault="00321B17"/>
        </w:tc>
      </w:tr>
      <w:tr w:rsidR="00321B17" w14:paraId="47D7D82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A272" w14:textId="77777777" w:rsidR="00321B17" w:rsidRDefault="00000000">
            <w:r>
              <w:rPr>
                <w:color w:val="1C1E1B"/>
                <w:sz w:val="18"/>
                <w:szCs w:val="18"/>
              </w:rPr>
              <w:t>Capacity forecast and a load test before the first known peak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B9EB2" w14:textId="77777777" w:rsidR="00321B17" w:rsidRDefault="00321B17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3E93F" w14:textId="77777777" w:rsidR="00321B17" w:rsidRDefault="00321B17"/>
        </w:tc>
      </w:tr>
      <w:tr w:rsidR="00321B17" w14:paraId="7FDD7AF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7CEA" w14:textId="77777777" w:rsidR="00321B17" w:rsidRDefault="00000000">
            <w:r>
              <w:rPr>
                <w:color w:val="1C1E1B"/>
                <w:sz w:val="18"/>
                <w:szCs w:val="18"/>
              </w:rPr>
              <w:t>Security review complete; secrets in a vault; least-privilege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0157" w14:textId="77777777" w:rsidR="00321B17" w:rsidRDefault="00321B17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2265" w14:textId="77777777" w:rsidR="00321B17" w:rsidRDefault="00321B17"/>
        </w:tc>
      </w:tr>
      <w:tr w:rsidR="00321B17" w14:paraId="6DC7230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724C" w14:textId="77777777" w:rsidR="00321B17" w:rsidRDefault="00000000">
            <w:r>
              <w:rPr>
                <w:color w:val="1C1E1B"/>
                <w:sz w:val="18"/>
                <w:szCs w:val="18"/>
              </w:rPr>
              <w:t>Rollback path tested; feature flags for risky changes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7CC77" w14:textId="77777777" w:rsidR="00321B17" w:rsidRDefault="00321B17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B8A4" w14:textId="77777777" w:rsidR="00321B17" w:rsidRDefault="00321B17"/>
        </w:tc>
      </w:tr>
      <w:tr w:rsidR="00321B17" w14:paraId="63B64B9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786E8" w14:textId="77777777" w:rsidR="00321B17" w:rsidRDefault="00000000">
            <w:r>
              <w:rPr>
                <w:color w:val="1C1E1B"/>
                <w:sz w:val="18"/>
                <w:szCs w:val="18"/>
              </w:rPr>
              <w:t>Telemetry cost budget set for the service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3125" w14:textId="77777777" w:rsidR="00321B17" w:rsidRDefault="00321B17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417D" w14:textId="77777777" w:rsidR="00321B17" w:rsidRDefault="00321B17"/>
        </w:tc>
      </w:tr>
      <w:tr w:rsidR="00321B17" w14:paraId="01F3BFF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2748" w14:textId="77777777" w:rsidR="00321B17" w:rsidRDefault="00000000">
            <w:r>
              <w:rPr>
                <w:color w:val="1C1E1B"/>
                <w:sz w:val="18"/>
                <w:szCs w:val="18"/>
              </w:rPr>
              <w:t>Data classification recorded; residency respected in backups and replicas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F009" w14:textId="77777777" w:rsidR="00321B17" w:rsidRDefault="00321B17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8546" w14:textId="77777777" w:rsidR="00321B17" w:rsidRDefault="00321B17"/>
        </w:tc>
      </w:tr>
    </w:tbl>
    <w:p w14:paraId="7F1787DE" w14:textId="77777777" w:rsidR="00321B17" w:rsidRDefault="00321B17">
      <w:pPr>
        <w:spacing w:after="120"/>
      </w:pPr>
    </w:p>
    <w:p w14:paraId="44C45180" w14:textId="77777777" w:rsidR="00321B17" w:rsidRDefault="00321B17">
      <w:pPr>
        <w:pBdr>
          <w:bottom w:val="single" w:sz="6" w:space="1" w:color="DCDAD2"/>
        </w:pBdr>
        <w:spacing w:before="120" w:after="120"/>
      </w:pPr>
    </w:p>
    <w:p w14:paraId="3A778407" w14:textId="77777777" w:rsidR="00321B17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Template from the CTO Toolkit Observability and SRE Operating Model page. MIT licensed.</w:t>
      </w:r>
    </w:p>
    <w:sectPr w:rsidR="00321B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D50E5E"/>
    <w:multiLevelType w:val="hybridMultilevel"/>
    <w:tmpl w:val="D9B45B54"/>
    <w:lvl w:ilvl="0" w:tplc="FB7EA38E">
      <w:start w:val="1"/>
      <w:numFmt w:val="bullet"/>
      <w:lvlText w:val="•"/>
      <w:lvlJc w:val="left"/>
      <w:pPr>
        <w:ind w:left="720" w:hanging="360"/>
      </w:pPr>
    </w:lvl>
    <w:lvl w:ilvl="1" w:tplc="EBB07CAE">
      <w:numFmt w:val="decimal"/>
      <w:lvlText w:val=""/>
      <w:lvlJc w:val="left"/>
    </w:lvl>
    <w:lvl w:ilvl="2" w:tplc="7FDA2E82">
      <w:numFmt w:val="decimal"/>
      <w:lvlText w:val=""/>
      <w:lvlJc w:val="left"/>
    </w:lvl>
    <w:lvl w:ilvl="3" w:tplc="839EB7C6">
      <w:numFmt w:val="decimal"/>
      <w:lvlText w:val=""/>
      <w:lvlJc w:val="left"/>
    </w:lvl>
    <w:lvl w:ilvl="4" w:tplc="A27C00C2">
      <w:numFmt w:val="decimal"/>
      <w:lvlText w:val=""/>
      <w:lvlJc w:val="left"/>
    </w:lvl>
    <w:lvl w:ilvl="5" w:tplc="7E8EA3C4">
      <w:numFmt w:val="decimal"/>
      <w:lvlText w:val=""/>
      <w:lvlJc w:val="left"/>
    </w:lvl>
    <w:lvl w:ilvl="6" w:tplc="4334713A">
      <w:numFmt w:val="decimal"/>
      <w:lvlText w:val=""/>
      <w:lvlJc w:val="left"/>
    </w:lvl>
    <w:lvl w:ilvl="7" w:tplc="371A3E3C">
      <w:numFmt w:val="decimal"/>
      <w:lvlText w:val=""/>
      <w:lvlJc w:val="left"/>
    </w:lvl>
    <w:lvl w:ilvl="8" w:tplc="E950540E">
      <w:numFmt w:val="decimal"/>
      <w:lvlText w:val=""/>
      <w:lvlJc w:val="left"/>
    </w:lvl>
  </w:abstractNum>
  <w:abstractNum w:abstractNumId="1" w15:restartNumberingAfterBreak="0">
    <w:nsid w:val="51B141D7"/>
    <w:multiLevelType w:val="hybridMultilevel"/>
    <w:tmpl w:val="099E55B6"/>
    <w:lvl w:ilvl="0" w:tplc="B42C977E">
      <w:start w:val="1"/>
      <w:numFmt w:val="bullet"/>
      <w:lvlText w:val="●"/>
      <w:lvlJc w:val="left"/>
      <w:pPr>
        <w:ind w:left="720" w:hanging="360"/>
      </w:pPr>
    </w:lvl>
    <w:lvl w:ilvl="1" w:tplc="231C6122">
      <w:start w:val="1"/>
      <w:numFmt w:val="bullet"/>
      <w:lvlText w:val="○"/>
      <w:lvlJc w:val="left"/>
      <w:pPr>
        <w:ind w:left="1440" w:hanging="360"/>
      </w:pPr>
    </w:lvl>
    <w:lvl w:ilvl="2" w:tplc="E85CD7EC">
      <w:start w:val="1"/>
      <w:numFmt w:val="bullet"/>
      <w:lvlText w:val="■"/>
      <w:lvlJc w:val="left"/>
      <w:pPr>
        <w:ind w:left="2160" w:hanging="360"/>
      </w:pPr>
    </w:lvl>
    <w:lvl w:ilvl="3" w:tplc="F7F40014">
      <w:start w:val="1"/>
      <w:numFmt w:val="bullet"/>
      <w:lvlText w:val="●"/>
      <w:lvlJc w:val="left"/>
      <w:pPr>
        <w:ind w:left="2880" w:hanging="360"/>
      </w:pPr>
    </w:lvl>
    <w:lvl w:ilvl="4" w:tplc="7CC895C4">
      <w:start w:val="1"/>
      <w:numFmt w:val="bullet"/>
      <w:lvlText w:val="○"/>
      <w:lvlJc w:val="left"/>
      <w:pPr>
        <w:ind w:left="3600" w:hanging="360"/>
      </w:pPr>
    </w:lvl>
    <w:lvl w:ilvl="5" w:tplc="0270C8D2">
      <w:start w:val="1"/>
      <w:numFmt w:val="bullet"/>
      <w:lvlText w:val="■"/>
      <w:lvlJc w:val="left"/>
      <w:pPr>
        <w:ind w:left="4320" w:hanging="360"/>
      </w:pPr>
    </w:lvl>
    <w:lvl w:ilvl="6" w:tplc="B0BEFC2A">
      <w:start w:val="1"/>
      <w:numFmt w:val="bullet"/>
      <w:lvlText w:val="●"/>
      <w:lvlJc w:val="left"/>
      <w:pPr>
        <w:ind w:left="5040" w:hanging="360"/>
      </w:pPr>
    </w:lvl>
    <w:lvl w:ilvl="7" w:tplc="A15268C2">
      <w:start w:val="1"/>
      <w:numFmt w:val="bullet"/>
      <w:lvlText w:val="●"/>
      <w:lvlJc w:val="left"/>
      <w:pPr>
        <w:ind w:left="5760" w:hanging="360"/>
      </w:pPr>
    </w:lvl>
    <w:lvl w:ilvl="8" w:tplc="6B90CF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1E5D99"/>
    <w:multiLevelType w:val="hybridMultilevel"/>
    <w:tmpl w:val="DB669530"/>
    <w:lvl w:ilvl="0" w:tplc="C5D29FC2">
      <w:start w:val="1"/>
      <w:numFmt w:val="bullet"/>
      <w:lvlText w:val="☐"/>
      <w:lvlJc w:val="left"/>
      <w:pPr>
        <w:ind w:left="720" w:hanging="360"/>
      </w:pPr>
    </w:lvl>
    <w:lvl w:ilvl="1" w:tplc="575A7E34">
      <w:numFmt w:val="decimal"/>
      <w:lvlText w:val=""/>
      <w:lvlJc w:val="left"/>
    </w:lvl>
    <w:lvl w:ilvl="2" w:tplc="1B04F174">
      <w:numFmt w:val="decimal"/>
      <w:lvlText w:val=""/>
      <w:lvlJc w:val="left"/>
    </w:lvl>
    <w:lvl w:ilvl="3" w:tplc="920C597A">
      <w:numFmt w:val="decimal"/>
      <w:lvlText w:val=""/>
      <w:lvlJc w:val="left"/>
    </w:lvl>
    <w:lvl w:ilvl="4" w:tplc="F5787E44">
      <w:numFmt w:val="decimal"/>
      <w:lvlText w:val=""/>
      <w:lvlJc w:val="left"/>
    </w:lvl>
    <w:lvl w:ilvl="5" w:tplc="5EB0F0D6">
      <w:numFmt w:val="decimal"/>
      <w:lvlText w:val=""/>
      <w:lvlJc w:val="left"/>
    </w:lvl>
    <w:lvl w:ilvl="6" w:tplc="D384FD36">
      <w:numFmt w:val="decimal"/>
      <w:lvlText w:val=""/>
      <w:lvlJc w:val="left"/>
    </w:lvl>
    <w:lvl w:ilvl="7" w:tplc="C0E0CA80">
      <w:numFmt w:val="decimal"/>
      <w:lvlText w:val=""/>
      <w:lvlJc w:val="left"/>
    </w:lvl>
    <w:lvl w:ilvl="8" w:tplc="4B3C9E44">
      <w:numFmt w:val="decimal"/>
      <w:lvlText w:val=""/>
      <w:lvlJc w:val="left"/>
    </w:lvl>
  </w:abstractNum>
  <w:num w:numId="1" w16cid:durableId="273706286">
    <w:abstractNumId w:val="1"/>
    <w:lvlOverride w:ilvl="0">
      <w:startOverride w:val="1"/>
    </w:lvlOverride>
  </w:num>
  <w:num w:numId="2" w16cid:durableId="35551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B17"/>
    <w:rsid w:val="00321B17"/>
    <w:rsid w:val="00854A1D"/>
    <w:rsid w:val="00B6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A4C03"/>
  <w15:docId w15:val="{B5AA353B-685A-9741-ADBD-5402AE4B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2E5E4E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C1E1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2082</Characters>
  <Application>Microsoft Office Word</Application>
  <DocSecurity>0</DocSecurity>
  <Lines>93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Error Budget Policy and Production Readiness Checklist</vt:lpstr>
    </vt:vector>
  </TitlesOfParts>
  <Manager/>
  <Company/>
  <LinksUpToDate>false</LinksUpToDate>
  <CharactersWithSpaces>2435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 Budget Policy and Production Readiness Checklist</dc:title>
  <dc:subject/>
  <dc:creator>KF</dc:creator>
  <cp:keywords/>
  <dc:description/>
  <cp:lastModifiedBy>Kevin Forbes</cp:lastModifiedBy>
  <cp:revision>2</cp:revision>
  <dcterms:created xsi:type="dcterms:W3CDTF">2026-10-06T19:35:00Z</dcterms:created>
  <dcterms:modified xsi:type="dcterms:W3CDTF">2026-10-06T20:01:00Z</dcterms:modified>
  <cp:category/>
</cp:coreProperties>
</file>