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accessible, comprehensive data on how C cycling varies across forest types and in relation to stand history.</w:t>
      </w:r>
      <w:r>
        <w:t xml:space="preserve"> </w:t>
      </w:r>
      <w:r>
        <w:t xml:space="preserve">These require large-scale databases with global coverage, which runs contrary to the nature in which forest C stocks and fluxes are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or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Yet, this sink is reduced by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reducing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w:t>
      </w:r>
      <w:r>
        <w:rPr>
          <w:b/>
        </w:rPr>
        <w:t xml:space="preserve">???</w:t>
      </w:r>
      <w:r>
        <w:t xml:space="preserve">,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Leith,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Odum, Luyssaert 2008)</w:t>
      </w:r>
      <w:r>
        <w:t xml:space="preserve">.</w:t>
      </w:r>
      <w:r>
        <w:t xml:space="preserve"> </w:t>
      </w:r>
      <w:r>
        <w:t xml:space="preserve">- increasingly refined understanding of the elements of ecosystem C cycles,</w:t>
      </w:r>
      <w:r>
        <w:br/>
      </w:r>
      <w:r>
        <w:t xml:space="preserve">- standardization of definitions, (which were vague at the time of Odum)</w:t>
      </w:r>
      <w:r>
        <w:t xml:space="preserve"> </w:t>
      </w:r>
      <w:r>
        <w:t xml:space="preserve">- Expanding set of variables, notably including the development of the eddy-covariance technique to measure ecosystem-atmosphere CO</w:t>
      </w:r>
      <w:r>
        <w:rPr>
          <w:vertAlign w:val="subscript"/>
        </w:rPr>
        <w:t xml:space="preserve">2</w:t>
      </w:r>
      <w:r>
        <w:t xml:space="preserve"> </w:t>
      </w:r>
      <w:r>
        <w:t xml:space="preserve">exchange (REFS), NEP, soil respiration, Also various techniques for measuring belowground C cycling.</w:t>
      </w:r>
      <w:r>
        <w:t xml:space="preserve"> </w:t>
      </w:r>
      <w:r>
        <w:t xml:space="preserve">- critical review of methods and their sources of errors</w:t>
      </w:r>
      <w:r>
        <w:t xml:space="preserve"> </w:t>
      </w:r>
      <w:r>
        <w:t xml:space="preserve">- Increasing standardization of methods: allometries, which are highly influential to any measurement including woody biomass or changes therein, but until recently have not been standardized</w:t>
      </w:r>
      <w:r>
        <w:t xml:space="preserve"> </w:t>
      </w:r>
      <w:r>
        <w:t xml:space="preserve">- Further standardization made possible through research networks such as ForestGEO</w:t>
      </w:r>
      <w:r>
        <w:t xml:space="preserve"> </w:t>
      </w:r>
      <w:r>
        <w:t xml:space="preserve">(Anderson-Teixeira</w:t>
      </w:r>
      <w:r>
        <w:t xml:space="preserve"> </w:t>
      </w:r>
      <w:r>
        <w:rPr>
          <w:i/>
        </w:rPr>
        <w:t xml:space="preserve">et al</w:t>
      </w:r>
      <w:r>
        <w:t xml:space="preserve"> </w:t>
      </w:r>
      <w:r>
        <w:t xml:space="preserve">2015, e.g., Lutz</w:t>
      </w:r>
      <w:r>
        <w:t xml:space="preserve"> </w:t>
      </w:r>
      <w:r>
        <w:rPr>
          <w:i/>
        </w:rPr>
        <w:t xml:space="preserve">et al</w:t>
      </w:r>
      <w:r>
        <w:t xml:space="preserve"> </w:t>
      </w:r>
      <w:r>
        <w:t xml:space="preserve">2018)</w:t>
      </w:r>
      <w:r>
        <w:t xml:space="preserve">, GEM (Malhi), NEON</w:t>
      </w:r>
      <w:r>
        <w:t xml:space="preserve"> </w:t>
      </w:r>
      <w:r>
        <w:t xml:space="preserve">(Schimel</w:t>
      </w:r>
      <w:r>
        <w:t xml:space="preserve"> </w:t>
      </w:r>
      <w:r>
        <w:rPr>
          <w:i/>
        </w:rPr>
        <w:t xml:space="preserve">et al</w:t>
      </w:r>
      <w:r>
        <w:t xml:space="preserve"> </w:t>
      </w:r>
      <w:r>
        <w:t xml:space="preserve">2007)</w:t>
      </w:r>
      <w:r>
        <w:t xml:space="preserve">, or FLUXNET</w:t>
      </w:r>
      <w:r>
        <w:t xml:space="preserve"> </w:t>
      </w:r>
      <w:r>
        <w:t xml:space="preserve">(Baldocchi</w:t>
      </w:r>
      <w:r>
        <w:t xml:space="preserve"> </w:t>
      </w:r>
      <w:r>
        <w:rPr>
          <w:i/>
        </w:rPr>
        <w:t xml:space="preserve">et al</w:t>
      </w:r>
      <w:r>
        <w:t xml:space="preserve"> </w:t>
      </w:r>
      <w:r>
        <w:t xml:space="preserve">2001, e.g., Novick</w:t>
      </w:r>
      <w:r>
        <w:t xml:space="preserve"> </w:t>
      </w:r>
      <w:r>
        <w:rPr>
          <w:i/>
        </w:rPr>
        <w:t xml:space="preserve">et al</w:t>
      </w:r>
      <w:r>
        <w:t xml:space="preserve"> </w:t>
      </w:r>
      <w:r>
        <w:t xml:space="preserve">2018)</w:t>
      </w:r>
      <w:r>
        <w:t xml:space="preserve">.</w:t>
      </w:r>
      <w:r>
        <w:t xml:space="preserve"> </w:t>
      </w:r>
      <w:r>
        <w:t xml:space="preserve">- While remote sensing measurements are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measurement and validation of most forest C stocks and fluxes require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–often behind paywalls– along with variation in data formats, units, measurement methods,</w:t>
      </w:r>
      <w:r>
        <w:t xml:space="preserve"> </w:t>
      </w:r>
      <w:r>
        <w:rPr>
          <w:i/>
        </w:rPr>
        <w:t xml:space="preserve">etc.</w:t>
      </w:r>
      <w:r>
        <w:t xml:space="preserve"> </w:t>
      </w:r>
      <w:r>
        <w:t xml:space="preserve">In this format, the data are effectively inaccessible for many global-scale analyses,</w:t>
      </w:r>
      <w:r>
        <w:t xml:space="preserve"> </w:t>
      </w:r>
      <w:r>
        <w:t xml:space="preserve">Data synthesis began,…</w:t>
      </w:r>
    </w:p>
    <w:p>
      <w:pPr>
        <w:pStyle w:val="BodyText"/>
      </w:pPr>
      <w:r>
        <w:t xml:space="preserve">To address the need for global-scale analyses of forest C cycling, we recently developed</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Data have been amalgamated from original peer-reviewed publications, either directly or via intermediary data compilations.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to include two additional large databases: the Global Soil Respiration Database</w:t>
      </w:r>
      <w:r>
        <w:t xml:space="preserve"> </w:t>
      </w:r>
      <w:r>
        <w:t xml:space="preserve">(SRDB; Bond-Lamberty and Thomson 2010)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 </w:t>
      </w:r>
      <w:r>
        <w:t xml:space="preserve">that also synthesized published forest C data.</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w:t>
      </w:r>
      <w:r>
        <w:t xml:space="preserve"> </w:t>
      </w:r>
      <w:r>
        <w:t xml:space="preserve">This represents an 129% increase in records from the prior publication</w:t>
      </w:r>
      <w:r>
        <w:t xml:space="preserve"> </w:t>
      </w:r>
      <w:r>
        <w:t xml:space="preserve">(Anderson-Teixeira</w:t>
      </w:r>
      <w:r>
        <w:t xml:space="preserve"> </w:t>
      </w:r>
      <w:r>
        <w:rPr>
          <w:i/>
        </w:rPr>
        <w:t xml:space="preserve">et al</w:t>
      </w:r>
      <w:r>
        <w:t xml:space="preserve"> </w:t>
      </w:r>
      <w:r>
        <w:t xml:space="preserve">2018)</w:t>
      </w:r>
      <w:r>
        <w:t xml:space="preserve">.</w:t>
      </w:r>
    </w:p>
    <w:bookmarkEnd w:id="23"/>
    <w:bookmarkStart w:id="24" w:name="biome-differences"/>
    <w:p>
      <w:pPr>
        <w:pStyle w:val="Heading3"/>
      </w:pPr>
      <w:r>
        <w:t xml:space="preserve">Biome differences</w:t>
      </w:r>
    </w:p>
    <w:p>
      <w:pPr>
        <w:pStyle w:val="FirstParagraph"/>
      </w:pPr>
      <w:r>
        <w:t xml:space="preserve">Forest C cycling varies enormously across biomes…</w:t>
      </w:r>
      <w:r>
        <w:t xml:space="preserve"> </w:t>
      </w:r>
      <w:r>
        <w:t xml:space="preserve">Biome is an artificial categorical distinction convenient for categorizing the world’s forests according to major differences in climate and vegetation.</w:t>
      </w:r>
    </w:p>
    <w:p>
      <w:pPr>
        <w:pStyle w:val="BodyText"/>
      </w:pPr>
      <w:r>
        <w:t xml:space="preserve">The most important gradient for defining biomes is climate.</w:t>
      </w:r>
      <w:r>
        <w:t xml:space="preserve"> </w:t>
      </w:r>
      <w:r>
        <w:t xml:space="preserve">Since (Humboldt?), it has been recognized that climate plays a dominant role in shaping differences among forests.</w:t>
      </w:r>
    </w:p>
    <w:p>
      <w:pPr>
        <w:pStyle w:val="BodyText"/>
      </w:pPr>
      <w:r>
        <w:t xml:space="preserve">Lieth (1973)</w:t>
      </w:r>
      <w:r>
        <w:t xml:space="preserve"> </w:t>
      </w:r>
      <w:r>
        <w:t xml:space="preserve">synthesized differences in NPP across gradients of mean annual temperature and precipitation.</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chematic/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w:t>
      </w:r>
      <w:r>
        <w:t xml:space="preserve"> </w:t>
      </w:r>
      <w:r>
        <w:rPr>
          <w:b/>
        </w:rPr>
        <w:t xml:space="preserve">???</w:t>
      </w:r>
      <w:r>
        <w:t xml:space="preserve">)</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w:t>
      </w:r>
      <w:r>
        <w:rPr>
          <w:b/>
        </w:rPr>
        <w:t xml:space="preserve">???</w:t>
      </w:r>
      <w:r>
        <w:t xml:space="preserve">)</w:t>
      </w:r>
      <w:r>
        <w:t xml:space="preserve">.</w:t>
      </w:r>
    </w:p>
    <w:bookmarkEnd w:id="31"/>
    <w:bookmarkStart w:id="41"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0"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r>
        <w:br w:type="page"/>
      </w:r>
    </w:p>
    <w:bookmarkEnd w:id="40"/>
    <w:bookmarkEnd w:id="41"/>
    <w:bookmarkStart w:id="47"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2"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w:t>
      </w:r>
      <w:r>
        <w:t xml:space="preserve"> </w:t>
      </w:r>
      <w:r>
        <w:rPr>
          <w:b/>
        </w:rPr>
        <w:t xml:space="preserve">???</w:t>
      </w:r>
      <w:r>
        <w:t xml:space="preserve">)</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2"/>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w:t>
      </w:r>
      <w:r>
        <w:t xml:space="preserve"> </w:t>
      </w:r>
      <w:r>
        <w:rPr>
          <w:b/>
        </w:rPr>
        <w:t xml:space="preserve">???</w:t>
      </w:r>
      <w:r>
        <w:t xml:space="preserve">,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w:t>
      </w:r>
      <w:r>
        <w:rPr>
          <w:b/>
        </w:rPr>
        <w:t xml:space="preserve">???</w:t>
      </w:r>
      <w:r>
        <w:t xml:space="preserve">)</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w:t>
      </w:r>
      <w:r>
        <w:t xml:space="preserve"> </w:t>
      </w:r>
      <w:r>
        <w:rPr>
          <w:b/>
        </w:rPr>
        <w:t xml:space="preserve">???</w:t>
      </w:r>
      <w:r>
        <w:t xml:space="preserve">)</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w:t>
      </w:r>
      <w:r>
        <w:t xml:space="preserve"> </w:t>
      </w:r>
      <w:r>
        <w:rPr>
          <w:b/>
        </w:rPr>
        <w:t xml:space="preserve">???</w:t>
      </w:r>
      <w:r>
        <w:t xml:space="preserve">,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w:t>
      </w:r>
      <w:r>
        <w:t xml:space="preserve"> </w:t>
      </w:r>
      <w:r>
        <w:rPr>
          <w:b/>
        </w:rPr>
        <w:t xml:space="preserve">???</w:t>
      </w:r>
      <w:r>
        <w:t xml:space="preserve">)</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w:t>
      </w:r>
      <w:r>
        <w:rPr>
          <w:b/>
        </w:rPr>
        <w:t xml:space="preserve">???</w:t>
      </w:r>
      <w:r>
        <w:t xml:space="preserve">)</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w:t>
      </w:r>
      <w:r>
        <w:t xml:space="preserve"> </w:t>
      </w:r>
      <w:r>
        <w:rPr>
          <w:b/>
        </w:rPr>
        <w:t xml:space="preserve">???</w:t>
      </w:r>
      <w:r>
        <w:t xml:space="preserve">)</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5"/>
    <w:bookmarkStart w:id="46"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6"/>
    <w:bookmarkEnd w:id="47"/>
    <w:bookmarkStart w:id="48"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48"/>
    <w:bookmarkStart w:id="49"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49"/>
    <w:bookmarkStart w:id="135" w:name="references"/>
    <w:p>
      <w:pPr>
        <w:pStyle w:val="Heading2"/>
      </w:pPr>
      <w:r>
        <w:t xml:space="preserve">References</w:t>
      </w:r>
    </w:p>
    <w:bookmarkStart w:id="134" w:name="refs"/>
    <w:bookmarkStart w:id="50"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0"/>
    <w:bookmarkStart w:id="51"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1"/>
    <w:bookmarkStart w:id="52"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2"/>
    <w:bookmarkStart w:id="53" w:name="ref-anderson-teixeira_forc-dbgroa_2020"/>
    <w:p>
      <w:pPr>
        <w:pStyle w:val="Bibliography"/>
      </w:pPr>
      <w:r>
        <w:t xml:space="preserve">Anderson-Teixeira K, Herrmann V, CookPatton, Ferson A and Lister K 2020 Forc-db/GROA: Release with Cook-Patton et al. 2020, Nature.</w:t>
      </w:r>
    </w:p>
    <w:bookmarkEnd w:id="53"/>
    <w:bookmarkStart w:id="54"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4"/>
    <w:bookmarkStart w:id="55"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55"/>
    <w:bookmarkStart w:id="56"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56"/>
    <w:bookmarkStart w:id="57"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57"/>
    <w:bookmarkStart w:id="58"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58"/>
    <w:bookmarkStart w:id="59"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59"/>
    <w:bookmarkStart w:id="60"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0"/>
    <w:bookmarkStart w:id="61"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1"/>
    <w:bookmarkStart w:id="62"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2"/>
    <w:bookmarkStart w:id="63"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3"/>
    <w:bookmarkStart w:id="64"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4"/>
    <w:bookmarkStart w:id="65"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65"/>
    <w:bookmarkStart w:id="66"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66"/>
    <w:bookmarkStart w:id="67"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67"/>
    <w:bookmarkStart w:id="68"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68"/>
    <w:bookmarkStart w:id="69"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69"/>
    <w:bookmarkStart w:id="70"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0"/>
    <w:bookmarkStart w:id="71"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1"/>
    <w:bookmarkStart w:id="72"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72"/>
    <w:bookmarkStart w:id="73"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73"/>
    <w:bookmarkStart w:id="74"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74"/>
    <w:bookmarkStart w:id="75"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75"/>
    <w:bookmarkStart w:id="76"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76"/>
    <w:bookmarkStart w:id="77"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77"/>
    <w:bookmarkStart w:id="78"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78"/>
    <w:bookmarkStart w:id="79"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79"/>
    <w:bookmarkStart w:id="80"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80"/>
    <w:bookmarkStart w:id="81"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81"/>
    <w:bookmarkStart w:id="82"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82"/>
    <w:bookmarkStart w:id="83"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83"/>
    <w:bookmarkStart w:id="84"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84"/>
    <w:bookmarkStart w:id="85"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85"/>
    <w:bookmarkStart w:id="8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86"/>
    <w:bookmarkStart w:id="87"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87"/>
    <w:bookmarkStart w:id="88"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88"/>
    <w:bookmarkStart w:id="89" w:name="ref-ipcc_2019_2019"/>
    <w:p>
      <w:pPr>
        <w:pStyle w:val="Bibliography"/>
      </w:pPr>
      <w:r>
        <w:t xml:space="preserve">IPCC 2019</w:t>
      </w:r>
      <w:r>
        <w:t xml:space="preserve"> </w:t>
      </w:r>
      <w:r>
        <w:rPr>
          <w:i/>
        </w:rPr>
        <w:t xml:space="preserve">2019 Refinement to the 2006 IPCC Guidelines for National Greenhouse Gas Inventories</w:t>
      </w:r>
    </w:p>
    <w:bookmarkEnd w:id="89"/>
    <w:bookmarkStart w:id="90"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90"/>
    <w:bookmarkStart w:id="91"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91"/>
    <w:bookmarkStart w:id="92"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92"/>
    <w:bookmarkStart w:id="93"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93"/>
    <w:bookmarkStart w:id="94"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94"/>
    <w:bookmarkStart w:id="95"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95"/>
    <w:bookmarkStart w:id="96"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96"/>
    <w:bookmarkStart w:id="9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97"/>
    <w:bookmarkStart w:id="9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98"/>
    <w:bookmarkStart w:id="9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99"/>
    <w:bookmarkStart w:id="10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00"/>
    <w:bookmarkStart w:id="10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01"/>
    <w:bookmarkStart w:id="10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02"/>
    <w:bookmarkStart w:id="10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03"/>
    <w:bookmarkStart w:id="10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04"/>
    <w:bookmarkStart w:id="105"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05"/>
    <w:bookmarkStart w:id="10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06"/>
    <w:bookmarkStart w:id="107"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07"/>
    <w:bookmarkStart w:id="108"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08"/>
    <w:bookmarkStart w:id="109"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09"/>
    <w:bookmarkStart w:id="110"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10"/>
    <w:bookmarkStart w:id="111"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11"/>
    <w:bookmarkStart w:id="112"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12"/>
    <w:bookmarkStart w:id="113"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13"/>
    <w:bookmarkStart w:id="114"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14"/>
    <w:bookmarkStart w:id="115"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15"/>
    <w:bookmarkStart w:id="116"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16"/>
    <w:bookmarkStart w:id="117"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17"/>
    <w:bookmarkStart w:id="118"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18"/>
    <w:bookmarkStart w:id="119"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19"/>
    <w:bookmarkStart w:id="120"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20"/>
    <w:bookmarkStart w:id="121"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21"/>
    <w:bookmarkStart w:id="12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22"/>
    <w:bookmarkStart w:id="12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23"/>
    <w:bookmarkStart w:id="12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24"/>
    <w:bookmarkStart w:id="125"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25"/>
    <w:bookmarkStart w:id="126"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26"/>
    <w:bookmarkStart w:id="127"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27"/>
    <w:bookmarkStart w:id="128"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28"/>
    <w:bookmarkStart w:id="129"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29"/>
    <w:bookmarkStart w:id="130"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30"/>
    <w:bookmarkStart w:id="131"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31"/>
    <w:bookmarkStart w:id="132"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32"/>
    <w:bookmarkStart w:id="133"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2021-01-15T16:14:58Z</dcterms:created>
  <dcterms:modified xsi:type="dcterms:W3CDTF">2021-01-15T16:14:58Z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