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38.jpg" ContentType="image/jpeg"/>
  <Override PartName="/word/media/rId36.jpg" ContentType="image/jpeg"/>
  <Override PartName="/word/media/rId37.jpg" ContentType="image/jpeg"/>
  <Override PartName="/word/media/rId35.jpg" ContentType="image/jpeg"/>
  <Override PartName="/word/media/rId28.png" ContentType="image/png"/>
  <Override PartName="/word/media/rId39.jpg" ContentType="image/jpeg"/>
  <Override PartName="/word/media/rId42.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pStyle w:val="Compact"/>
        <w:numPr>
          <w:numId w:val="1001"/>
          <w:ilvl w:val="0"/>
        </w:numPr>
      </w:pPr>
      <w:r>
        <w:t xml:space="preserve">Conservation Ecology Center; Smithsonian Conservation Biology Institute; National Zoological Park, Front Royal, VA 22630, USA</w:t>
      </w:r>
    </w:p>
    <w:p>
      <w:pPr>
        <w:pStyle w:val="Compact"/>
        <w:numPr>
          <w:numId w:val="1001"/>
          <w:ilvl w:val="0"/>
        </w:numPr>
      </w:pPr>
      <w:r>
        <w:t xml:space="preserve">Center for Tropical Forest Science-Forest Global Earth Observatory; Smithsonian Tropical Research Institute; Panama, Republic of Panama</w:t>
      </w:r>
    </w:p>
    <w:p>
      <w:pPr>
        <w:pStyle w:val="Compact"/>
        <w:numPr>
          <w:numId w:val="1001"/>
          <w:ilvl w:val="0"/>
        </w:numPr>
      </w:pPr>
      <w:r>
        <w:t xml:space="preserve">School of Geography, University of Leeds, Leeds, UK</w:t>
      </w:r>
    </w:p>
    <w:p>
      <w:pPr>
        <w:pStyle w:val="Compact"/>
        <w:numPr>
          <w:numId w:val="1001"/>
          <w:ilvl w:val="0"/>
        </w:numPr>
      </w:pPr>
      <w:r>
        <w:t xml:space="preserve">Joint Global Change Research Institute, Pacific Northwest National Laboratory, College Park Maryland 20740, USA</w:t>
      </w:r>
    </w:p>
    <w:p>
      <w:pPr>
        <w:pStyle w:val="Compact"/>
        <w:numPr>
          <w:numId w:val="1001"/>
          <w:ilvl w:val="0"/>
        </w:numPr>
      </w:pPr>
      <w:r>
        <w:t xml:space="preserve">The Nature Conservancy; Arlington VA 22203, USA</w:t>
      </w:r>
    </w:p>
    <w:p>
      <w:pPr>
        <w:pStyle w:val="Compact"/>
        <w:numPr>
          <w:numId w:val="1001"/>
          <w:ilvl w:val="0"/>
        </w:numPr>
      </w:pPr>
      <w:r>
        <w:t xml:space="preserve">College of Natural Resources, University of Idaho; Moscow, Idaho 83843, USA</w:t>
      </w:r>
    </w:p>
    <w:p>
      <w:pPr>
        <w:pStyle w:val="Compact"/>
        <w:numPr>
          <w:numId w:val="1001"/>
          <w:ilvl w:val="0"/>
        </w:numPr>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statistics for both mature and regrowth (age &lt;100 years) forests, and quantify trends with stand age in regrowth forests for all variables with sufficient data.</w:t>
      </w:r>
    </w:p>
    <w:p>
      <w:pPr>
        <w:pStyle w:val="BodyText"/>
      </w:pPr>
      <w:r>
        <w:rPr>
          <w:i/>
        </w:rPr>
        <w:t xml:space="preserve">Review Results/ Synthesis.</w:t>
      </w:r>
      <w:r>
        <w:t xml:space="preserve"> </w:t>
      </w:r>
      <w:r>
        <w:t xml:space="preserve">The rate of C cycling generally decreased from tropical to boreal regions in both mature and regrowth forests, whereas C stocks showed less directional variation. Net ecosystem production of mature forests was indistinguishable across biomes. The majority of flux variables, together with most live biomass pools, increased significantly with stand age when fit with logarithmic functions.</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p>
      <w:pPr>
        <w:pStyle w:val="Heading2"/>
      </w:pPr>
      <w:bookmarkStart w:id="22" w:name="background"/>
      <w:r>
        <w:t xml:space="preserve">Background</w:t>
      </w:r>
      <w:bookmarkEnd w:id="22"/>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
        </w:rPr>
        <w:t xml:space="preserve">et al</w:t>
      </w:r>
      <w:r>
        <w:t xml:space="preserve"> </w:t>
      </w:r>
      <w:r>
        <w:t xml:space="preserve">2017, Luo</w:t>
      </w:r>
      <w:r>
        <w:t xml:space="preserve"> </w:t>
      </w:r>
      <w:r>
        <w:rPr>
          <w:i/>
        </w:rPr>
        <w:t xml:space="preserve">et al</w:t>
      </w:r>
      <w:r>
        <w:t xml:space="preserve"> </w:t>
      </w:r>
      <w:r>
        <w:t xml:space="preserve">2012)</w:t>
      </w:r>
      <w:r>
        <w:t xml:space="preserve">,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p>
      <w:pPr>
        <w:pStyle w:val="Heading3"/>
      </w:pPr>
      <w:bookmarkStart w:id="23" w:name="forests-in-the-global-c-cycle-current-and-future"/>
      <w:r>
        <w:t xml:space="preserve">Forests in the global C cycle: current and future</w:t>
      </w:r>
      <w:bookmarkEnd w:id="23"/>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more than seven times the average annual fossil fuel emissions during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total forest C uptake has exceeded releases, such that globally forests have been a C sink</w:t>
      </w:r>
      <w:r>
        <w:t xml:space="preserve"> </w:t>
      </w:r>
      <w:r>
        <w:t xml:space="preserve">(Harris</w:t>
      </w:r>
      <w:r>
        <w:t xml:space="preserve"> </w:t>
      </w:r>
      <w:r>
        <w:rPr>
          <w:i/>
        </w:rPr>
        <w:t xml:space="preserve">et al</w:t>
      </w:r>
      <w:r>
        <w:t xml:space="preserve"> </w:t>
      </w:r>
      <w:r>
        <w:t xml:space="preserve">2021)</w:t>
      </w:r>
      <w:r>
        <w:t xml:space="preserve">.</w:t>
      </w:r>
      <w:r>
        <w:t xml:space="preserve"> </w:t>
      </w:r>
      <w:r>
        <w:t xml:space="preserve">Considering only areas remaining in forest, this C sink has averaged 3.2</w:t>
      </w:r>
      <w:r>
        <w:t xml:space="preserve"> </w:t>
      </w:r>
      <m:oMath>
        <m: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
        </w:rPr>
        <w:t xml:space="preserve">et al</w:t>
      </w:r>
      <w:r>
        <w:t xml:space="preserve"> </w:t>
      </w:r>
      <w:r>
        <w:t xml:space="preserve">2019, Harris</w:t>
      </w:r>
      <w:r>
        <w:t xml:space="preserve"> </w:t>
      </w:r>
      <w:r>
        <w:rPr>
          <w:i/>
        </w:rPr>
        <w:t xml:space="preserve">et al</w:t>
      </w:r>
      <w:r>
        <w:t xml:space="preserve"> </w:t>
      </w:r>
      <w:r>
        <w:t xml:space="preserve">2021)</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(Friedlingstein</w:t>
      </w:r>
      <w:r>
        <w:t xml:space="preserve"> </w:t>
      </w:r>
      <w:r>
        <w:rPr>
          <w:i/>
        </w:rPr>
        <w:t xml:space="preserve">et al</w:t>
      </w:r>
      <w:r>
        <w:t xml:space="preserve"> </w:t>
      </w:r>
      <w:r>
        <w:t xml:space="preserve">2006)</w:t>
      </w:r>
      <w:r>
        <w:t xml:space="preserv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p>
      <w:pPr>
        <w:pStyle w:val="Heading3"/>
      </w:pPr>
      <w:bookmarkStart w:id="24" w:name="evolution-of-forest-c-cycle-research"/>
      <w:r>
        <w:t xml:space="preserve">Evolution of forest C cycle research</w:t>
      </w:r>
      <w:bookmarkEnd w:id="24"/>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w:t>
      </w:r>
      <w:r>
        <w:rPr>
          <w:i/>
        </w:rPr>
        <w:t xml:space="preserve">ForC v2.0-Ecology</w:t>
      </w:r>
      <w:r>
        <w:t xml:space="preserve">; 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p>
      <w:pPr>
        <w:pStyle w:val="Heading3"/>
      </w:pPr>
      <w:bookmarkStart w:id="25" w:name="biome-differences"/>
      <w:r>
        <w:t xml:space="preserve">Biome differences</w:t>
      </w:r>
      <w:bookmarkEnd w:id="25"/>
    </w:p>
    <w:p>
      <w:pPr>
        <w:pStyle w:val="FirstParagraph"/>
      </w:pPr>
      <w:r>
        <w:t xml:space="preserve">Forest C cycling varies enormously across biomes, which cateogrize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 global maps of environmental covariates, making it possible to create fine-scale global maps of C cycling</w:t>
      </w:r>
      <w:r>
        <w:t xml:space="preserve"> </w:t>
      </w:r>
      <w:r>
        <w:t xml:space="preserve">(e.g., Warner</w:t>
      </w:r>
      <w:r>
        <w:t xml:space="preserve"> </w:t>
      </w:r>
      <w:r>
        <w:rPr>
          <w:i/>
        </w:rPr>
        <w:t xml:space="preserve">et al</w:t>
      </w:r>
      <w:r>
        <w:t xml:space="preserve"> </w:t>
      </w:r>
      <w:r>
        <w:t xml:space="preserve">2019, Cook-Patton</w:t>
      </w:r>
      <w:r>
        <w:t xml:space="preserve"> </w:t>
      </w:r>
      <w:r>
        <w:rPr>
          <w:i/>
        </w:rPr>
        <w:t xml:space="preserve">et al</w:t>
      </w:r>
      <w:r>
        <w:t xml:space="preserve"> </w:t>
      </w:r>
      <w:r>
        <w:t xml:space="preserve">2020)</w:t>
      </w:r>
      <w:r>
        <w:t xml:space="preserve">.</w:t>
      </w:r>
      <w:r>
        <w:t xml:space="preserve"> </w:t>
      </w:r>
      <w:r>
        <w:t xml:space="preserve">This approach can be particularly effective when paired with satellite measurements that correlate to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estimate</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w:t>
      </w:r>
      <w:r>
        <w:t xml:space="preserve">.</w:t>
      </w:r>
      <w:r>
        <w:t xml:space="preserve"> </w:t>
      </w:r>
      <w:r>
        <w:t xml:space="preserve">Any such analysis is however constrained by the quality and coverage of ground-based estimates of forest C fluxes or stocks</w:t>
      </w:r>
      <w:r>
        <w:t xml:space="preserve"> </w:t>
      </w:r>
      <w:r>
        <w:t xml:space="preserve">(e.g., Schepaschenko</w:t>
      </w:r>
      <w:r>
        <w:t xml:space="preserve"> </w:t>
      </w:r>
      <w:r>
        <w:rPr>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across forest biomes or ecozones</w:t>
      </w:r>
      <w:r>
        <w:t xml:space="preserve"> </w:t>
      </w:r>
      <w:r>
        <w:t xml:space="preserve">(e.g., IPCC 2019)</w:t>
      </w:r>
      <w:r>
        <w:t xml:space="preserve">.</w:t>
      </w:r>
    </w:p>
    <w:p>
      <w:pPr>
        <w:pStyle w:val="Heading3"/>
      </w:pPr>
      <w:bookmarkStart w:id="26" w:name="age-trends-and-their-variation-across-biomes"/>
      <w:r>
        <w:t xml:space="preserve">Age trends and their variation across biomes</w:t>
      </w:r>
      <w:bookmarkEnd w:id="26"/>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(Fig. 1; 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t xml:space="preserve">(Law</w:t>
      </w:r>
      <w:r>
        <w:t xml:space="preserve"> </w:t>
      </w:r>
      <w:r>
        <w:rPr>
          <w:i/>
        </w:rPr>
        <w:t xml:space="preserve">et al</w:t>
      </w:r>
      <w:r>
        <w:t xml:space="preserve"> </w:t>
      </w:r>
      <w:r>
        <w:t xml:space="preserve">2003, Pregitzer and Euskirchen 2004, Goulden</w:t>
      </w:r>
      <w:r>
        <w:t xml:space="preserve"> </w:t>
      </w:r>
      <w:r>
        <w:rPr>
          <w:i/>
        </w:rPr>
        <w:t xml:space="preserve">et al</w:t>
      </w:r>
      <w:r>
        <w:t xml:space="preserve"> </w:t>
      </w:r>
      <w:r>
        <w:t xml:space="preserve">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 Luyssaert</w:t>
      </w:r>
      <w:r>
        <w:t xml:space="preserve"> </w:t>
      </w:r>
      <w:r>
        <w:rPr>
          <w:i/>
        </w:rPr>
        <w:t xml:space="preserve">et al</w:t>
      </w:r>
      <w:r>
        <w:t xml:space="preserve"> </w:t>
      </w:r>
      <w:r>
        <w:t xml:space="preserve">2008)</w:t>
      </w:r>
      <w:r>
        <w:t xml:space="preserve">.</w:t>
      </w:r>
      <w:r>
        <w:t xml:space="preserve"> </w:t>
      </w:r>
      <w:r>
        <w:t xml:space="preserve">The result is that biomass accumulates rapidly in young forests, followed by a slow decline to near zero in old forests</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(Anderson-Teixeira</w:t>
      </w:r>
      <w:r>
        <w:t xml:space="preserve"> </w:t>
      </w:r>
      <w:r>
        <w:rPr>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7"/>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
        </w:rPr>
        <w:t xml:space="preserve">et al</w:t>
      </w:r>
      <w:r>
        <w:t xml:space="preserve"> </w:t>
      </w:r>
      <w:r>
        <w:t xml:space="preserve">2000, Anderson</w:t>
      </w:r>
      <w:r>
        <w:t xml:space="preserve"> </w:t>
      </w:r>
      <w:r>
        <w:rPr>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
        </w:rPr>
        <w:t xml:space="preserve">et al</w:t>
      </w:r>
      <w:r>
        <w:t xml:space="preserve"> </w:t>
      </w:r>
      <w:r>
        <w:t xml:space="preserve">2019)</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8"/>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p>
      <w:pPr>
        <w:pStyle w:val="Heading2"/>
      </w:pPr>
      <w:bookmarkStart w:id="29" w:name="methods-design"/>
      <w:r>
        <w:t xml:space="preserve">Methods/ Design</w:t>
      </w:r>
      <w:bookmarkEnd w:id="29"/>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0">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 Bonner</w:t>
      </w:r>
      <w:r>
        <w:t xml:space="preserve"> </w:t>
      </w:r>
      <w:r>
        <w:rPr>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over the course of its development is available at</w:t>
      </w:r>
      <w:r>
        <w:t xml:space="preserve"> </w:t>
      </w:r>
      <w:hyperlink r:id="rId31">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t>−</m:t>
            </m:r>
            <m:r>
              <m:t>a</m:t>
            </m:r>
            <m:r>
              <m:t>g</m:t>
            </m:r>
          </m:sub>
        </m:sSub>
      </m:oMath>
      <w:r>
        <w:t xml:space="preserve">) and total respiration (</w:t>
      </w:r>
      <m:oMath>
        <m:sSub>
          <m:e>
            <m:r>
              <m:t>R</m:t>
            </m:r>
          </m:e>
          <m:sub>
            <m:r>
              <m:t>h</m:t>
            </m:r>
            <m:r>
              <m:t>e</m:t>
            </m:r>
            <m:r>
              <m:t>t</m:t>
            </m:r>
          </m:sub>
        </m:sSub>
      </m:oMath>
      <w:r>
        <w:t xml:space="preserve">),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given in Table S1.</w:t>
      </w:r>
    </w:p>
    <w:p>
      <w:pPr>
        <w:pStyle w:val="BodyText"/>
      </w:pPr>
      <w:r>
        <w:t xml:space="preserve">Data were summarized to produce schematics of C cycling for mature forests of each biome.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p>
      <w:pPr>
        <w:pStyle w:val="Heading2"/>
      </w:pPr>
      <w:bookmarkStart w:id="32" w:name="review-results-synthesis"/>
      <w:r>
        <w:t xml:space="preserve">Review Results/ Synthesis</w:t>
      </w:r>
      <w:bookmarkEnd w:id="32"/>
    </w:p>
    <w:p>
      <w:pPr>
        <w:pStyle w:val="Heading3"/>
      </w:pPr>
      <w:bookmarkStart w:id="33" w:name="data-coverage"/>
      <w:r>
        <w:t xml:space="preserve">Data Coverage</w:t>
      </w:r>
      <w:bookmarkEnd w:id="33"/>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p>
      <w:pPr>
        <w:pStyle w:val="Heading3"/>
      </w:pPr>
      <w:bookmarkStart w:id="34" w:name="c-cycling-in-mature-forests"/>
      <w:r>
        <w:t xml:space="preserve">C cycling in mature forests</w:t>
      </w:r>
      <w:bookmarkEnd w:id="34"/>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3-6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5"/>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6"/>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7"/>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8"/>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p>
    <w:p>
      <w:pPr>
        <w:pStyle w:val="CaptionedFigure"/>
      </w:pPr>
      <w:r>
        <w:drawing>
          <wp:inline>
            <wp:extent cx="5334000" cy="4572000"/>
            <wp:effectExtent b="0" l="0" r="0" t="0"/>
            <wp:docPr descr="Figure 7 | Age trends and biome differences in some of the major C fluxes: (a) GPP, (b) NPP, (c) ANPP, (d) R_{soil}, (e) R_{eco}, and (f) NEP.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becuase of insufficient data; Figs. S20, S21).</w:t>
      </w:r>
      <w:r>
        <w:t xml:space="preserve"> </w:t>
      </w:r>
      <w:r>
        <w:t xml:space="preserve">However, maximum values for these variables – along with all other stocks including live or standing woody biomass (</w:t>
      </w:r>
      <m:oMath>
        <m:sSub>
          <m:e>
            <m:r>
              <m:t>B</m:t>
            </m:r>
          </m:e>
          <m:sub>
            <m:r>
              <m:t>a</m:t>
            </m:r>
            <m:r>
              <m:t>g</m:t>
            </m:r>
            <m: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that were disproportionately sampled in such high-biomass forests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disproportionately sampled in the US Pacific Northwest), temperate conifer forests had significantly higher stocks than the other biomes.</w:t>
      </w:r>
    </w:p>
    <w:p>
      <w:pPr>
        <w:pStyle w:val="CaptionedFigure"/>
      </w:pPr>
      <w:r>
        <w:drawing>
          <wp:inline>
            <wp:extent cx="5334000" cy="4572000"/>
            <wp:effectExtent b="0" l="0" r="0" t="0"/>
            <wp:docPr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4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w:t>
      </w:r>
    </w:p>
    <w:p>
      <w:pPr>
        <w:pStyle w:val="Heading3"/>
      </w:pPr>
      <w:bookmarkStart w:id="41" w:name="c-cycling-in-young-forests"/>
      <w:r>
        <w:t xml:space="preserve">C cycling in young forests</w:t>
      </w:r>
      <w:bookmarkEnd w:id="41"/>
    </w:p>
    <w:p>
      <w:pPr>
        <w:pStyle w:val="FirstParagraph"/>
      </w:pPr>
      <w:r>
        <w:t xml:space="preserve">C fluxes commonly increased significantly with stand age (Tables 1, S2, Figs. 7, 9,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 </w:t>
      </w:r>
      <w:r>
        <w:t xml:space="preserve">– 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2"/>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w:t>
      </w:r>
      <w:r>
        <w:t xml:space="preserve"> </w:t>
      </w:r>
      <m:oMath>
        <m: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For tropical forests:</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Note that there remain substantial uncertainties as to the functional form of age trends and discrepencies in closure among related variables.</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p>
      <w:pPr>
        <w:pStyle w:val="Heading2"/>
      </w:pPr>
      <w:bookmarkStart w:id="43" w:name="discussion"/>
      <w:r>
        <w:t xml:space="preserve">Discussion</w:t>
      </w:r>
      <w:bookmarkEnd w:id="43"/>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which, as 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p>
      <w:pPr>
        <w:pStyle w:val="Heading3"/>
      </w:pPr>
      <w:bookmarkStart w:id="44" w:name="c-cycling-across-biomes"/>
      <w:r>
        <w:t xml:space="preserve">C cycling across biomes</w:t>
      </w:r>
      <w:bookmarkEnd w:id="44"/>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 or increase with temperature –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across numerous fluxes, while consistent with theoretical expectations (Fig. 1), is novel to this analysis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w:t>
      </w:r>
      <w:r>
        <w:t xml:space="preserve"> </w:t>
      </w:r>
      <w:r>
        <w:t xml:space="preserve">(Fig. 1; 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consistent with theory – and with previous research</w:t>
      </w:r>
      <w:r>
        <w:t xml:space="preserve"> </w:t>
      </w:r>
      <w:r>
        <w:t xml:space="preserve">(Luyssaert</w:t>
      </w:r>
      <w:r>
        <w:t xml:space="preserve"> </w:t>
      </w:r>
      <w:r>
        <w:rPr>
          <w:i/>
        </w:rPr>
        <w:t xml:space="preserve">et al</w:t>
      </w:r>
      <w:r>
        <w:t xml:space="preserve"> </w:t>
      </w:r>
      <w:r>
        <w:t xml:space="preserve">2007)</w:t>
      </w:r>
      <w:r>
        <w:t xml:space="preserve"> </w:t>
      </w:r>
      <w:r>
        <w:t xml:space="preserve">– that there are no pronounced differences across biomes.</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8a, S20-S30;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w:t>
      </w:r>
      <w:r>
        <w:t xml:space="preserve"> </w:t>
      </w:r>
      <w:r>
        <w:t xml:space="preserve">(Figs. 1,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(Fig. 1; 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p>
      <w:pPr>
        <w:pStyle w:val="Heading3"/>
      </w:pPr>
      <w:bookmarkStart w:id="45" w:name="age-trends-in-c-cycling"/>
      <w:r>
        <w:t xml:space="preserve">Age trends in C cycling</w:t>
      </w:r>
      <w:bookmarkEnd w:id="45"/>
    </w:p>
    <w:p>
      <w:pPr>
        <w:pStyle w:val="FirstParagraph"/>
      </w:pPr>
      <w:r>
        <w:t xml:space="preserve">Our study reveals that most C fluxes quickly increase and then decelerate as stands age (Figs. 7, 9),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)–and therefore</w:t>
      </w:r>
      <w:r>
        <w:t xml:space="preserve"> </w:t>
      </w:r>
      <m:oMath>
        <m:sSub>
          <m:e>
            <m:r>
              <m:t>R</m:t>
            </m:r>
          </m:e>
          <m:sub>
            <m:r>
              <m:t>e</m:t>
            </m:r>
            <m:r>
              <m:t>c</m:t>
            </m:r>
            <m:r>
              <m:t>o</m:t>
            </m:r>
          </m:sub>
        </m:sSub>
      </m:oMath>
      <w:r>
        <w:t xml:space="preserve"> </w:t>
      </w:r>
      <w:r>
        <w:t xml:space="preserve">are expected to be non-zero following stand-clearing disturbance (Fig. 1),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w:t>
      </w:r>
      <w:r>
        <w:t xml:space="preserve"> </w:t>
      </w:r>
      <m:oMath>
        <m:sSub>
          <m:e>
            <m:r>
              <m:t>R</m:t>
            </m:r>
          </m:e>
          <m:sub>
            <m:r>
              <m:t>h</m:t>
            </m:r>
            <m:r>
              <m:t>e</m:t>
            </m:r>
            <m:r>
              <m:t>t</m:t>
            </m:r>
            <m: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
        </w:rPr>
        <w:t xml:space="preserve">et al</w:t>
      </w:r>
      <w:r>
        <w:t xml:space="preserve"> </w:t>
      </w:r>
      <w:r>
        <w:t xml:space="preserve">2003, Pregitzer and Euskirchen 2004, Goulden</w:t>
      </w:r>
      <w:r>
        <w:t xml:space="preserve"> </w:t>
      </w:r>
      <w:r>
        <w:rPr>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w:t>
      </w:r>
      <w:r>
        <w:t xml:space="preserve"> </w:t>
      </w:r>
      <w:r>
        <w:t xml:space="preserve">(Fig. 9; Odum 1969)</w:t>
      </w:r>
      <w:r>
        <w:t xml:space="preserve">, and such declines have been observed</w:t>
      </w:r>
      <w:r>
        <w:t xml:space="preserve"> </w:t>
      </w:r>
      <w:r>
        <w:t xml:space="preserve">(Law</w:t>
      </w:r>
      <w:r>
        <w:t xml:space="preserve"> </w:t>
      </w:r>
      <w:r>
        <w:rPr>
          <w:i/>
        </w:rPr>
        <w:t xml:space="preserve">et al</w:t>
      </w:r>
      <w:r>
        <w:t xml:space="preserve"> </w:t>
      </w:r>
      <w:r>
        <w:t xml:space="preserve">2003, Luyssaert</w:t>
      </w:r>
      <w:r>
        <w:t xml:space="preserve"> </w:t>
      </w:r>
      <w:r>
        <w:rPr>
          <w:i/>
        </w:rPr>
        <w:t xml:space="preserve">et al</w:t>
      </w:r>
      <w:r>
        <w:t xml:space="preserve"> </w:t>
      </w:r>
      <w:r>
        <w:t xml:space="preserve">2008)</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 contrasting with more variable age trends in deadwood and the organic layer (Fig. 9).</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(e.g., tropical stands in Figs. 8, 9;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Figs. 8, 9;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p>
      <w:pPr>
        <w:pStyle w:val="Heading3"/>
      </w:pPr>
      <w:bookmarkStart w:id="46" w:name="c-variable-coverage-and-budget-closure"/>
      <w:r>
        <w:t xml:space="preserve">C variable coverage and budget closure</w:t>
      </w:r>
      <w:bookmarkEnd w:id="46"/>
    </w:p>
    <w:p>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The one instance where the C budgets does not close according to our criteria is likely due to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relatively sparse (</w:t>
      </w:r>
      <w:r>
        <w:rPr>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
        </w:rPr>
        <w:t xml:space="preserve">et al</w:t>
      </w:r>
      <w:r>
        <w:t xml:space="preserve"> </w:t>
      </w:r>
      <w:r>
        <w:t xml:space="preserve">2016)</w:t>
      </w:r>
      <w:r>
        <w:t xml:space="preserve">.</w:t>
      </w:r>
      <w:r>
        <w:t xml:space="preserve"> </w:t>
      </w:r>
      <w:r>
        <w:t xml:space="preserve">While this review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Importantly,</w:t>
      </w:r>
      <w:r>
        <w:t xml:space="preserve"> </w:t>
      </w:r>
      <w:r>
        <w:rPr>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
        </w:rPr>
        <w:t xml:space="preserve">et al</w:t>
      </w:r>
      <w:r>
        <w:t xml:space="preserve"> </w:t>
      </w:r>
      <w:r>
        <w:t xml:space="preserve">2012)</w:t>
      </w:r>
      <w:r>
        <w:t xml:space="preserve">, often in permanently protected areas</w:t>
      </w:r>
      <w:r>
        <w:t xml:space="preserve"> </w:t>
      </w:r>
      <w:r>
        <w:t xml:space="preserve">(e.g., Davies</w:t>
      </w:r>
      <w:r>
        <w:t xml:space="preserve"> </w:t>
      </w:r>
      <w:r>
        <w:rPr>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
        </w:rPr>
        <w:t xml:space="preserve">et al</w:t>
      </w:r>
      <w:r>
        <w:t xml:space="preserve"> </w:t>
      </w:r>
      <w:r>
        <w:t xml:space="preserve">2015, Remy</w:t>
      </w:r>
      <w:r>
        <w:t xml:space="preserve"> </w:t>
      </w:r>
      <w:r>
        <w:rPr>
          <w:i/>
        </w:rPr>
        <w:t xml:space="preserve">et al</w:t>
      </w:r>
      <w:r>
        <w:t xml:space="preserve"> </w:t>
      </w:r>
      <w:r>
        <w:t xml:space="preserve">2016, Reinmann and Hutyra 2017, Smith</w:t>
      </w:r>
      <w:r>
        <w:t xml:space="preserve"> </w:t>
      </w:r>
      <w:r>
        <w:rPr>
          <w:i/>
        </w:rPr>
        <w:t xml:space="preserve">et al</w:t>
      </w:r>
      <w:r>
        <w:t xml:space="preserve"> </w:t>
      </w:r>
      <w:r>
        <w:t xml:space="preserve">2019, Reinmann</w:t>
      </w:r>
      <w:r>
        <w:t xml:space="preserve"> </w:t>
      </w:r>
      <w:r>
        <w:rPr>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
        </w:rPr>
        <w:t xml:space="preserve">et al</w:t>
      </w:r>
      <w:r>
        <w:t xml:space="preserve"> </w:t>
      </w:r>
      <w:r>
        <w:t xml:space="preserve">2016)</w:t>
      </w:r>
      <w:r>
        <w:t xml:space="preserve">, but are under-studied</w:t>
      </w:r>
      <w:r>
        <w:t xml:space="preserve"> </w:t>
      </w:r>
      <w:r>
        <w:t xml:space="preserve">(Sist</w:t>
      </w:r>
      <w:r>
        <w:t xml:space="preserve"> </w:t>
      </w:r>
      <w:r>
        <w:rPr>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
        </w:rPr>
        <w:t xml:space="preserve">et al</w:t>
      </w:r>
      <w:r>
        <w:t xml:space="preserve"> </w:t>
      </w:r>
      <w:r>
        <w:t xml:space="preserve">2019, Piponiot</w:t>
      </w:r>
      <w:r>
        <w:t xml:space="preserve"> </w:t>
      </w:r>
      <w:r>
        <w:rPr>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
        </w:rPr>
        <w:t xml:space="preserve">et al</w:t>
      </w:r>
      <w:r>
        <w:t xml:space="preserve"> </w:t>
      </w:r>
      <w:r>
        <w:t xml:space="preserve">2006, Bonner</w:t>
      </w:r>
      <w:r>
        <w:t xml:space="preserve"> </w:t>
      </w:r>
      <w:r>
        <w:rPr>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p>
      <w:pPr>
        <w:pStyle w:val="Heading3"/>
      </w:pPr>
      <w:bookmarkStart w:id="47" w:name="relevance-for-climate-change-prediction-and-mitigation"/>
      <w:r>
        <w:t xml:space="preserve">Relevance for climate change prediction and mitigation</w:t>
      </w:r>
      <w:bookmarkEnd w:id="47"/>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w:t>
      </w:r>
      <w:r>
        <w:t xml:space="preserve"> </w:t>
      </w:r>
      <w:r>
        <w:t xml:space="preserve">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p>
      <w:pPr>
        <w:pStyle w:val="Heading3"/>
      </w:pPr>
      <w:bookmarkStart w:id="48" w:name="conclusions"/>
      <w:r>
        <w:t xml:space="preserve">Conclusions</w:t>
      </w:r>
      <w:bookmarkEnd w:id="48"/>
    </w:p>
    <w:p>
      <w:pPr>
        <w:pStyle w:val="FirstParagraph"/>
      </w:pPr>
      <w:r>
        <w:t xml:space="preserve">As climate change accelerates, understanding and managing the carbon dynamics of forests–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p>
      <w:pPr>
        <w:pStyle w:val="Heading2"/>
      </w:pPr>
      <w:bookmarkStart w:id="49" w:name="acknowledgements"/>
      <w:r>
        <w:t xml:space="preserve">Acknowledgements</w:t>
      </w:r>
      <w:bookmarkEnd w:id="49"/>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p>
      <w:pPr>
        <w:pStyle w:val="Heading2"/>
      </w:pPr>
      <w:bookmarkStart w:id="50" w:name="data-availability-statement"/>
      <w:r>
        <w:t xml:space="preserve">Data availability statement</w:t>
      </w:r>
      <w:bookmarkEnd w:id="50"/>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0">
        <w:r>
          <w:rPr>
            <w:rStyle w:val="Hyperlink"/>
          </w:rPr>
          <w:t xml:space="preserve">https://github.com/forc-db/ForC</w:t>
        </w:r>
      </w:hyperlink>
      <w:r>
        <w:t xml:space="preserve">), where many will be updated as the database develops.</w:t>
      </w:r>
    </w:p>
    <w:p>
      <w:pPr>
        <w:pStyle w:val="Heading2"/>
      </w:pPr>
      <w:bookmarkStart w:id="51" w:name="references"/>
      <w:r>
        <w:t xml:space="preserve">References</w:t>
      </w:r>
      <w:bookmarkEnd w:id="51"/>
    </w:p>
    <w:bookmarkStart w:id="182" w:name="refs"/>
    <w:bookmarkStart w:id="52"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2"/>
    <w:bookmarkStart w:id="53" w:name="ref-amiro_ecosystem_2010"/>
    <w:p>
      <w:pPr>
        <w:pStyle w:val="Bibliography"/>
      </w:pPr>
      <w:r>
        <w:t xml:space="preserve">Amiro B, Barr A, Barr J, Black T, Bracho R, Brown M, Chen J, Clark K, Davis K, Desai A, Dore S, Engel V, Fuentes J, Goldstein A, Goulden M, Kolb T, Lavigne M, Law B, Margolis H, Martin T, McCaughey J, Misson L, Montes-Helu M, Noormets A, Randerson J,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3"/>
    <w:bookmarkStart w:id="54"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4"/>
    <w:bookmarkStart w:id="55"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5"/>
    <w:bookmarkStart w:id="56" w:name="ref-anderson_temperature-dependence_2006"/>
    <w:p>
      <w:pPr>
        <w:pStyle w:val="Bibliography"/>
      </w:pPr>
      <w:r>
        <w:t xml:space="preserve">Anderson K, Allen A, Gillooly J and Brown J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6"/>
    <w:bookmarkStart w:id="57" w:name="ref-anderson-teixeira_forc-dbgroa_2020"/>
    <w:p>
      <w:pPr>
        <w:pStyle w:val="Bibliography"/>
      </w:pPr>
      <w:r>
        <w:t xml:space="preserve">Anderson-Teixeira K, Herrmann V, CookPatton, Ferson A and Lister K 2020 Forc-db/GROA: Release with Cook-Patton et al. 2020, Nature.</w:t>
      </w:r>
    </w:p>
    <w:bookmarkEnd w:id="57"/>
    <w:bookmarkStart w:id="58"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Fischer G A, Fletcher C, Foster R B, Giardina C P, Gilbert G S, Gunatilleke N, Gunatilleke S, Hao Z, Hargrove W W, Hart T B, Hau B C, He F, Hoffman F M, Howe R W, Hubbell S P, Inman-Narahari F M, Jansen P A, Jiang M, Johnson D J, Kanzaki M, Kassim A R, Kenfack D, Kibet S, Kinnaird M F, Korte L, Kral K, Kumar J, Larson A J, Li Y, Li X, Liu S, Lum S K,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58"/>
    <w:bookmarkStart w:id="59"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59"/>
    <w:bookmarkStart w:id="60"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0"/>
    <w:bookmarkStart w:id="61"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1"/>
    <w:bookmarkStart w:id="62"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2"/>
    <w:bookmarkStart w:id="63"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3"/>
    <w:bookmarkStart w:id="64"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4"/>
    <w:bookmarkStart w:id="65"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5"/>
    <w:bookmarkStart w:id="66" w:name="ref-banbury_morgan_global_nodate"/>
    <w:p>
      <w:pPr>
        <w:pStyle w:val="Bibliography"/>
      </w:pPr>
      <w:r>
        <w:t xml:space="preserve">Banbury Morgan B, Herrmann V, Kunert N, Bond-Lamberty B, Muller-Landau H C and Anderson-Teixeira K Global patterns of forest autotrophic carbon fluxes</w:t>
      </w:r>
      <w:r>
        <w:t xml:space="preserve"> </w:t>
      </w:r>
      <w:r>
        <w:rPr>
          <w:i/>
        </w:rPr>
        <w:t xml:space="preserve">Global Change Biology</w:t>
      </w:r>
    </w:p>
    <w:bookmarkEnd w:id="66"/>
    <w:bookmarkStart w:id="67"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7"/>
    <w:bookmarkStart w:id="68"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68"/>
    <w:bookmarkStart w:id="69" w:name="ref-bonan_forests_2008"/>
    <w:p>
      <w:pPr>
        <w:pStyle w:val="Bibliography"/>
      </w:pPr>
      <w:r>
        <w:t xml:space="preserve">Bonan G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69"/>
    <w:bookmarkStart w:id="70"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0"/>
    <w:bookmarkStart w:id="71"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(18502014)</w:t>
      </w:r>
      <w:r>
        <w:t xml:space="preserve"> </w:t>
      </w:r>
      <w:r>
        <w:rPr>
          <w:i/>
        </w:rPr>
        <w:t xml:space="preserve">Global Biogeochemical Cycles</w:t>
      </w:r>
      <w:r>
        <w:t xml:space="preserve"> </w:t>
      </w:r>
      <w:r>
        <w:rPr>
          <w:b/>
        </w:rPr>
        <w:t xml:space="preserve">33</w:t>
      </w:r>
      <w:r>
        <w:t xml:space="preserve"> </w:t>
      </w:r>
      <w:r>
        <w:t xml:space="preserve">1310–26</w:t>
      </w:r>
    </w:p>
    <w:bookmarkEnd w:id="71"/>
    <w:bookmarkStart w:id="72"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2"/>
    <w:bookmarkStart w:id="73"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3"/>
    <w:bookmarkStart w:id="74"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4"/>
    <w:bookmarkStart w:id="75" w:name="ref-bond-lamberty_contribution_2004"/>
    <w:p>
      <w:pPr>
        <w:pStyle w:val="Bibliography"/>
      </w:pPr>
      <w:r>
        <w:t xml:space="preserve">Bond-Lamberty B, Wang C and Gower S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5"/>
    <w:bookmarkStart w:id="76"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
        </w:rPr>
        <w:t xml:space="preserve">Forest Ecology and Management</w:t>
      </w:r>
      <w:r>
        <w:t xml:space="preserve"> </w:t>
      </w:r>
      <w:r>
        <w:rPr>
          <w:b/>
        </w:rPr>
        <w:t xml:space="preserve">291</w:t>
      </w:r>
      <w:r>
        <w:t xml:space="preserve"> </w:t>
      </w:r>
      <w:r>
        <w:t xml:space="preserve">73–86</w:t>
      </w:r>
    </w:p>
    <w:bookmarkEnd w:id="76"/>
    <w:bookmarkStart w:id="77"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7"/>
    <w:bookmarkStart w:id="78"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8"/>
    <w:bookmarkStart w:id="79"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79"/>
    <w:bookmarkStart w:id="80"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
        </w:rPr>
        <w:t xml:space="preserve">Nature Communications</w:t>
      </w:r>
      <w:r>
        <w:t xml:space="preserve"> </w:t>
      </w:r>
      <w:r>
        <w:rPr>
          <w:b/>
        </w:rPr>
        <w:t xml:space="preserve">6</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lark_field_2017"/>
    <w:p>
      <w:pPr>
        <w:pStyle w:val="Bibliography"/>
      </w:pPr>
      <w:r>
        <w:t xml:space="preserve">Clark D A, Asao S, Fisher R, Reed S, Reich P B, Ryan M G, Wood T E and Yang X 2017 Field data to benchmark the carbon-cycle models for tropical forests</w:t>
      </w:r>
      <w:r>
        <w:t xml:space="preserve"> </w:t>
      </w:r>
      <w:r>
        <w:rPr>
          <w:i/>
        </w:rPr>
        <w:t xml:space="preserve">Biogeosciences Discussions</w:t>
      </w:r>
      <w:r>
        <w:t xml:space="preserve"> </w:t>
      </w:r>
      <w:r>
        <w:t xml:space="preserve">1–44</w:t>
      </w:r>
    </w:p>
    <w:bookmarkEnd w:id="83"/>
    <w:bookmarkStart w:id="84" w:name="ref-clark_measuring_2001"/>
    <w:p>
      <w:pPr>
        <w:pStyle w:val="Bibliography"/>
      </w:pPr>
      <w:r>
        <w:t xml:space="preserve">Clark D, Brown S, Kicklighter D, Chambers J, Thomlinson J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4"/>
    <w:bookmarkStart w:id="85"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Cao M, Cárdenas D, Chang L-W, Chang-Yang C-H, Chao K-J, Chao W-C, Chapman H, Chen Y-Y, Chisholm R A, Chu C, Chuyong G, Clay K, Comita L S, Condit R, Cordell S, Dattaraja H S, de Oliveira A A, den Ouden J, Detto M, Dick C, Du X, Duque Á, Ediriweera S, Ellis E C, Obiang N L E, Esufali S, Ewango C E, Fernando E S, Filip J, Fischer G A, Foster R, Giambelluca T, Giardina C, Gilbert G S, Gonzalez-Akre E, Gunatilleke I, Gunatilleke C, Hao Z, Hau B C, He F, Ni H, Howe R W, Hubbell S P, Huth A, Inman-Narahari F, Itoh A, Janík D, Jansen P A, Jiang M, Johnson D J, Jones F A, Kanzaki M, Kenfack D, Kiratiprayoon S, Král K, Krizel L, Lao S, Larson A J, Li Y, Li X, Litton C M, Liu Y, Liu S, Lum S K,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elucia_forest_2007"/>
    <w:p>
      <w:pPr>
        <w:pStyle w:val="Bibliography"/>
      </w:pPr>
      <w:r>
        <w:t xml:space="preserve">DeLucia E, Drake J, Thomas R and Gonzalez-Meler M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2"/>
    <w:bookmarkStart w:id="93" w:name="ref-di_vittorio_initial_2020"/>
    <w:p>
      <w:pPr>
        <w:pStyle w:val="Bibliography"/>
      </w:pPr>
      <w:r>
        <w:t xml:space="preserve">Di Vittorio A,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3"/>
    <w:bookmarkStart w:id="94"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4"/>
    <w:bookmarkStart w:id="95" w:name="ref-fao_and_unep_state_2020"/>
    <w:p>
      <w:pPr>
        <w:pStyle w:val="Bibliography"/>
      </w:pPr>
      <w:r>
        <w:t xml:space="preserve">FAO and UNEP 2020</w:t>
      </w:r>
      <w:r>
        <w:t xml:space="preserve"> </w:t>
      </w:r>
      <w:r>
        <w:rPr>
          <w:i/>
        </w:rPr>
        <w:t xml:space="preserve">The State of the World’s Forests 2020: Forests, biodiversity and people</w:t>
      </w:r>
      <w:r>
        <w:t xml:space="preserve"> </w:t>
      </w:r>
      <w:r>
        <w:t xml:space="preserve">(Rome, Italy: FAO and UNEP)</w:t>
      </w:r>
    </w:p>
    <w:bookmarkEnd w:id="95"/>
    <w:bookmarkStart w:id="96"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6"/>
    <w:bookmarkStart w:id="97"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7"/>
    <w:bookmarkStart w:id="98"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8"/>
    <w:bookmarkStart w:id="99"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9"/>
    <w:bookmarkStart w:id="100"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0"/>
    <w:bookmarkStart w:id="101" w:name="ref-goulden_patterns_2011"/>
    <w:p>
      <w:pPr>
        <w:pStyle w:val="Bibliography"/>
      </w:pPr>
      <w:r>
        <w:t xml:space="preserve">Goulden M, McMillan A, Winston G, Rocha A, Manies K, Harden J and Bond-Lamberty B 2011 Patterns of NPP, GPP, respiration, and NEP during boreal forest succession</w:t>
      </w:r>
      <w:r>
        <w:t xml:space="preserve"> </w:t>
      </w:r>
      <w:r>
        <w:rPr>
          <w:i/>
        </w:rPr>
        <w:t xml:space="preserve">Global Change Biology</w:t>
      </w:r>
      <w:r>
        <w:t xml:space="preserve"> </w:t>
      </w:r>
      <w:r>
        <w:rPr>
          <w:b/>
        </w:rPr>
        <w:t xml:space="preserve">17</w:t>
      </w:r>
      <w:r>
        <w:t xml:space="preserve"> </w:t>
      </w:r>
      <w:r>
        <w:t xml:space="preserve">855–71</w:t>
      </w:r>
    </w:p>
    <w:bookmarkEnd w:id="101"/>
    <w:bookmarkStart w:id="102"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2"/>
    <w:bookmarkStart w:id="103"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3"/>
    <w:bookmarkStart w:id="104"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4"/>
    <w:bookmarkStart w:id="105"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5"/>
    <w:bookmarkStart w:id="106"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6"/>
    <w:bookmarkStart w:id="107"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7"/>
    <w:bookmarkStart w:id="108"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8"/>
    <w:bookmarkStart w:id="109"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9"/>
    <w:bookmarkStart w:id="110"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10"/>
    <w:bookmarkStart w:id="111"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1"/>
    <w:bookmarkStart w:id="112" w:name="ref-huang_long-term_2010"/>
    <w:p>
      <w:pPr>
        <w:pStyle w:val="Bibliography"/>
      </w:pPr>
      <w:r>
        <w:t xml:space="preserve">Huang M and Asner G P 2010 Long-term carbon loss and recovery following selective logging in Amazon forests</w:t>
      </w:r>
      <w:r>
        <w:t xml:space="preserve"> </w:t>
      </w:r>
      <w:r>
        <w:rPr>
          <w:i/>
        </w:rPr>
        <w:t xml:space="preserve">Global Biogeochemical Cycles</w:t>
      </w:r>
      <w:r>
        <w:t xml:space="preserve"> </w:t>
      </w:r>
      <w:r>
        <w:rPr>
          <w:b/>
        </w:rPr>
        <w:t xml:space="preserve">24</w:t>
      </w:r>
    </w:p>
    <w:bookmarkEnd w:id="112"/>
    <w:bookmarkStart w:id="113" w:name="ref-humboldt_essay_1807"/>
    <w:p>
      <w:pPr>
        <w:pStyle w:val="Bibliography"/>
      </w:pPr>
      <w:r>
        <w:t xml:space="preserve">Humboldt A von and Bonpland A 1807</w:t>
      </w:r>
      <w:r>
        <w:t xml:space="preserve"> </w:t>
      </w:r>
      <w:r>
        <w:rPr>
          <w:i/>
        </w:rPr>
        <w:t xml:space="preserve">Essay on the Geography of Plants</w:t>
      </w:r>
    </w:p>
    <w:bookmarkEnd w:id="113"/>
    <w:bookmarkStart w:id="114"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4"/>
    <w:bookmarkStart w:id="115" w:name="ref-ipcc_2019_2019"/>
    <w:p>
      <w:pPr>
        <w:pStyle w:val="Bibliography"/>
      </w:pPr>
      <w:r>
        <w:t xml:space="preserve">IPCC 2019</w:t>
      </w:r>
      <w:r>
        <w:t xml:space="preserve"> </w:t>
      </w:r>
      <w:r>
        <w:rPr>
          <w:i/>
        </w:rPr>
        <w:t xml:space="preserve">2019 Refinement to the 2006 IPCC Guidelines for National Greenhouse Gas Inventories</w:t>
      </w:r>
    </w:p>
    <w:bookmarkEnd w:id="115"/>
    <w:bookmarkStart w:id="116"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6"/>
    <w:bookmarkStart w:id="117"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7"/>
    <w:bookmarkStart w:id="118" w:name="ref-johnson_post-disturbance_2000"/>
    <w:p>
      <w:pPr>
        <w:pStyle w:val="Bibliography"/>
      </w:pPr>
      <w:r>
        <w:t xml:space="preserve">Johnson C, Zarin D and Johnson A 2000 Post-disturbance aboveground biomass accumulation in global secondary forests</w:t>
      </w:r>
      <w:r>
        <w:t xml:space="preserve"> </w:t>
      </w:r>
      <w:r>
        <w:rPr>
          <w:i/>
        </w:rPr>
        <w:t xml:space="preserve">Ecology</w:t>
      </w:r>
      <w:r>
        <w:t xml:space="preserve"> </w:t>
      </w:r>
      <w:r>
        <w:rPr>
          <w:b/>
        </w:rPr>
        <w:t xml:space="preserve">81</w:t>
      </w:r>
      <w:r>
        <w:t xml:space="preserve"> </w:t>
      </w:r>
      <w:r>
        <w:t xml:space="preserve">1395–401</w:t>
      </w:r>
    </w:p>
    <w:bookmarkEnd w:id="118"/>
    <w:bookmarkStart w:id="11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9"/>
    <w:bookmarkStart w:id="12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20"/>
    <w:bookmarkStart w:id="121" w:name="ref-keith_re-evaluation_2009"/>
    <w:p>
      <w:pPr>
        <w:pStyle w:val="Bibliography"/>
      </w:pPr>
      <w:r>
        <w:t xml:space="preserve">Keith H, Mackey B and Lindenmayer D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21"/>
    <w:bookmarkStart w:id="12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2"/>
    <w:bookmarkStart w:id="123" w:name="ref-kochy_global_2015"/>
    <w:p>
      <w:pPr>
        <w:pStyle w:val="Bibliography"/>
      </w:pPr>
      <w:r>
        <w:t xml:space="preserve">Köchy M, Hiederer R and Freibauer A 2015 Global distribution of soil organic carbon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3"/>
    <w:bookmarkStart w:id="12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4"/>
    <w:bookmarkStart w:id="125"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5"/>
    <w:bookmarkStart w:id="126" w:name="ref-law_changes_2003"/>
    <w:p>
      <w:pPr>
        <w:pStyle w:val="Bibliography"/>
      </w:pPr>
      <w:r>
        <w:t xml:space="preserve">Law B, Sun O, Campbell J, Tuyl S and Thornton P 2003 Changes in carbon storage and fluxes in a chronosequence of ponderosa pine</w:t>
      </w:r>
      <w:r>
        <w:t xml:space="preserve"> </w:t>
      </w:r>
      <w:r>
        <w:rPr>
          <w:i/>
        </w:rPr>
        <w:t xml:space="preserve">Global Change Biology</w:t>
      </w:r>
      <w:r>
        <w:t xml:space="preserve"> </w:t>
      </w:r>
      <w:r>
        <w:rPr>
          <w:b/>
        </w:rPr>
        <w:t xml:space="preserve">9</w:t>
      </w:r>
      <w:r>
        <w:t xml:space="preserve"> </w:t>
      </w:r>
      <w:r>
        <w:t xml:space="preserve">510–24</w:t>
      </w:r>
    </w:p>
    <w:bookmarkEnd w:id="126"/>
    <w:bookmarkStart w:id="127"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8"/>
    <w:bookmarkStart w:id="129"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
        </w:rPr>
        <w:t xml:space="preserve">Biogeosciences</w:t>
      </w:r>
      <w:r>
        <w:t xml:space="preserve"> </w:t>
      </w:r>
      <w:r>
        <w:rPr>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33"/>
    <w:bookmarkStart w:id="134" w:name="ref-luyssaert_old-growth_2008"/>
    <w:p>
      <w:pPr>
        <w:pStyle w:val="Bibliography"/>
      </w:pPr>
      <w:r>
        <w:t xml:space="preserve">Luyssaert S, Schulze E, Borner A, Knohl A, Hessenmoller D, Law B,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Kolari P, Kowalski A, Lankreijer H, Law B, Lindroth A, Loustau D, Manca G, Moncrieff J,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
        </w:rPr>
        <w:t xml:space="preserve">Frontiers in Ecology and the Environment</w:t>
      </w:r>
      <w:r>
        <w:t xml:space="preserve"> </w:t>
      </w:r>
      <w:r>
        <w:rPr>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9"/>
    <w:bookmarkStart w:id="140"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
        </w:rPr>
        <w:t xml:space="preserve">Proceedings of the National Academy of Sciences</w:t>
      </w:r>
      <w:r>
        <w:t xml:space="preserve"> </w:t>
      </w:r>
      <w:r>
        <w:rPr>
          <w:b/>
        </w:rPr>
        <w:t xml:space="preserve">117</w:t>
      </w:r>
      <w:r>
        <w:t xml:space="preserve"> </w:t>
      </w:r>
      <w:r>
        <w:t xml:space="preserve">7863–70</w:t>
      </w:r>
    </w:p>
    <w:bookmarkEnd w:id="144"/>
    <w:bookmarkStart w:id="145" w:name="ref-pan_large_2011"/>
    <w:p>
      <w:pPr>
        <w:pStyle w:val="Bibliography"/>
      </w:pPr>
      <w:r>
        <w:t xml:space="preserve">Pan Y, Birdsey R, Fang J, Houghton R, Kauppi P, Kurz W, Phillips O, Shvidenko A, Lewis S, Canadell J, Ciais P, Jackson R, Pacala S, McGuire A,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w:t>
      </w:r>
      <w:r>
        <w:t xml:space="preserve"> </w:t>
      </w:r>
      <w:r>
        <w:rPr>
          <w:i/>
        </w:rPr>
        <w:t xml:space="preserve">Environmental Research Letters</w:t>
      </w:r>
      <w:r>
        <w:t xml:space="preserve"> </w:t>
      </w:r>
      <w:r>
        <w:rPr>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w:t>
      </w:r>
      <w:r>
        <w:t xml:space="preserve"> </w:t>
      </w:r>
      <w:r>
        <w:rPr>
          <w:i/>
        </w:rPr>
        <w:t xml:space="preserve">eLife</w:t>
      </w:r>
      <w:r>
        <w:t xml:space="preserve"> </w:t>
      </w:r>
      <w:r>
        <w:rPr>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
        </w:rPr>
        <w:t xml:space="preserve">Nature Communications</w:t>
      </w:r>
      <w:r>
        <w:t xml:space="preserve"> </w:t>
      </w:r>
      <w:r>
        <w:rPr>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w:t>
      </w:r>
      <w:r>
        <w:t xml:space="preserve"> </w:t>
      </w:r>
      <w:r>
        <w:rPr>
          <w:i/>
        </w:rPr>
        <w:t xml:space="preserve">Nature</w:t>
      </w:r>
      <w:r>
        <w:t xml:space="preserve"> </w:t>
      </w:r>
      <w:r>
        <w:rPr>
          <w:b/>
        </w:rPr>
        <w:t xml:space="preserve">530</w:t>
      </w:r>
      <w:r>
        <w:t xml:space="preserve"> </w:t>
      </w:r>
      <w:r>
        <w:t xml:space="preserve">211–4</w:t>
      </w:r>
    </w:p>
    <w:bookmarkEnd w:id="151"/>
    <w:bookmarkStart w:id="152" w:name="ref-pregitzer_carbon_2004"/>
    <w:p>
      <w:pPr>
        <w:pStyle w:val="Bibliography"/>
      </w:pPr>
      <w:r>
        <w:t xml:space="preserve">Pregitzer K and Euskirchen E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
        </w:rPr>
        <w:t xml:space="preserve">Proceedings of the National Academy of Sciences</w:t>
      </w:r>
      <w:r>
        <w:t xml:space="preserve"> </w:t>
      </w:r>
      <w:r>
        <w:rPr>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
        </w:rPr>
        <w:t xml:space="preserve">Environmental Research Letters</w:t>
      </w:r>
      <w:r>
        <w:t xml:space="preserve"> </w:t>
      </w:r>
      <w:r>
        <w:rPr>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
        </w:rPr>
        <w:t xml:space="preserve">Forest Ecology and Management</w:t>
      </w:r>
      <w:r>
        <w:t xml:space="preserve"> </w:t>
      </w:r>
      <w:r>
        <w:rPr>
          <w:b/>
        </w:rPr>
        <w:t xml:space="preserve">376</w:t>
      </w:r>
      <w:r>
        <w:t xml:space="preserve"> </w:t>
      </w:r>
      <w:r>
        <w:t xml:space="preserve">45–58</w:t>
      </w:r>
    </w:p>
    <w:bookmarkEnd w:id="156"/>
    <w:bookmarkStart w:id="157"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60"/>
    <w:bookmarkStart w:id="161"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w:t>
      </w:r>
      <w:r>
        <w:t xml:space="preserve"> </w:t>
      </w:r>
      <w:r>
        <w:rPr>
          <w:i/>
        </w:rPr>
        <w:t xml:space="preserve">Applied Vegetation Science</w:t>
      </w:r>
      <w:r>
        <w:t xml:space="preserve"> </w:t>
      </w:r>
      <w:r>
        <w:rPr>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 Edge Enhancements of Soil Respiration in Temperate Forests</w:t>
      </w:r>
      <w:r>
        <w:t xml:space="preserve"> </w:t>
      </w:r>
      <w:r>
        <w:rPr>
          <w:i/>
        </w:rPr>
        <w:t xml:space="preserve">Geophysical Research Letters</w:t>
      </w:r>
      <w:r>
        <w:t xml:space="preserve"> </w:t>
      </w:r>
      <w:r>
        <w:rPr>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71"/>
    <w:bookmarkStart w:id="172" w:name="ref-r_core_team_r_2020"/>
    <w:p>
      <w:pPr>
        <w:pStyle w:val="Bibliography"/>
      </w:pPr>
      <w:r>
        <w:t xml:space="preserve">Team R C 2020 R : A language and environment for statistical computing. R Foundation for Statistical Computing, Vienna, Austria. URL http://www.R-project.org/.</w:t>
      </w:r>
    </w:p>
    <w:bookmarkEnd w:id="172"/>
    <w:bookmarkStart w:id="173"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73"/>
    <w:bookmarkStart w:id="174"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19972016</w:t>
      </w:r>
      <w:r>
        <w:t xml:space="preserve"> </w:t>
      </w:r>
      <w:r>
        <w:rPr>
          <w:i/>
        </w:rPr>
        <w:t xml:space="preserve">Earth System Science Data</w:t>
      </w:r>
      <w:r>
        <w:t xml:space="preserve"> </w:t>
      </w:r>
      <w:r>
        <w:rPr>
          <w:b/>
        </w:rPr>
        <w:t xml:space="preserve">9</w:t>
      </w:r>
      <w:r>
        <w:t xml:space="preserve"> </w:t>
      </w:r>
      <w:r>
        <w:t xml:space="preserve">697–720</w:t>
      </w:r>
    </w:p>
    <w:bookmarkEnd w:id="174"/>
    <w:bookmarkStart w:id="175"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75"/>
    <w:bookmarkStart w:id="176"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76"/>
    <w:bookmarkStart w:id="177"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77"/>
    <w:bookmarkStart w:id="178"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78"/>
    <w:bookmarkStart w:id="179"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79"/>
    <w:bookmarkStart w:id="180"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80"/>
    <w:bookmarkStart w:id="181" w:name="ref-yang_carbon_2011"/>
    <w:p>
      <w:pPr>
        <w:pStyle w:val="Bibliography"/>
      </w:pPr>
      <w:r>
        <w:t xml:space="preserve">Yang Y, Luo Y and Finzi A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39" Target="media/rId39.jp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hyperlink" Id="rId30" Target="https://github.com/forc-db/ForC" TargetMode="External" /><Relationship Type="http://schemas.openxmlformats.org/officeDocument/2006/relationships/hyperlink" Id="rId31"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forc-db/ForC" TargetMode="External" /><Relationship Type="http://schemas.openxmlformats.org/officeDocument/2006/relationships/hyperlink" Id="rId31"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2021-02-24T11:15:56Z</dcterms:created>
  <dcterms:modified xsi:type="dcterms:W3CDTF">2021-02-24T11:15:56Z</dcterms:modified>
</cp:coreProperties>
</file>