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w:t>
      </w:r>
      <w:r>
        <w:t xml:space="preserve"> </w:t>
      </w:r>
      <w:r>
        <w:t xml:space="preserve">Biome is an artificial categorical distinction convenient for categorizing the world’s forests according to major differences in climate and vegetation.</w:t>
      </w:r>
    </w:p>
    <w:p>
      <w:pPr>
        <w:pStyle w:val="BodyText"/>
      </w:pPr>
      <w:r>
        <w:t xml:space="preserve">The most important gradient for defining biomes is climate.</w:t>
      </w:r>
      <w:r>
        <w:t xml:space="preserve"> </w:t>
      </w:r>
      <w:r>
        <w:t xml:space="preserve">Since (Humboldt?), it has been recognized that climate plays a dominant role in shaping differences among forests.</w:t>
      </w:r>
    </w:p>
    <w:p>
      <w:pPr>
        <w:pStyle w:val="BodyText"/>
      </w:pPr>
      <w:r>
        <w:t xml:space="preserve">Lieth (1973)</w:t>
      </w:r>
      <w:r>
        <w:t xml:space="preserve"> </w:t>
      </w:r>
      <w:r>
        <w:t xml:space="preserve">synthesized differences in NPP across gradients of mean annual temperature and precipitation.</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1"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0" w:name="c-cycling-in-young-forests"/>
    <w:p>
      <w:pPr>
        <w:pStyle w:val="Heading3"/>
      </w:pPr>
      <w:r>
        <w:t xml:space="preserve">C cycling in young forests</w:t>
      </w:r>
    </w:p>
    <w:p>
      <w:pPr>
        <w:pStyle w:val="FirstParagraph"/>
      </w:pPr>
      <w:r>
        <w:t xml:space="preserve">Average C cycles for forests &lt;100 years old are presented in Figures 8-11.</w:t>
      </w:r>
      <w:r>
        <w:t xml:space="preserve"> </w:t>
      </w:r>
      <w:r>
        <w:t xml:space="preserve">Both C stocks and fluxes commonly increased significantly with stand age (Tables 1, S2, Figs. 7- 8,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 age: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r>
        <w:br w:type="page"/>
      </w:r>
    </w:p>
    <w:bookmarkEnd w:id="40"/>
    <w:bookmarkEnd w:id="41"/>
    <w:bookmarkStart w:id="47"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2"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2"/>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5"/>
    <w:bookmarkStart w:id="46"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6"/>
    <w:bookmarkEnd w:id="47"/>
    <w:bookmarkStart w:id="48"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48"/>
    <w:bookmarkStart w:id="49"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49"/>
    <w:bookmarkStart w:id="153" w:name="references"/>
    <w:p>
      <w:pPr>
        <w:pStyle w:val="Heading2"/>
      </w:pPr>
      <w:r>
        <w:t xml:space="preserve">References</w:t>
      </w:r>
    </w:p>
    <w:bookmarkStart w:id="152" w:name="refs"/>
    <w:bookmarkStart w:id="50"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0"/>
    <w:bookmarkStart w:id="51"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1"/>
    <w:bookmarkStart w:id="52"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2"/>
    <w:bookmarkStart w:id="53"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3"/>
    <w:bookmarkStart w:id="54"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4"/>
    <w:bookmarkStart w:id="55" w:name="ref-anderson-teixeira_forc-dbgroa_2020"/>
    <w:p>
      <w:pPr>
        <w:pStyle w:val="Bibliography"/>
      </w:pPr>
      <w:r>
        <w:t xml:space="preserve">Anderson-Teixeira K, Herrmann V, CookPatton, Ferson A and Lister K 2020 Forc-db/GROA: Release with Cook-Patton et al. 2020, Nature.</w:t>
      </w:r>
    </w:p>
    <w:bookmarkEnd w:id="55"/>
    <w:bookmarkStart w:id="56"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58"/>
    <w:bookmarkStart w:id="59"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59"/>
    <w:bookmarkStart w:id="60"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1"/>
    <w:bookmarkStart w:id="62"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2"/>
    <w:bookmarkStart w:id="63"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3"/>
    <w:bookmarkStart w:id="64"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4"/>
    <w:bookmarkStart w:id="65"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5"/>
    <w:bookmarkStart w:id="66"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6"/>
    <w:bookmarkStart w:id="67"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7"/>
    <w:bookmarkStart w:id="68"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68"/>
    <w:bookmarkStart w:id="69"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69"/>
    <w:bookmarkStart w:id="70"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0"/>
    <w:bookmarkStart w:id="71"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1"/>
    <w:bookmarkStart w:id="72"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2"/>
    <w:bookmarkStart w:id="73"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3"/>
    <w:bookmarkStart w:id="74"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4"/>
    <w:bookmarkStart w:id="75"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5"/>
    <w:bookmarkStart w:id="76"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76"/>
    <w:bookmarkStart w:id="77"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77"/>
    <w:bookmarkStart w:id="78"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78"/>
    <w:bookmarkStart w:id="79"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79"/>
    <w:bookmarkStart w:id="80"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0"/>
    <w:bookmarkStart w:id="81"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1"/>
    <w:bookmarkStart w:id="82"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2"/>
    <w:bookmarkStart w:id="83"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3"/>
    <w:bookmarkStart w:id="84"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4"/>
    <w:bookmarkStart w:id="85"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5"/>
    <w:bookmarkStart w:id="86" w:name="ref-curtis_forest_2018"/>
    <w:p>
      <w:pPr>
        <w:pStyle w:val="Bibliography"/>
      </w:pPr>
      <w:r>
        <w:t xml:space="preserve">Curtis P S and Gough C M 2018 Forest aging, disturbance and the carbon cycle</w:t>
      </w:r>
      <w:r>
        <w:t xml:space="preserve"> </w:t>
      </w:r>
      <w:r>
        <w:rPr>
          <w:i/>
        </w:rPr>
        <w:t xml:space="preserve">New Phytologist</w:t>
      </w:r>
    </w:p>
    <w:bookmarkEnd w:id="86"/>
    <w:bookmarkStart w:id="8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87"/>
    <w:bookmarkStart w:id="88"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88"/>
    <w:bookmarkStart w:id="89"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89"/>
    <w:bookmarkStart w:id="90"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0"/>
    <w:bookmarkStart w:id="91"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1"/>
    <w:bookmarkStart w:id="92"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2"/>
    <w:bookmarkStart w:id="93"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3"/>
    <w:bookmarkStart w:id="94"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4"/>
    <w:bookmarkStart w:id="95"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5"/>
    <w:bookmarkStart w:id="96"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96"/>
    <w:bookmarkStart w:id="97"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97"/>
    <w:bookmarkStart w:id="98"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98"/>
    <w:bookmarkStart w:id="99"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99"/>
    <w:bookmarkStart w:id="10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0"/>
    <w:bookmarkStart w:id="10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1"/>
    <w:bookmarkStart w:id="102" w:name="ref-ipcc_2019_2019"/>
    <w:p>
      <w:pPr>
        <w:pStyle w:val="Bibliography"/>
      </w:pPr>
      <w:r>
        <w:t xml:space="preserve">IPCC 2019</w:t>
      </w:r>
      <w:r>
        <w:t xml:space="preserve"> </w:t>
      </w:r>
      <w:r>
        <w:rPr>
          <w:i/>
        </w:rPr>
        <w:t xml:space="preserve">2019 Refinement to the 2006 IPCC Guidelines for National Greenhouse Gas Inventories</w:t>
      </w:r>
    </w:p>
    <w:bookmarkEnd w:id="102"/>
    <w:bookmarkStart w:id="103"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3"/>
    <w:bookmarkStart w:id="104"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4"/>
    <w:bookmarkStart w:id="105"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5"/>
    <w:bookmarkStart w:id="106"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06"/>
    <w:bookmarkStart w:id="107"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07"/>
    <w:bookmarkStart w:id="108"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08"/>
    <w:bookmarkStart w:id="109"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09"/>
    <w:bookmarkStart w:id="110"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0"/>
    <w:bookmarkStart w:id="111"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1"/>
    <w:bookmarkStart w:id="112"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2"/>
    <w:bookmarkStart w:id="113"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3"/>
    <w:bookmarkStart w:id="114"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4"/>
    <w:bookmarkStart w:id="115"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5"/>
    <w:bookmarkStart w:id="116"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16"/>
    <w:bookmarkStart w:id="117"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17"/>
    <w:bookmarkStart w:id="118"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18"/>
    <w:bookmarkStart w:id="119"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19"/>
    <w:bookmarkStart w:id="12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0"/>
    <w:bookmarkStart w:id="121"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1"/>
    <w:bookmarkStart w:id="122"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2"/>
    <w:bookmarkStart w:id="123"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3"/>
    <w:bookmarkStart w:id="124"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4"/>
    <w:bookmarkStart w:id="125"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5"/>
    <w:bookmarkStart w:id="126"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26"/>
    <w:bookmarkStart w:id="127"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27"/>
    <w:bookmarkStart w:id="128"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28"/>
    <w:bookmarkStart w:id="129"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29"/>
    <w:bookmarkStart w:id="130"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0"/>
    <w:bookmarkStart w:id="131"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1"/>
    <w:bookmarkStart w:id="132"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2"/>
    <w:bookmarkStart w:id="133"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3"/>
    <w:bookmarkStart w:id="134"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4"/>
    <w:bookmarkStart w:id="135"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5"/>
    <w:bookmarkStart w:id="13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36"/>
    <w:bookmarkStart w:id="137"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37"/>
    <w:bookmarkStart w:id="138"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38"/>
    <w:bookmarkStart w:id="13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39"/>
    <w:bookmarkStart w:id="14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0"/>
    <w:bookmarkStart w:id="14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1"/>
    <w:bookmarkStart w:id="142" w:name="ref-r_core_team_r_2020"/>
    <w:p>
      <w:pPr>
        <w:pStyle w:val="Bibliography"/>
      </w:pPr>
      <w:r>
        <w:t xml:space="preserve">Team R C 2020 R : A language and environment for statistical computing. R Foundation for Statistical Computing, Vienna, Austria. URL http://www.R-project.org/.</w:t>
      </w:r>
    </w:p>
    <w:bookmarkEnd w:id="142"/>
    <w:bookmarkStart w:id="143"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3"/>
    <w:bookmarkStart w:id="144"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4"/>
    <w:bookmarkStart w:id="145"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5"/>
    <w:bookmarkStart w:id="146"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46"/>
    <w:bookmarkStart w:id="147"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47"/>
    <w:bookmarkStart w:id="148"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48"/>
    <w:bookmarkStart w:id="149"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49"/>
    <w:bookmarkStart w:id="150"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0"/>
    <w:bookmarkStart w:id="151"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2021-01-18T12:12:42Z</dcterms:created>
  <dcterms:modified xsi:type="dcterms:W3CDTF">2021-01-18T12:12:42Z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