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There was generally good closure of C budgets for mature forests, whereas age trends and C budget closure in young forests remain less clearly resolved.</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synthesis has revealed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 and, to a lesser extent, precipitation</w:t>
      </w:r>
      <w:r>
        <w:t xml:space="preserve"> </w:t>
      </w:r>
      <w:r>
        <w:t xml:space="preserve">(Fig. 1a</w:t>
      </w:r>
      <w:r>
        <w:t xml:space="preserve"> </w:t>
      </w:r>
      <w:r>
        <w:rPr>
          <w:b/>
        </w:rPr>
        <w:t xml:space="preserve">REFS</w:t>
      </w:r>
      <w:r>
        <w:t xml:space="preserve">; Lieth 1973, Luyssaert</w:t>
      </w:r>
      <w:r>
        <w:t xml:space="preserve"> </w:t>
      </w:r>
      <w:r>
        <w:rPr>
          <w:i/>
        </w:rPr>
        <w:t xml:space="preserve">et al</w:t>
      </w:r>
      <w:r>
        <w:t xml:space="preserve"> </w:t>
      </w:r>
      <w:r>
        <w:t xml:space="preserve">2007,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w:t>
      </w:r>
      <w:r>
        <w:t xml:space="preserve"> </w:t>
      </w:r>
      <m:oMath>
        <m:sSub>
          <m:e>
            <m:r>
              <m:t>B</m:t>
            </m:r>
          </m:e>
          <m:sub>
            <m:r>
              <m:t>a</m:t>
            </m:r>
            <m:r>
              <m:t>g</m:t>
            </m:r>
          </m:sub>
        </m:sSub>
      </m:oMath>
      <w:r>
        <w:t xml:space="preserve"> </w:t>
      </w:r>
      <w:r>
        <w:t xml:space="preserve">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w:t>
      </w:r>
      <w:r>
        <w:rPr>
          <w:b/>
        </w:rPr>
        <w:t xml:space="preserve">REFS</w:t>
      </w:r>
      <w:r>
        <w:t xml:space="preserve">; Keith</w:t>
      </w:r>
      <w:r>
        <w:t xml:space="preserve"> </w:t>
      </w:r>
      <w:r>
        <w:rPr>
          <w:i/>
        </w:rPr>
        <w:t xml:space="preserve">et al</w:t>
      </w:r>
      <w:r>
        <w:t xml:space="preserve"> </w:t>
      </w:r>
      <w:r>
        <w:t xml:space="preserve">2009)</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w:t>
      </w:r>
      <w:r>
        <w:rPr>
          <w:b/>
        </w:rPr>
        <w:t xml:space="preserve">REFS</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w:t>
      </w:r>
      <w:r>
        <w:t xml:space="preserve"> </w:t>
      </w:r>
      <w:r>
        <w:rPr>
          <w:i/>
        </w:rPr>
        <w:t xml:space="preserve">global data on climate/soils/satellite data</w:t>
      </w:r>
      <w:r>
        <w:t xml:space="preserve">, making it possible to create fine-scale global maps of C cycling</w:t>
      </w:r>
      <w:r>
        <w:t xml:space="preserve"> </w:t>
      </w:r>
      <w:r>
        <w:t xml:space="preserve">(e.g.,</w:t>
      </w:r>
      <w:r>
        <w:t xml:space="preserve"> </w:t>
      </w:r>
      <w:r>
        <w:rPr>
          <w:b/>
        </w:rPr>
        <w:t xml:space="preserve">REFS</w:t>
      </w:r>
      <w:r>
        <w:t xml:space="preserve">; Cook-Patton</w:t>
      </w:r>
      <w:r>
        <w:t xml:space="preserve"> </w:t>
      </w:r>
      <w:r>
        <w:rPr>
          <w:i/>
        </w:rPr>
        <w:t xml:space="preserve">et al</w:t>
      </w:r>
      <w:r>
        <w:t xml:space="preserve"> </w:t>
      </w:r>
      <w:r>
        <w:t xml:space="preserve">2020)</w:t>
      </w:r>
      <w:r>
        <w:t xml:space="preserve">.</w:t>
      </w:r>
      <w:r>
        <w:t xml:space="preserve"> </w:t>
      </w:r>
      <w:r>
        <w:rPr>
          <w:i/>
        </w:rPr>
        <w:t xml:space="preserve">This approach can be particularly effective when paired with satellite data … (e.g., aboveground biomass: Saatchi et al 2011, Hu et al 2016, Spawn et al 2020, gross primary productivity, GPP: Li and Xiao 2019, ).</w:t>
      </w:r>
      <w:r>
        <w:t xml:space="preserve"> </w:t>
      </w:r>
      <w:r>
        <w:t xml:space="preserve">Yet, any such analysis is constrained by the quality and coverage of ground-based estimates of forest C fluxes or stocks.</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r>
          <m:t>W</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climate change mitigation across forest biomes or ecozones [e.g.,</w:t>
      </w:r>
      <w:r>
        <w:t xml:space="preserve"> </w:t>
      </w:r>
      <w:r>
        <w:rPr>
          <w:b/>
        </w:rPr>
        <w:t xml:space="preserve">REFS</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1b,d).</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is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w:t>
      </w:r>
      <w:r>
        <w:t xml:space="preserve"> </w:t>
      </w:r>
      <w:r>
        <w:rPr>
          <w:i/>
        </w:rPr>
        <w:t xml:space="preserve">albiet</w:t>
      </w:r>
      <w:r>
        <w:t xml:space="preserve"> </w:t>
      </w:r>
      <w:r>
        <w:t xml:space="preserve">with modest modifications</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w:t>
      </w:r>
      <w:r>
        <w:t xml:space="preserve"> </w:t>
      </w:r>
      <w:r>
        <w:rPr>
          <w:i/>
        </w:rPr>
        <w:t xml:space="preserve">Goulden et al. 2011, …. refs in</w:t>
      </w:r>
      <w:r>
        <w:rPr>
          <w:i/>
        </w:rP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w:t>
      </w:r>
      <w:r>
        <w:rPr>
          <w:b/>
        </w:rPr>
        <w:t xml:space="preserve">???</w:t>
      </w:r>
      <w:r>
        <w:t xml:space="preserve">,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rPr>
          <w:i/>
        </w:rPr>
        <w:t xml:space="preserve">[Law et al., 2003; Pregitzer &amp; Euskirchen, 2004; Goulden et al., 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rPr>
          <w:i/>
        </w:rPr>
        <w:t xml:space="preserve">[Law et al., 2003; Pregitzer &amp; Euskirchen, 2004; Zhou et al., 2006; Baldocchi, 2008; Luyssaert et al., 2008; Amiro et al., 2010; Goulden et al., 2011]</w:t>
      </w:r>
      <w:r>
        <w:t xml:space="preserve">.</w:t>
      </w:r>
      <w:r>
        <w:t xml:space="preserve"> </w:t>
      </w:r>
      <w:r>
        <w:t xml:space="preserve">The result is that biomass accumulates rapidly in young forests, followed by a slow decline to near zero in old forests</w:t>
      </w:r>
      <w:r>
        <w:t xml:space="preserve"> </w:t>
      </w:r>
      <w:r>
        <w:rPr>
          <w:i/>
        </w:rPr>
        <w:t xml:space="preserve">[Lichstein et al., 2009; Yang et al., 2011;</w:t>
      </w:r>
      <w:r>
        <w:rPr>
          <w:i/>
        </w:rPr>
        <w:t xml:space="preserve"> </w:t>
      </w:r>
      <w:r>
        <w:rPr>
          <w:i/>
        </w:rPr>
        <w:t xml:space="preserve">Hember et al., 2012]</w:t>
      </w:r>
      <w:r>
        <w:t xml:space="preserve">.</w:t>
      </w:r>
      <w:r>
        <w:t xml:space="preserve"> </w:t>
      </w:r>
      <w:r>
        <w:t xml:space="preserve">While these trends have been subject of fairly recent review</w:t>
      </w:r>
      <w:r>
        <w:t xml:space="preserve"> </w:t>
      </w:r>
      <w:r>
        <w:t xml:space="preserve">(Anderson-Teixeira</w:t>
      </w:r>
      <w:r>
        <w:t xml:space="preserve"> </w:t>
      </w:r>
      <w:r>
        <w:rPr>
          <w:i/>
        </w:rPr>
        <w:t xml:space="preserve">et al</w:t>
      </w:r>
      <w:r>
        <w:t xml:space="preserve"> </w:t>
      </w:r>
      <w:r>
        <w:t xml:space="preserve">2013)</w:t>
      </w:r>
      <w:r>
        <w:t xml:space="preserve">,</w:t>
      </w:r>
      <w:r>
        <w:t xml:space="preserve"> </w:t>
      </w:r>
      <w:r>
        <w:rPr>
          <w:i/>
        </w:rPr>
        <w:t xml:space="preserve">there is need for a synthetic, quantitaitive review.</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and non-living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w:t>
      </w:r>
      <w:r>
        <w:rPr>
          <w:b/>
        </w:rPr>
        <w:t xml:space="preserve">REFS</w:t>
      </w:r>
      <w:r>
        <w:t xml:space="preserve">; Anderson</w:t>
      </w:r>
      <w:r>
        <w:t xml:space="preserve"> </w:t>
      </w:r>
      <w:r>
        <w:rPr>
          <w:i/>
        </w:rPr>
        <w:t xml:space="preserve">et al</w:t>
      </w:r>
      <w:r>
        <w:t xml:space="preserve"> </w:t>
      </w:r>
      <w:r>
        <w:t xml:space="preserve">2006)</w:t>
      </w:r>
      <w:r>
        <w:t xml:space="preserve"> </w:t>
      </w:r>
      <w:r>
        <w:t xml:space="preserve">and</w:t>
      </w:r>
      <w:r>
        <w:t xml:space="preserve"> </w:t>
      </w:r>
      <w:r>
        <w:rPr>
          <w:i/>
        </w:rPr>
        <w:t xml:space="preserve">with precipitation in the neotropics</w:t>
      </w:r>
      <w:r>
        <w:t xml:space="preserve"> </w:t>
      </w:r>
      <w:r>
        <w:t xml:space="preserve">(</w:t>
      </w:r>
      <w:r>
        <w:rPr>
          <w:b/>
        </w:rPr>
        <w:t xml:space="preserve">REFS</w:t>
      </w:r>
      <w:r>
        <w:t xml:space="preserve">; Chazdon</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 [</w:t>
      </w:r>
      <w:r>
        <w:rPr>
          <w:b/>
        </w:rPr>
        <w:t xml:space="preserve">REFS</w:t>
      </w:r>
      <w:r>
        <w:t xml:space="preserve">] and to quantifying the value of regrwoth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C fluxes commonly increased significantly with stand age (Tables 1, S2, Figs. 7, 9-12,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auto}-R{root}, where R_{auto}=NPP(1/CUE-1), where CUE=0.46 (Collati et al. 2020);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B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=0.46 (Collati et al. 2020);</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B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N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N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9-12).</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9-12).</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9-12).</w:t>
      </w:r>
      <w:r>
        <w:t xml:space="preserve"> </w:t>
      </w:r>
      <w:r>
        <w:t xml:space="preserve">ALthough age trends of young forests often converged towards mature forest averages, there were also some discrepancies between young forest trends and mature forest averages (Figs. 7, 9-12, S5-S30), most notably including a tendency for higher fluxes in regrowth boreal forests than in their mature counterparts (Fig. 12).</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4"/>
    <w:bookmarkEnd w:id="45"/>
    <w:bookmarkStart w:id="52"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7- 12,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r>
        <w:t xml:space="preserve"> </w:t>
      </w:r>
      <w:r>
        <w:t xml:space="preserve">Together, these results refine and expand out understanding of C cycling in mature forests, while providing the first global-scale analysis of age trends in multiple forest C cycling stocks and fluxes (Figs. 9-12).</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among them, provide confidence that our overall reported mature forest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(Figs. 7, 9-12),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Start w:id="51" w:name="citations-to-add"/>
    <w:p>
      <w:pPr>
        <w:pStyle w:val="Heading3"/>
      </w:pPr>
      <w:r>
        <w:t xml:space="preserve">Citations to add</w:t>
      </w:r>
    </w:p>
    <w:p>
      <w:pPr>
        <w:pStyle w:val="FirstParagraph"/>
      </w:pPr>
      <w:r>
        <w:t xml:space="preserve">Harris</w:t>
      </w:r>
      <w:r>
        <w:t xml:space="preserve"> </w:t>
      </w:r>
      <w:r>
        <w:rPr>
          <w:i/>
        </w:rPr>
        <w:t xml:space="preserve">et al</w:t>
      </w:r>
      <w:r>
        <w:t xml:space="preserve"> </w:t>
      </w:r>
      <w:r>
        <w:t xml:space="preserve">(2021)</w:t>
      </w:r>
    </w:p>
    <w:bookmarkEnd w:id="51"/>
    <w:bookmarkEnd w:id="52"/>
    <w:bookmarkStart w:id="53"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3"/>
    <w:bookmarkStart w:id="54"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4"/>
    <w:bookmarkStart w:id="162" w:name="references"/>
    <w:p>
      <w:pPr>
        <w:pStyle w:val="Heading2"/>
      </w:pPr>
      <w:r>
        <w:t xml:space="preserve">References</w:t>
      </w:r>
    </w:p>
    <w:bookmarkStart w:id="161" w:name="refs"/>
    <w:bookmarkStart w:id="55"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5"/>
    <w:bookmarkStart w:id="56"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6"/>
    <w:bookmarkStart w:id="57"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7"/>
    <w:bookmarkStart w:id="58"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8"/>
    <w:bookmarkStart w:id="59"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9"/>
    <w:bookmarkStart w:id="60" w:name="ref-anderson-teixeira_forc-dbgroa_2020"/>
    <w:p>
      <w:pPr>
        <w:pStyle w:val="Bibliography"/>
      </w:pPr>
      <w:r>
        <w:t xml:space="preserve">Anderson-Teixeira K, Herrmann V, CookPatton, Ferson A and Lister K 2020 Forc-db/GROA: Release with Cook-Patton et al. 2020, Nature.</w:t>
      </w:r>
    </w:p>
    <w:bookmarkEnd w:id="60"/>
    <w:bookmarkStart w:id="61"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1"/>
    <w:bookmarkStart w:id="62"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2"/>
    <w:bookmarkStart w:id="63"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3"/>
    <w:bookmarkStart w:id="64"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4"/>
    <w:bookmarkStart w:id="65"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5"/>
    <w:bookmarkStart w:id="66"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6"/>
    <w:bookmarkStart w:id="67"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7"/>
    <w:bookmarkStart w:id="68"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8"/>
    <w:bookmarkStart w:id="69"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9"/>
    <w:bookmarkStart w:id="70"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70"/>
    <w:bookmarkStart w:id="71"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1"/>
    <w:bookmarkStart w:id="72"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2"/>
    <w:bookmarkStart w:id="73"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3"/>
    <w:bookmarkStart w:id="74"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4"/>
    <w:bookmarkStart w:id="75"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5"/>
    <w:bookmarkStart w:id="76"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6"/>
    <w:bookmarkStart w:id="77"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7"/>
    <w:bookmarkStart w:id="78"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8"/>
    <w:bookmarkStart w:id="79"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9"/>
    <w:bookmarkStart w:id="80"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80"/>
    <w:bookmarkStart w:id="81"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1"/>
    <w:bookmarkStart w:id="82"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2"/>
    <w:bookmarkStart w:id="83"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3"/>
    <w:bookmarkStart w:id="84"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4"/>
    <w:bookmarkStart w:id="85"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5"/>
    <w:bookmarkStart w:id="86"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6"/>
    <w:bookmarkStart w:id="87"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7"/>
    <w:bookmarkStart w:id="88"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8"/>
    <w:bookmarkStart w:id="89"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9"/>
    <w:bookmarkStart w:id="90"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90"/>
    <w:bookmarkStart w:id="91"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91"/>
    <w:bookmarkStart w:id="92" w:name="ref-curtis_forest_2018"/>
    <w:p>
      <w:pPr>
        <w:pStyle w:val="Bibliography"/>
      </w:pPr>
      <w:r>
        <w:t xml:space="preserve">Curtis P S and Gough C M 2018 Forest aging, disturbance and the carbon cycle</w:t>
      </w:r>
      <w:r>
        <w:t xml:space="preserve"> </w:t>
      </w:r>
      <w:r>
        <w:rPr>
          <w:i/>
        </w:rPr>
        <w:t xml:space="preserve">New Phytologist</w:t>
      </w:r>
    </w:p>
    <w:bookmarkEnd w:id="92"/>
    <w:bookmarkStart w:id="93"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3"/>
    <w:bookmarkStart w:id="94"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4"/>
    <w:bookmarkStart w:id="95"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5"/>
    <w:bookmarkStart w:id="96"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6"/>
    <w:bookmarkStart w:id="97"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7"/>
    <w:bookmarkStart w:id="98"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8"/>
    <w:bookmarkStart w:id="99"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9"/>
    <w:bookmarkStart w:id="100"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5"/>
    <w:bookmarkStart w:id="106"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6"/>
    <w:bookmarkStart w:id="107"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7"/>
    <w:bookmarkStart w:id="108"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8"/>
    <w:bookmarkStart w:id="109"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9"/>
    <w:bookmarkStart w:id="110" w:name="ref-humboldt_essay_1807"/>
    <w:p>
      <w:pPr>
        <w:pStyle w:val="Bibliography"/>
      </w:pPr>
      <w:r>
        <w:t xml:space="preserve">Humboldt A von and Bonpland A 1807</w:t>
      </w:r>
      <w:r>
        <w:t xml:space="preserve"> </w:t>
      </w:r>
      <w:r>
        <w:rPr>
          <w:i/>
        </w:rPr>
        <w:t xml:space="preserve">Essay on the Geography of Plants</w:t>
      </w:r>
    </w:p>
    <w:bookmarkEnd w:id="110"/>
    <w:bookmarkStart w:id="111" w:name="ref-ipcc_2019_2019"/>
    <w:p>
      <w:pPr>
        <w:pStyle w:val="Bibliography"/>
      </w:pPr>
      <w:r>
        <w:t xml:space="preserve">IPCC 2019</w:t>
      </w:r>
      <w:r>
        <w:t xml:space="preserve"> </w:t>
      </w:r>
      <w:r>
        <w:rPr>
          <w:i/>
        </w:rPr>
        <w:t xml:space="preserve">2019 Refinement to the 2006 IPCC Guidelines for National Greenhouse Gas Inventories</w:t>
      </w:r>
    </w:p>
    <w:bookmarkEnd w:id="111"/>
    <w:bookmarkStart w:id="112"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2"/>
    <w:bookmarkStart w:id="113"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3"/>
    <w:bookmarkStart w:id="114"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4"/>
    <w:bookmarkStart w:id="115"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5"/>
    <w:bookmarkStart w:id="116"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6"/>
    <w:bookmarkStart w:id="117"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7"/>
    <w:bookmarkStart w:id="118"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8"/>
    <w:bookmarkStart w:id="119"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9"/>
    <w:bookmarkStart w:id="120"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0"/>
    <w:bookmarkStart w:id="121"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1"/>
    <w:bookmarkStart w:id="122"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2"/>
    <w:bookmarkStart w:id="123"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23"/>
    <w:bookmarkStart w:id="124"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24"/>
    <w:bookmarkStart w:id="125"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5"/>
    <w:bookmarkStart w:id="126"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6"/>
    <w:bookmarkStart w:id="127"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7"/>
    <w:bookmarkStart w:id="12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8"/>
    <w:bookmarkStart w:id="12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9"/>
    <w:bookmarkStart w:id="130"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30"/>
    <w:bookmarkStart w:id="131"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31"/>
    <w:bookmarkStart w:id="132"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32"/>
    <w:bookmarkStart w:id="133"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33"/>
    <w:bookmarkStart w:id="134"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34"/>
    <w:bookmarkStart w:id="135"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5"/>
    <w:bookmarkStart w:id="136"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6"/>
    <w:bookmarkStart w:id="137"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7"/>
    <w:bookmarkStart w:id="138"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8"/>
    <w:bookmarkStart w:id="139"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9"/>
    <w:bookmarkStart w:id="140"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40"/>
    <w:bookmarkStart w:id="141"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41"/>
    <w:bookmarkStart w:id="142"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42"/>
    <w:bookmarkStart w:id="143"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43"/>
    <w:bookmarkStart w:id="144"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44"/>
    <w:bookmarkStart w:id="145"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5"/>
    <w:bookmarkStart w:id="146"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6"/>
    <w:bookmarkStart w:id="147"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7"/>
    <w:bookmarkStart w:id="148"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8"/>
    <w:bookmarkStart w:id="149"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9"/>
    <w:bookmarkStart w:id="150"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50"/>
    <w:bookmarkStart w:id="151" w:name="ref-r_core_team_r_2020"/>
    <w:p>
      <w:pPr>
        <w:pStyle w:val="Bibliography"/>
      </w:pPr>
      <w:r>
        <w:t xml:space="preserve">Team R C 2020 R : A language and environment for statistical computing. R Foundation for Statistical Computing, Vienna, Austria. URL http://www.R-project.org/.</w:t>
      </w:r>
    </w:p>
    <w:bookmarkEnd w:id="151"/>
    <w:bookmarkStart w:id="152"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52"/>
    <w:bookmarkStart w:id="153"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53"/>
    <w:bookmarkStart w:id="154"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54"/>
    <w:bookmarkStart w:id="155"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5"/>
    <w:bookmarkStart w:id="156"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6"/>
    <w:bookmarkStart w:id="157"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7"/>
    <w:bookmarkStart w:id="15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8"/>
    <w:bookmarkStart w:id="159"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9"/>
    <w:bookmarkStart w:id="160"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60"/>
    <w:bookmarkEnd w:id="161"/>
    <w:bookmarkEnd w:id="1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2021-01-21T23:17:04Z</dcterms:created>
  <dcterms:modified xsi:type="dcterms:W3CDTF">2021-01-21T23:17:04Z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