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37.jpg" ContentType="image/jpeg"/>
  <Override PartName="/word/media/rId35.jpg" ContentType="image/jpeg"/>
  <Override PartName="/word/media/rId36.jpg" ContentType="image/jpeg"/>
  <Override PartName="/word/media/rId34.jpg" ContentType="image/jpeg"/>
  <Override PartName="/word/media/rId27.png" ContentType="image/png"/>
  <Override PartName="/word/media/rId38.jpg" ContentType="image/jpeg"/>
  <Override PartName="/word/media/rId44.png" ContentType="image/png"/>
  <Override PartName="/word/media/rId42.png" ContentType="image/png"/>
  <Override PartName="/word/media/rId43.png" ContentType="image/png"/>
  <Override PartName="/word/media/rId41.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Earth’s climate is closely linked to forests, which strongly influence atmospheric carbon dioxide (CO</w:t>
      </w:r>
      <w:r>
        <w:rPr>
          <w:vertAlign w:val="subscript"/>
        </w:rPr>
        <w:t xml:space="preserve">2</w:t>
      </w:r>
      <w:r>
        <w:t xml:space="preserve">) and climate by their impact on the global carbon (C) cycle.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from 865 geographic locations representing 34 C cycle variables to characterize ensemble C budgets for four broad forest types (tropical broadleaf evergreen, temperate broadleaf, temperate conifer, and taiga), including estimates for both mature and regrowth (age &lt;100 years) forests. For regrowth forests, we quantify age trends for all variables with sufficient data.</w:t>
      </w:r>
    </w:p>
    <w:p>
      <w:pPr>
        <w:pStyle w:val="BodyText"/>
      </w:pPr>
      <w:r>
        <w:rPr>
          <w:i/>
        </w:rPr>
        <w:t xml:space="preserve">Review Results/ Synthesis.</w:t>
      </w:r>
      <w:r>
        <w:t xml:space="preserve"> </w:t>
      </w:r>
      <w:r>
        <w:t xml:space="preserve">The rate of C cycling generally increased from boreal to tropical regions in both mature and regrowth forests, whereas C stocks showed less directional variation. The majority of flux variables, together with most live biomass pools, increased significantly with stand age. There was generally good closure of C budgets for mature forests, whereas age trends and C budget closure in young forests remain less clearly resolved.</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comprehensive and synthetic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9"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scenario-based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Annual gross sequestration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or &gt;7 times average annual fossil fuel emissions from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sequestration is counterbalanced by releases to the atmosphere through ecosystem respiration (</w:t>
      </w:r>
      <m:oMath>
        <m:sSub>
          <m:e>
            <m:r>
              <m:t>R</m:t>
            </m:r>
          </m:e>
          <m:sub>
            <m:r>
              <m:t>e</m:t>
            </m:r>
            <m:r>
              <m:t>c</m:t>
            </m:r>
            <m:r>
              <m:t>o</m:t>
            </m:r>
          </m:sub>
        </m:sSub>
      </m:oMath>
      <w:r>
        <w:t xml:space="preserve">) or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 emissions</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the remaining C sink averaged 3.2</w:t>
      </w:r>
      <w:r>
        <w:t xml:space="preserve"> </w:t>
      </w:r>
      <m:oMath>
        <m:r>
          <m:t>±</m:t>
        </m:r>
      </m:oMath>
      <w:r>
        <w:t xml:space="preserve"> </w:t>
      </w:r>
      <w:r>
        <w:t xml:space="preserve">0.6 Gt C yr</w:t>
      </w:r>
      <w:r>
        <w:rPr>
          <w:vertAlign w:val="superscript"/>
        </w:rPr>
        <w:t xml:space="preserve">-1</w:t>
      </w:r>
      <w:r>
        <w:t xml:space="preserve"> </w:t>
      </w:r>
      <w:r>
        <w:t xml:space="preserve">from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across Earth’s forests</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researchers to directly measure an expanding set of variables, notably including the development of continuous measurements of soil CO</w:t>
      </w:r>
      <w:r>
        <w:rPr>
          <w:vertAlign w:val="subscript"/>
        </w:rPr>
        <w:t xml:space="preserve">2</w:t>
      </w:r>
      <w:r>
        <w:t xml:space="preserve"> </w:t>
      </w:r>
      <w:r>
        <w:t xml:space="preserve">efflux</w:t>
      </w:r>
      <w:r>
        <w:t xml:space="preserve"> </w:t>
      </w:r>
      <w:r>
        <w:t xml:space="preserve">(Kuzyakov 2006)</w:t>
      </w:r>
      <w:r>
        <w:t xml:space="preserve"> </w:t>
      </w:r>
      <w:r>
        <w:t xml:space="preserve">and ecosystem-atmosphere CO</w:t>
      </w:r>
      <w:r>
        <w:rPr>
          <w:vertAlign w:val="subscript"/>
        </w:rPr>
        <w:t xml:space="preserve">2</w:t>
      </w:r>
      <w:r>
        <w:t xml:space="preserve"> </w:t>
      </w:r>
      <w:r>
        <w:t xml:space="preserve">exchange</w:t>
      </w:r>
      <w:r>
        <w:t xml:space="preserve"> </w:t>
      </w:r>
      <w:r>
        <w:t xml:space="preserve">(Baldocchi</w:t>
      </w:r>
      <w:r>
        <w:t xml:space="preserve"> </w:t>
      </w:r>
      <w:r>
        <w:rPr>
          <w:i/>
        </w:rPr>
        <w:t xml:space="preserve">et al</w:t>
      </w:r>
      <w:r>
        <w:t xml:space="preserve"> </w:t>
      </w:r>
      <w:r>
        <w:t xml:space="preserve">2001)</w:t>
      </w:r>
      <w:r>
        <w:t xml:space="preserve">.</w:t>
      </w:r>
      <w:r>
        <w:t xml:space="preserve"> </w:t>
      </w:r>
      <w:r>
        <w:t xml:space="preserve">Measurement techniques have been increasingly standardized; for example, of the biomass allometries that strongly influence estimates of most C cycle variables</w:t>
      </w:r>
      <w:r>
        <w:t xml:space="preserve"> </w:t>
      </w:r>
      <w:r>
        <w:t xml:space="preserve">(e.g., Chojnacky</w:t>
      </w:r>
      <w:r>
        <w:t xml:space="preserve"> </w:t>
      </w:r>
      <w:r>
        <w:rPr>
          <w:i/>
        </w:rPr>
        <w:t xml:space="preserve">et al</w:t>
      </w:r>
      <w:r>
        <w:t xml:space="preserve"> </w:t>
      </w:r>
      <w:r>
        <w:t xml:space="preserve">2014,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w:t>
      </w:r>
      <w:r>
        <w:t xml:space="preserve"> </w:t>
      </w:r>
      <m:oMath>
        <m:sSub>
          <m:e>
            <m:r>
              <m:t>B</m:t>
            </m:r>
          </m:e>
          <m:sub>
            <m:r>
              <m:t>a</m:t>
            </m:r>
            <m:r>
              <m:t>g</m:t>
            </m:r>
          </m:sub>
        </m:sSub>
      </m:oMath>
      <w:r>
        <w:t xml:space="preserve">: Saatchi</w:t>
      </w:r>
      <w:r>
        <w:t xml:space="preserve"> </w:t>
      </w:r>
      <w:r>
        <w:rPr>
          <w:i/>
        </w:rPr>
        <w:t xml:space="preserve">et al</w:t>
      </w:r>
      <w:r>
        <w:t xml:space="preserve"> </w:t>
      </w:r>
      <w:r>
        <w:t xml:space="preserve">2011,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that tens of thousands of records have been distributed across literally thousands of scientific articles, along with variation in data formats, units, measurement methods,</w:t>
      </w:r>
      <w:r>
        <w:t xml:space="preserve"> </w:t>
      </w:r>
      <w:r>
        <w:rPr>
          <w:i/>
        </w:rPr>
        <w:t xml:space="preserve">etc.</w:t>
      </w:r>
      <w:r>
        <w:t xml:space="preserve"> </w:t>
      </w:r>
      <w:r>
        <w:t xml:space="preserve">To use these data 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the different variables capturing the unique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5" w:name="biome-differences"/>
    <w:p>
      <w:pPr>
        <w:pStyle w:val="Heading3"/>
      </w:pPr>
      <w:r>
        <w:t xml:space="preserve">Biome differences</w:t>
      </w:r>
    </w:p>
    <w:p>
      <w:pPr>
        <w:pStyle w:val="FirstParagraph"/>
      </w:pPr>
      <w:r>
        <w:t xml:space="preserve">Forest C cycling varies enormously across biomes, which are artificial categorical distinctions convenient for categorizing the world’s forests according to major differences in climate, vegetation,</w:t>
      </w:r>
      <w:r>
        <w:t xml:space="preserve"> </w:t>
      </w:r>
      <w:r>
        <w:rPr>
          <w:i/>
        </w:rPr>
        <w:t xml:space="preserve">etc.</w:t>
      </w:r>
      <w:r>
        <w:t xml:space="preserve"> </w:t>
      </w:r>
      <w:r>
        <w:t xml:space="preserve">Since the early 19th century, it has been recognized that climate plays a dominant role in shaping differences among forests on a global scale</w:t>
      </w:r>
      <w:r>
        <w:t xml:space="preserve"> </w:t>
      </w:r>
      <w:r>
        <w:t xml:space="preserve">(Humboldt and Bonpland 1807, Holdridge 1947)</w:t>
      </w:r>
      <w:r>
        <w:t xml:space="preserve">.</w:t>
      </w:r>
      <w:r>
        <w:t xml:space="preserve"> </w:t>
      </w:r>
      <w:r>
        <w:t xml:space="preserve">Global scale data syntheses have shown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 and, to a lesser extent, precipitation</w:t>
      </w:r>
      <w:r>
        <w:t xml:space="preserve"> </w:t>
      </w:r>
      <w:r>
        <w:t xml:space="preserve">(Fig. 1a</w:t>
      </w:r>
      <w:r>
        <w:t xml:space="preserve"> </w:t>
      </w:r>
      <w:r>
        <w:rPr>
          <w:b/>
        </w:rPr>
        <w:t xml:space="preserve">REFS</w:t>
      </w:r>
      <w:r>
        <w:t xml:space="preserve">; Lieth 1973, Luyssaert</w:t>
      </w:r>
      <w:r>
        <w:t xml:space="preserve"> </w:t>
      </w:r>
      <w:r>
        <w:rPr>
          <w:i/>
        </w:rPr>
        <w:t xml:space="preserve">et al</w:t>
      </w:r>
      <w:r>
        <w:t xml:space="preserve"> </w:t>
      </w:r>
      <w:r>
        <w:t xml:space="preserve">2007, Hursh</w:t>
      </w:r>
      <w:r>
        <w:t xml:space="preserve"> </w:t>
      </w:r>
      <w:r>
        <w:rPr>
          <w:i/>
        </w:rPr>
        <w:t xml:space="preserve">et al</w:t>
      </w:r>
      <w:r>
        <w:t xml:space="preserve"> </w:t>
      </w:r>
      <w:r>
        <w:t xml:space="preserve">2017, Banbury Morgan</w:t>
      </w:r>
      <w:r>
        <w:t xml:space="preserve"> </w:t>
      </w:r>
      <w:r>
        <w:rPr>
          <w:i/>
        </w:rPr>
        <w:t xml:space="preserve">et al</w:t>
      </w:r>
      <w:r>
        <w:t xml:space="preserve"> </w:t>
      </w:r>
      <w:r>
        <w:t xml:space="preserve">n.d.)</w:t>
      </w:r>
      <w:r>
        <w:t xml:space="preserve">.</w:t>
      </w:r>
      <w:r>
        <w:t xml:space="preserve"> </w:t>
      </w:r>
      <w:r>
        <w:t xml:space="preserve">C stocks of mature forests show less directional variation (Fig. 1a).</w:t>
      </w:r>
      <w:r>
        <w:t xml:space="preserve"> </w:t>
      </w:r>
      <w:r>
        <w:t xml:space="preserve">On average,</w:t>
      </w:r>
      <w:r>
        <w:t xml:space="preserve"> </w:t>
      </w:r>
      <m:oMath>
        <m:sSub>
          <m:e>
            <m:r>
              <m:t>B</m:t>
            </m:r>
          </m:e>
          <m:sub>
            <m:r>
              <m:t>a</m:t>
            </m:r>
            <m:r>
              <m:t>g</m:t>
            </m:r>
          </m:sub>
        </m:sSub>
      </m:oMath>
      <w:r>
        <w:t xml:space="preserve"> </w:t>
      </w:r>
      <w:r>
        <w:t xml:space="preserve">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w:t>
      </w:r>
      <w:r>
        <w:rPr>
          <w:b/>
        </w:rPr>
        <w:t xml:space="preserve">REFS</w:t>
      </w:r>
      <w:r>
        <w:t xml:space="preserve">; Keith</w:t>
      </w:r>
      <w:r>
        <w:t xml:space="preserve"> </w:t>
      </w:r>
      <w:r>
        <w:rPr>
          <w:i/>
        </w:rPr>
        <w:t xml:space="preserve">et al</w:t>
      </w:r>
      <w:r>
        <w:t xml:space="preserve"> </w:t>
      </w:r>
      <w:r>
        <w:t xml:space="preserve">2009)</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(Harmon</w:t>
      </w:r>
      <w:r>
        <w:t xml:space="preserve"> </w:t>
      </w:r>
      <w:r>
        <w:rPr>
          <w:i/>
        </w:rPr>
        <w:t xml:space="preserve">et al</w:t>
      </w:r>
      <w:r>
        <w:t xml:space="preserve"> </w:t>
      </w:r>
      <w:r>
        <w:t xml:space="preserve">1986, Allen</w:t>
      </w:r>
      <w:r>
        <w:t xml:space="preserve"> </w:t>
      </w:r>
      <w:r>
        <w:rPr>
          <w:i/>
        </w:rPr>
        <w:t xml:space="preserve">et al</w:t>
      </w:r>
      <w:r>
        <w:t xml:space="preserve"> </w:t>
      </w:r>
      <w:r>
        <w:t xml:space="preserve">2002)</w:t>
      </w:r>
      <w:r>
        <w:t xml:space="preserve">.</w:t>
      </w:r>
    </w:p>
    <w:p>
      <w:pPr>
        <w:pStyle w:val="BodyText"/>
      </w:pPr>
      <w:r>
        <w:t xml:space="preserve">Correlative analyses relating C cycle variables to climate and other environmental variables have recently been taken to a new level through use of machine-learning algorithms that relate ground-based C cycle data to</w:t>
      </w:r>
      <w:r>
        <w:t xml:space="preserve"> </w:t>
      </w:r>
      <w:r>
        <w:rPr>
          <w:i/>
        </w:rPr>
        <w:t xml:space="preserve">global data on climate/soils/satellite data</w:t>
      </w:r>
      <w:r>
        <w:t xml:space="preserve">, making it possible to create fine-scale global maps of C cycling [e.g., **</w:t>
      </w:r>
      <w:hyperlink r:id="rId24">
        <w:r>
          <w:rPr>
            <w:rStyle w:val="Hyperlink"/>
          </w:rPr>
          <w:t xml:space="preserve">REFS**;@warner_spatial_2019</w:t>
        </w:r>
      </w:hyperlink>
      <w:r>
        <w:t xml:space="preserve">;</w:t>
      </w:r>
      <w:r>
        <w:t xml:space="preserve"> </w:t>
      </w:r>
      <w:r>
        <w:t xml:space="preserve">Cook-Patton</w:t>
      </w:r>
      <w:r>
        <w:t xml:space="preserve"> </w:t>
      </w:r>
      <w:r>
        <w:rPr>
          <w:i/>
        </w:rPr>
        <w:t xml:space="preserve">et al</w:t>
      </w:r>
      <w:r>
        <w:t xml:space="preserve"> </w:t>
      </w:r>
      <w:r>
        <w:t xml:space="preserve">(2020)</w:t>
      </w:r>
      <w:r>
        <w:t xml:space="preserve">].</w:t>
      </w:r>
      <w:r>
        <w:t xml:space="preserve"> </w:t>
      </w:r>
      <w:r>
        <w:rPr>
          <w:i/>
        </w:rPr>
        <w:t xml:space="preserve">This approach can be particularly effective when paired with satellite data … (e.g., aboveground biomass: Saatchi et al 2011, Hu et al 2016, Spawn et al 2020, gross primary productivity, GPP: Li and Xiao 2019, ).</w:t>
      </w:r>
      <w:r>
        <w:t xml:space="preserve"> </w:t>
      </w:r>
      <w:r>
        <w:t xml:space="preserve">Any such analysis is however constrained by the quality and coverage of ground-based estimates of forest C fluxes or stocks.</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r>
          <m:t>W</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not only for understanding forest C cycling, but also for quantifying climate change mitigation across forest biomes or ecozones [e.g.,</w:t>
      </w:r>
      <w:r>
        <w:t xml:space="preserve"> </w:t>
      </w:r>
      <w:r>
        <w:rPr>
          <w:b/>
        </w:rPr>
        <w:t xml:space="preserve">REFS</w:t>
      </w:r>
      <w:r>
        <w:t xml:space="preserve">].</w:t>
      </w:r>
    </w:p>
    <w:bookmarkEnd w:id="25"/>
    <w:bookmarkStart w:id="28"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1b,d).</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is simplistic by current standards, the paper was foundational in framing the theory around which research on the subject still revolves</w:t>
      </w:r>
      <w:r>
        <w:t xml:space="preserve"> </w:t>
      </w:r>
      <w:r>
        <w:t xml:space="preserve">(Corman</w:t>
      </w:r>
      <w:r>
        <w:t xml:space="preserve"> </w:t>
      </w:r>
      <w:r>
        <w:rPr>
          <w:i/>
        </w:rPr>
        <w:t xml:space="preserve">et al</w:t>
      </w:r>
      <w:r>
        <w:t xml:space="preserve"> </w:t>
      </w:r>
      <w:r>
        <w:t xml:space="preserve">2019)</w:t>
      </w:r>
      <w:r>
        <w:t xml:space="preserve">, and the basic framework still holds, albeit with modest modifications</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t>−</m:t>
            </m:r>
            <m:r>
              <m:t>f</m:t>
            </m:r>
            <m:r>
              <m:t>i</m:t>
            </m:r>
            <m:r>
              <m:t>n</m:t>
            </m:r>
            <m:r>
              <m:t>e</m:t>
            </m:r>
          </m:sub>
        </m:sSub>
      </m:oMath>
      <w:r>
        <w:t xml:space="preserve">) increase rapidly and thereafter remain relatively stable (</w:t>
      </w:r>
      <m:oMath>
        <m:sSub>
          <m:e>
            <m:r>
              <m:t>B</m:t>
            </m:r>
          </m:e>
          <m:sub>
            <m:r>
              <m:t>f</m:t>
            </m:r>
            <m:r>
              <m:t>o</m:t>
            </m:r>
            <m:r>
              <m:t>l</m:t>
            </m:r>
            <m:r>
              <m:t>i</m:t>
            </m:r>
            <m:r>
              <m:t>a</m:t>
            </m:r>
            <m:r>
              <m:t>g</m:t>
            </m:r>
            <m:r>
              <m:t>e</m:t>
            </m:r>
          </m:sub>
        </m:sSub>
      </m:oMath>
      <w:r>
        <w:t xml:space="preserve">,</w:t>
      </w:r>
      <m:oMath>
        <m:sSub>
          <m:e>
            <m:r>
              <m:t>B</m:t>
            </m:r>
          </m:e>
          <m:sub>
            <m:r>
              <m:t>r</m:t>
            </m:r>
            <m:r>
              <m:t>o</m:t>
            </m:r>
            <m:r>
              <m:t>o</m:t>
            </m:r>
            <m:r>
              <m:t>t</m:t>
            </m:r>
            <m: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w:t>
      </w:r>
      <w:r>
        <w:t xml:space="preserve"> </w:t>
      </w:r>
      <w:r>
        <w:rPr>
          <w:i/>
        </w:rPr>
        <w:t xml:space="preserve">Goulden et al. 2011, …. refs in</w:t>
      </w:r>
      <w:r>
        <w:rPr>
          <w:i/>
        </w:rP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(DeLucia</w:t>
      </w:r>
      <w:r>
        <w:t xml:space="preserve"> </w:t>
      </w:r>
      <w:r>
        <w:rPr>
          <w:i/>
        </w:rPr>
        <w:t xml:space="preserve">et al</w:t>
      </w:r>
      <w:r>
        <w:t xml:space="preserve"> </w:t>
      </w:r>
      <w:r>
        <w:t xml:space="preserve">2007, Collalti</w:t>
      </w:r>
      <w:r>
        <w:t xml:space="preserve"> </w:t>
      </w:r>
      <w:r>
        <w:rPr>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t>−</m:t>
            </m:r>
            <m:r>
              <m:t>s</m:t>
            </m:r>
            <m:r>
              <m:t>o</m:t>
            </m:r>
            <m:r>
              <m:t>i</m:t>
            </m:r>
            <m:r>
              <m:t>l</m:t>
            </m:r>
          </m:sub>
        </m:sSub>
      </m:oMath>
      <w:r>
        <w:t xml:space="preserve">) remains relatively constant with stand age</w:t>
      </w:r>
      <w:r>
        <w:t xml:space="preserve"> </w:t>
      </w:r>
      <w:r>
        <w:rPr>
          <w:i/>
        </w:rPr>
        <w:t xml:space="preserve">[Law et al., 2003; Pregitzer &amp; Euskirchen, 2004; Goulden et al., 2011]</w:t>
      </w:r>
      <w:r>
        <w:t xml:space="preserve">, with the result that net ecosystem production (</w:t>
      </w:r>
      <m:oMath>
        <m:r>
          <m:t>N</m:t>
        </m:r>
        <m:r>
          <m:t>E</m:t>
        </m:r>
        <m:r>
          <m:t>P</m:t>
        </m:r>
        <m:r>
          <m:t>=</m:t>
        </m:r>
        <m:r>
          <m:t>G</m:t>
        </m:r>
        <m:r>
          <m:t>P</m:t>
        </m:r>
        <m:r>
          <m:t>P</m:t>
        </m:r>
        <m: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 thereafter</w:t>
      </w:r>
      <w:r>
        <w:t xml:space="preserve"> </w:t>
      </w:r>
      <w:r>
        <w:rPr>
          <w:i/>
        </w:rPr>
        <w:t xml:space="preserve">[Law et al., 2003; Pregitzer &amp; Euskirchen, 2004; Zhou et al., 2006; Baldocchi, 2008; Luyssaert et al., 2008; Amiro et al., 2010; Goulden et al., 2011]</w:t>
      </w:r>
      <w:r>
        <w:t xml:space="preserve">.</w:t>
      </w:r>
      <w:r>
        <w:t xml:space="preserve"> </w:t>
      </w:r>
      <w:r>
        <w:t xml:space="preserve">The result is that biomass accumulates rapidly in young forests, followed by a slow decline to near zero in old forests</w:t>
      </w:r>
      <w:r>
        <w:t xml:space="preserve"> </w:t>
      </w:r>
      <w:r>
        <w:rPr>
          <w:i/>
        </w:rPr>
        <w:t xml:space="preserve">[Lichstein et al., 2009; Yang et al., 2011;</w:t>
      </w:r>
      <w:r>
        <w:rPr>
          <w:i/>
        </w:rPr>
        <w:t xml:space="preserve"> </w:t>
      </w:r>
      <w:r>
        <w:rPr>
          <w:i/>
        </w:rPr>
        <w:t xml:space="preserve">Hember et al., 2012]</w:t>
      </w:r>
      <w:r>
        <w:t xml:space="preserve">.</w:t>
      </w:r>
      <w:r>
        <w:t xml:space="preserve"> </w:t>
      </w:r>
      <w:r>
        <w:t xml:space="preserve">While these trends have been subject of fairly recent review</w:t>
      </w:r>
      <w:r>
        <w:t xml:space="preserve"> </w:t>
      </w:r>
      <w:r>
        <w:t xml:space="preserve">(Anderson-Teixeira</w:t>
      </w:r>
      <w:r>
        <w:t xml:space="preserve"> </w:t>
      </w:r>
      <w:r>
        <w:rPr>
          <w:i/>
        </w:rPr>
        <w:t xml:space="preserve">et al</w:t>
      </w:r>
      <w:r>
        <w:t xml:space="preserve"> </w:t>
      </w:r>
      <w:r>
        <w:t xml:space="preserve">2013)</w:t>
      </w:r>
      <w:r>
        <w:t xml:space="preserve">,</w:t>
      </w:r>
      <w:r>
        <w:t xml:space="preserve"> </w:t>
      </w:r>
      <w:r>
        <w:rPr>
          <w:i/>
        </w:rPr>
        <w:t xml:space="preserve">there is need for a synthetic, quantitaitive review.</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6"/>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Here,</w:t>
      </w:r>
      <w:r>
        <w:t xml:space="preserve"> </w:t>
      </w:r>
      <m:oMath>
        <m:r>
          <m:t>N</m:t>
        </m:r>
        <m:r>
          <m:t>E</m:t>
        </m:r>
        <m:r>
          <m:t>P</m:t>
        </m:r>
      </m:oMath>
      <w:r>
        <w:t xml:space="preserve"> </w:t>
      </w:r>
      <w:r>
        <w:t xml:space="preserve">conists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t>.</m:t>
            </m:r>
            <m:r>
              <m:t>t</m:t>
            </m:r>
            <m:r>
              <m:t>u</m:t>
            </m:r>
            <m:r>
              <m:t>r</m:t>
            </m:r>
            <m:r>
              <m:t>n</m:t>
            </m:r>
            <m:r>
              <m:t>o</m:t>
            </m:r>
            <m:r>
              <m:t>v</m:t>
            </m:r>
            <m:r>
              <m:t>e</m:t>
            </m:r>
            <m:r>
              <m:t>r</m:t>
            </m:r>
          </m:sub>
        </m:sSub>
      </m:oMath>
      <w:r>
        <w:t xml:space="preserve"> </w:t>
      </w:r>
      <w:r>
        <w:t xml:space="preserve">is the sum of woody mortality and branch turnover.</w:t>
      </w:r>
    </w:p>
    <w:p>
      <w:pPr>
        <w:pStyle w:val="BodyText"/>
      </w:pPr>
      <w:r>
        <w:t xml:space="preserve">In the past several decades, researchers have started asking how age trends–mostly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vary across biomes.</w:t>
      </w:r>
      <w:r>
        <w:t xml:space="preserve"> </w:t>
      </w:r>
      <w:r>
        <w:t xml:space="preserve">Early research on this theme showed that biomass accumulation rates during secondary succession increase with temperature on a global scale</w:t>
      </w:r>
      <w:r>
        <w:t xml:space="preserve"> </w:t>
      </w:r>
      <w:r>
        <w:t xml:space="preserve">(</w:t>
      </w:r>
      <w:r>
        <w:rPr>
          <w:b/>
        </w:rPr>
        <w:t xml:space="preserve">REFS</w:t>
      </w:r>
      <w:r>
        <w:t xml:space="preserve">; Anderson</w:t>
      </w:r>
      <w:r>
        <w:t xml:space="preserve"> </w:t>
      </w:r>
      <w:r>
        <w:rPr>
          <w:i/>
        </w:rPr>
        <w:t xml:space="preserve">et al</w:t>
      </w:r>
      <w:r>
        <w:t xml:space="preserve"> </w:t>
      </w:r>
      <w:r>
        <w:t xml:space="preserve">2006)</w:t>
      </w:r>
      <w:r>
        <w:t xml:space="preserve"> </w:t>
      </w:r>
      <w:r>
        <w:t xml:space="preserve">and</w:t>
      </w:r>
      <w:r>
        <w:t xml:space="preserve"> </w:t>
      </w:r>
      <w:r>
        <w:rPr>
          <w:i/>
        </w:rPr>
        <w:t xml:space="preserve">with precipitation in the neotropics</w:t>
      </w:r>
      <w:r>
        <w:t xml:space="preserve"> </w:t>
      </w:r>
      <w:r>
        <w:t xml:space="preserve">(</w:t>
      </w:r>
      <w:r>
        <w:rPr>
          <w:b/>
        </w:rPr>
        <w:t xml:space="preserve">REFS</w:t>
      </w:r>
      <w:r>
        <w:t xml:space="preserve">; Chazdon</w:t>
      </w:r>
      <w:r>
        <w:t xml:space="preserve"> </w:t>
      </w:r>
      <w:r>
        <w:rPr>
          <w:i/>
        </w:rPr>
        <w:t xml:space="preserve">et al</w:t>
      </w:r>
      <w:r>
        <w:t xml:space="preserve"> </w:t>
      </w:r>
      <w:r>
        <w:t xml:space="preserve">2016)</w:t>
      </w:r>
      <w:r>
        <w:t xml:space="preserve">.</w:t>
      </w:r>
      <w:r>
        <w:t xml:space="preserve"> </w:t>
      </w:r>
      <w:r>
        <w:t xml:space="preserve">Most recently,</w:t>
      </w:r>
      <w:r>
        <w:t xml:space="preserve"> </w:t>
      </w:r>
      <w:r>
        <w:t xml:space="preserve">Cook-Patton</w:t>
      </w:r>
      <w:r>
        <w:t xml:space="preserve"> </w:t>
      </w:r>
      <w:r>
        <w:rPr>
          <w:i/>
        </w:rPr>
        <w:t xml:space="preserve">et al</w:t>
      </w:r>
      <w:r>
        <w:t xml:space="preserve"> </w:t>
      </w:r>
      <w:r>
        <w:t xml:space="preserve">(2020)</w:t>
      </w:r>
      <w:r>
        <w:t xml:space="preserve"> </w:t>
      </w:r>
      <w:r>
        <w:t xml:space="preserve">reinforced these earlier findings with a much larger dataset and crated a high-resolution global map of estimated potential C accumulation rates.</w:t>
      </w:r>
      <w:r>
        <w:t xml:space="preserve"> </w:t>
      </w:r>
      <w:r>
        <w:t xml:space="preserve">However, there has been little synthesis of cross-biome differences in variables other than biomass and its accumulation rate (but see</w:t>
      </w:r>
      <w:r>
        <w:t xml:space="preserve"> </w:t>
      </w:r>
      <w:r>
        <w:t xml:space="preserve">Cook-Patton</w:t>
      </w:r>
      <w:r>
        <w:t xml:space="preserve"> </w:t>
      </w:r>
      <w:r>
        <w:rPr>
          <w:i/>
        </w:rPr>
        <w:t xml:space="preserve">et al</w:t>
      </w:r>
      <w:r>
        <w:t xml:space="preserve"> </w:t>
      </w:r>
      <w:r>
        <w:t xml:space="preserve">(2020)</w:t>
      </w:r>
      <w:r>
        <w:t xml:space="preserve"> </w:t>
      </w:r>
      <w:r>
        <w:t xml:space="preserve">for</w:t>
      </w:r>
      <w:r>
        <w:t xml:space="preserve"> </w:t>
      </w:r>
      <m:oMath>
        <m:r>
          <m:t>D</m:t>
        </m:r>
        <m:r>
          <m:t>W</m:t>
        </m:r>
      </m:oMath>
      <w:r>
        <w:t xml:space="preserve">,</w:t>
      </w:r>
      <w:r>
        <w:t xml:space="preserve"> </w:t>
      </w:r>
      <m:oMath>
        <m:r>
          <m:t>O</m:t>
        </m:r>
        <m:r>
          <m:t>L</m:t>
        </m:r>
      </m:oMath>
      <w:r>
        <w:t xml:space="preserve">, and soil C accumulation in young stands).</w:t>
      </w:r>
      <w:r>
        <w:t xml:space="preserve"> </w:t>
      </w:r>
      <w:r>
        <w:t xml:space="preserve">Given the important role of secondary forests in the current and future global C cycle, concrete understanding of age trends in C fluxes and stocks and how these vary across biomes is critical to better understanding of the global C cycle.</w:t>
      </w:r>
      <w:r>
        <w:t xml:space="preserve"> </w:t>
      </w:r>
      <w:r>
        <w:t xml:space="preserve">Accurate estimates of C sequestration rates by regrowth forests are also critical for national greenhouse gas accounting under the IPCC framework [</w:t>
      </w:r>
      <w:r>
        <w:rPr>
          <w:b/>
        </w:rPr>
        <w:t xml:space="preserve">REFS</w:t>
      </w:r>
      <w:r>
        <w:t xml:space="preserve">] and to quantifying the value of regrwoth forests for climate change mitigation</w:t>
      </w:r>
      <w:r>
        <w:t xml:space="preserve"> </w:t>
      </w:r>
      <w:r>
        <w:t xml:space="preserve">(Anderson-Teixeira and DeLucia 2011, Goldstein</w:t>
      </w:r>
      <w:r>
        <w:t xml:space="preserve"> </w:t>
      </w:r>
      <w:r>
        <w:rPr>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primary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7"/>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w:t>
      </w:r>
    </w:p>
    <w:bookmarkEnd w:id="28"/>
    <w:bookmarkEnd w:id="29"/>
    <w:bookmarkStart w:id="32"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30">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 (</w:t>
      </w:r>
      <w:r>
        <w:rPr>
          <w:i/>
        </w:rPr>
        <w:t xml:space="preserve">e.g.</w:t>
      </w:r>
      <w:r>
        <w:t xml:space="preserve">, Anderson et al 2006, Martin et al 2013, Bonner et al 2013) 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added the following data to ForC: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Johnson</w:t>
      </w:r>
      <w:r>
        <w:t xml:space="preserve"> </w:t>
      </w:r>
      <w:r>
        <w:rPr>
          <w:i/>
        </w:rPr>
        <w:t xml:space="preserve">et al</w:t>
      </w:r>
      <w:r>
        <w:t xml:space="preserve"> </w:t>
      </w:r>
      <w:r>
        <w:t xml:space="preserve">2018)</w:t>
      </w:r>
      <w:r>
        <w:t xml:space="preserve">.</w:t>
      </w:r>
      <w:r>
        <w:t xml:space="preserve"> </w:t>
      </w:r>
      <w:r>
        <w:t xml:space="preserve">The database version used for this analysis has been tagged as a new release on Github (v3.0) and assigned a DOI through Zenodo (DOI: TBD).</w:t>
      </w:r>
    </w:p>
    <w:p>
      <w:pPr>
        <w:pStyle w:val="BodyText"/>
      </w:pPr>
      <w:r>
        <w:t xml:space="preserve">To facilitate analyses, we created a simplified version of ForC,</w:t>
      </w:r>
      <w:r>
        <w:t xml:space="preserve"> </w:t>
      </w:r>
      <w:r>
        <w:rPr>
          <w:i/>
        </w:rPr>
        <w:t xml:space="preserve">ForC-simplified</w:t>
      </w:r>
      <w:r>
        <w:t xml:space="preserve"> </w:t>
      </w:r>
      <w:r>
        <w:t xml:space="preserve">(</w:t>
      </w:r>
      <w:hyperlink r:id="rId31">
        <w:r>
          <w:rPr>
            <w:rStyle w:val="Hyperlink"/>
          </w:rPr>
          <w:t xml:space="preserve">https://github.com/forc-db/ForC/blob/master/ForC_simplified</w:t>
        </w:r>
      </w:hyperlink>
      <w:r>
        <w:t xml:space="preserve">), which we analyzed here.</w:t>
      </w:r>
      <w:r>
        <w:t xml:space="preserve"> </w:t>
      </w:r>
      <w:r>
        <w:t xml:space="preserve">In generating</w:t>
      </w:r>
      <w:r>
        <w:t xml:space="preserve"> </w:t>
      </w:r>
      <w:r>
        <w:rPr>
          <w:i/>
        </w:rPr>
        <w:t xml:space="preserve">ForC-simplified</w:t>
      </w:r>
      <w:r>
        <w:t xml:space="preserve">, 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reconciled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all plots flagged as managed in ForC-simplified (13.9%).</w:t>
      </w:r>
      <w:r>
        <w:t xml:space="preserve"> </w:t>
      </w:r>
      <w:r>
        <w:t xml:space="preserve">This included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w:t>
      </w:r>
      <w:r>
        <w:t xml:space="preserve"> </w:t>
      </w:r>
      <w:r>
        <w:t xml:space="preserve">Plots flagged as disturbed in ForC-simplified (5.6%) included stands that had undergone any notable anthropogenic thinning or partial harvest.</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w:t>
      </w:r>
      <m:oMath>
        <m:sSub>
          <m:e>
            <m:r>
              <m:t>R</m:t>
            </m:r>
          </m:e>
          <m:sub>
            <m:r>
              <m:t>h</m:t>
            </m:r>
            <m:r>
              <m:t>e</m:t>
            </m:r>
            <m:r>
              <m:t>t</m:t>
            </m:r>
            <m:r>
              <m:t>−</m:t>
            </m:r>
            <m:r>
              <m:t>a</m:t>
            </m:r>
            <m:r>
              <m:t>g</m:t>
            </m:r>
          </m:sub>
        </m:sSub>
      </m:oMath>
      <w:r>
        <w:t xml:space="preserve">) and total (</w:t>
      </w:r>
      <m:oMath>
        <m:sSub>
          <m:e>
            <m:r>
              <m:t>R</m:t>
            </m:r>
          </m:e>
          <m:sub>
            <m:r>
              <m:t>h</m:t>
            </m:r>
            <m:r>
              <m:t>e</m:t>
            </m:r>
            <m:r>
              <m:t>t</m:t>
            </m:r>
          </m:sub>
        </m:sSub>
      </m:oMath>
      <w:r>
        <w:t xml:space="preserve">) respiration,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the minimum diameter breast height (DBH) threshold for tree census was</w:t>
      </w:r>
      <w:r>
        <w:t xml:space="preserve"> </w:t>
      </w:r>
      <m:oMath>
        <m:r>
          <m:t>≤</m:t>
        </m:r>
      </m:oMath>
      <w:r>
        <w:t xml:space="preserve"> </w:t>
      </w:r>
      <w:r>
        <w:t xml:space="preserve">10cm.</w:t>
      </w:r>
      <w:r>
        <w:t xml:space="preserve"> </w:t>
      </w:r>
      <w:r>
        <w:t xml:space="preserve">All records were measured directly or derived from field measurements (as opposed to modeled).</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was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across the eight biome by age group combinations identified above.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(Team 2020)</w:t>
      </w:r>
      <w:r>
        <w:t xml:space="preserve">.</w:t>
      </w:r>
    </w:p>
    <w:bookmarkEnd w:id="32"/>
    <w:bookmarkStart w:id="46" w:name="review-results-synthesis"/>
    <w:p>
      <w:pPr>
        <w:pStyle w:val="Heading2"/>
      </w:pPr>
      <w:r>
        <w:t xml:space="preserve">Review Results/ Synthesis</w:t>
      </w:r>
    </w:p>
    <w:bookmarkStart w:id="33"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3"/>
    <w:bookmarkStart w:id="40"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were generally consistent.</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4"/>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5"/>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6"/>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BodyText"/>
      </w:pPr>
      <w:r>
        <w:drawing>
          <wp:inline>
            <wp:extent cx="5334000" cy="3657918"/>
            <wp:effectExtent b="0" l="0" r="0" t="0"/>
            <wp:docPr descr="Figure 6 | C cycle diagram for mature bore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7"/>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mature forest biome differences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876800" cy="4572000"/>
            <wp:effectExtent b="0" l="0" r="0" t="0"/>
            <wp:docPr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8"/>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For three variables that had been disproportionately sampled in the high-biomass forests of the US Pacific Northwest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temperate conifer forests had significantly higher stocks than the other biomes, which were not significantly different from one another.</w:t>
      </w:r>
    </w:p>
    <w:p>
      <w:pPr>
        <w:pStyle w:val="CaptionedFigure"/>
      </w:pPr>
      <w:r>
        <w:drawing>
          <wp:inline>
            <wp:extent cx="4876800" cy="4572000"/>
            <wp:effectExtent b="0" l="0" r="0" t="0"/>
            <wp:docPr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9"/>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bookmarkEnd w:id="40"/>
    <w:bookmarkStart w:id="45" w:name="c-cycling-in-young-forests"/>
    <w:p>
      <w:pPr>
        <w:pStyle w:val="Heading3"/>
      </w:pPr>
      <w:r>
        <w:t xml:space="preserve">C cycling in young forests</w:t>
      </w:r>
    </w:p>
    <w:p>
      <w:pPr>
        <w:pStyle w:val="FirstParagraph"/>
      </w:pPr>
      <w:r>
        <w:t xml:space="preserve">C fluxes commonly increased significantly with stand age (Tables 1, S2, Figs. 7, 9-12, S5-S30).</w:t>
      </w:r>
      <w:r>
        <w:t xml:space="preserve"> </w:t>
      </w:r>
      <w:r>
        <w:rPr>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t>[</m:t>
        </m:r>
        <m:r>
          <m:t>a</m:t>
        </m:r>
        <m:r>
          <m:t>g</m:t>
        </m:r>
        <m:r>
          <m:t>e</m:t>
        </m:r>
        <m: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-–displayed no significant relationship to stand age.</w:t>
      </w:r>
    </w:p>
    <w:p>
      <w:pPr>
        <w:pStyle w:val="CaptionedFigure"/>
      </w:pPr>
      <w:r>
        <w:drawing>
          <wp:inline>
            <wp:extent cx="5334000" cy="4001071"/>
            <wp:effectExtent b="0" l="0" r="0" t="0"/>
            <wp:docPr descr="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auto}-R{root}, where R_{auto}=NPP(1/CUE-1), where CUE=0.46 (Collati et al. 2020); ANPP_{woody}=max(0,ANPP-ANPP_{foliage}); B_{ag-wood}=max(0,B_{ag}-B_{foliage}); B_{root-coarse}=max(0,B_{root}-B_{root-fine}); DW_{standing}=max(0, DW_{tot}-DW_{down})." title="" id="1" name="Picture"/>
            <a:graphic>
              <a:graphicData uri="http://schemas.openxmlformats.org/drawingml/2006/picture">
                <pic:pic>
                  <pic:nvPicPr>
                    <pic:cNvPr descr="tables_figures/stacked_age_trends/TrB_age_trends.png" id="0" name="Picture"/>
                    <pic:cNvPicPr>
                      <a:picLocks noChangeArrowheads="1" noChangeAspect="1"/>
                    </pic:cNvPicPr>
                  </pic:nvPicPr>
                  <pic:blipFill>
                    <a:blip r:embed="rId41"/>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a</m:t>
            </m:r>
            <m:r>
              <m:t>u</m:t>
            </m:r>
            <m:r>
              <m:t>t</m:t>
            </m:r>
            <m:r>
              <m:t>o</m:t>
            </m:r>
          </m:sub>
        </m:sSub>
        <m:r>
          <m:t>−</m:t>
        </m:r>
        <m:r>
          <m:t>R</m:t>
        </m:r>
        <m:r>
          <m:t>r</m:t>
        </m:r>
        <m:r>
          <m:t>o</m:t>
        </m:r>
        <m:r>
          <m:t>o</m:t>
        </m:r>
        <m:r>
          <m:t>t</m:t>
        </m:r>
      </m:oMath>
      <w:r>
        <w:t xml:space="preserve">, where</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where</w:t>
      </w:r>
      <w:r>
        <w:t xml:space="preserve"> </w:t>
      </w:r>
      <m:oMath>
        <m:r>
          <m:t>C</m:t>
        </m:r>
        <m:r>
          <m:t>U</m:t>
        </m:r>
        <m:r>
          <m:t>E</m:t>
        </m:r>
      </m:oMath>
      <w:r>
        <w:t xml:space="preserve">=0.46 (Collati et al. 2020);</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B_age_trends.png" id="0" name="Picture"/>
                    <pic:cNvPicPr>
                      <a:picLocks noChangeArrowheads="1" noChangeAspect="1"/>
                    </pic:cNvPicPr>
                  </pic:nvPicPr>
                  <pic:blipFill>
                    <a:blip r:embed="rId42"/>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N_age_trends.png" id="0" name="Picture"/>
                    <pic:cNvPicPr>
                      <a:picLocks noChangeArrowheads="1" noChangeAspect="1"/>
                    </pic:cNvPicPr>
                  </pic:nvPicPr>
                  <pic:blipFill>
                    <a:blip r:embed="rId43"/>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BoN_age_trends.png" id="0" name="Picture"/>
                    <pic:cNvPicPr>
                      <a:picLocks noChangeArrowheads="1" noChangeAspect="1"/>
                    </pic:cNvPicPr>
                  </pic:nvPicPr>
                  <pic:blipFill>
                    <a:blip r:embed="rId44"/>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similar flux rates than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9-12).</w:t>
      </w:r>
      <w:r>
        <w:t xml:space="preserve"> </w:t>
      </w:r>
      <w:r>
        <w:t xml:space="preserve">Summed regression equations for</w:t>
      </w:r>
      <w:r>
        <w:t xml:space="preserve"> </w:t>
      </w:r>
      <m:oMath>
        <m:sSub>
          <m:e>
            <m:r>
              <m:t>R</m:t>
            </m:r>
          </m:e>
          <m:sub>
            <m:r>
              <m:t>s</m:t>
            </m:r>
            <m:r>
              <m:t>o</m:t>
            </m:r>
            <m:r>
              <m:t>i</m:t>
            </m:r>
            <m:r>
              <m:t>l</m:t>
            </m:r>
            <m: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We calculated</w:t>
      </w:r>
      <w:r>
        <w:t xml:space="preserve"> </w:t>
      </w:r>
      <m:oMath>
        <m:sSub>
          <m:e>
            <m:r>
              <m:t>R</m:t>
            </m:r>
          </m:e>
          <m:sub>
            <m:r>
              <m:t>a</m:t>
            </m:r>
            <m:r>
              <m:t>u</m:t>
            </m:r>
            <m:r>
              <m:t>t</m:t>
            </m:r>
            <m:r>
              <m:t>o</m:t>
            </m:r>
            <m: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9-12).</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t>+</m:t>
        </m:r>
        <m:sSub>
          <m:e>
            <m:r>
              <m:t>R</m:t>
            </m:r>
          </m:e>
          <m:sub>
            <m:r>
              <m:t>a</m:t>
            </m:r>
            <m:r>
              <m:t>u</m:t>
            </m:r>
            <m:r>
              <m:t>t</m:t>
            </m:r>
            <m:r>
              <m:t>o</m:t>
            </m:r>
            <m: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9-12).</w:t>
      </w:r>
      <w:r>
        <w:t xml:space="preserve"> </w:t>
      </w:r>
      <w:r>
        <w:t xml:space="preserve">ALthough age trends of young forests often converged towards mature forest averages, there were also some discrepancies between young forest trends and mature forest averages (Figs. 7, 9-12, S5-S30), most notably including a tendency for higher fluxes in regrowth boreal forests than in their mature counterparts (Fig. 12).</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There were sufficient data to model 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r>
        <w:t xml:space="preserve"> </w:t>
      </w:r>
      <w:r>
        <w:t xml:space="preserve">Again, there were some discrepencies between young forest trends and mature forests, most notably including generally higher C stocks in mature forests relative to their 100-year counterparts, particularly for temperate conifer forests (</w:t>
      </w:r>
      <w:r>
        <w:rPr>
          <w:i/>
        </w:rPr>
        <w:t xml:space="preserve">again, likely a geographic representation issue?</w:t>
      </w:r>
      <w:r>
        <w:t xml:space="preserve">) and, to a lesser extent, tropical broadleaf forests.</w:t>
      </w:r>
    </w:p>
    <w:p>
      <w:r>
        <w:br w:type="page"/>
      </w:r>
    </w:p>
    <w:bookmarkEnd w:id="45"/>
    <w:bookmarkEnd w:id="46"/>
    <w:bookmarkStart w:id="53"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increased from boreal to tropical regions and with stand age.</w:t>
      </w:r>
      <w:r>
        <w:t xml:space="preserve"> </w:t>
      </w:r>
      <w:r>
        <w:t xml:space="preserve">Specifically, the major C fluxes were highest in tropical forests, intermediate in temperate (broadleaf or conifer) forests, and lowest in boreal forests – a pattern that generally held for regrowth as well as mature forests (Figs. 7- 8).</w:t>
      </w:r>
      <w:r>
        <w:t xml:space="preserve"> </w:t>
      </w:r>
      <w:r>
        <w:t xml:space="preserve">In contrast to C fluxes, there was little directional variation in mature forest C stocks across biomes (Figs. 2-5, 8).</w:t>
      </w:r>
      <w:r>
        <w:t xml:space="preserve"> </w:t>
      </w:r>
      <w:r>
        <w:t xml:space="preserve">The majority of flux variables, together with most live biomass pools, increased significantly with stand age (Table 1; Figs. 7- 12,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are correlated with a different set of factors.</w:t>
      </w:r>
      <w:r>
        <w:t xml:space="preserve"> </w:t>
      </w:r>
      <w:r>
        <w:t xml:space="preserve">Together, these results refine and expand out understanding of C cycling in mature forests, while providing the first global-scale analysis of age trends in multiple forest C cycling stocks and fluxes (Figs. 9-12).</w:t>
      </w:r>
    </w:p>
    <w:bookmarkStart w:id="47" w:name="c-variable-coverage-and-budget-closure"/>
    <w:p>
      <w:pPr>
        <w:pStyle w:val="Heading3"/>
      </w:pPr>
      <w:r>
        <w:t xml:space="preserve">C variable coverage and budget closure</w:t>
      </w:r>
    </w:p>
    <w:p>
      <w:pPr>
        <w:pStyle w:val="FirstParagraph"/>
      </w:pPr>
      <w:r>
        <w:t xml:space="preserve">The large number of C cycle variables covered by ForC, and the general consistency among them, provide confidence that our overall reported mature forest means provide accurate and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Nonetheless, the lack of closure, in the one instance where it occurs, is probably more reflective of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than of methodological accuracy.</w:t>
      </w:r>
      <w:r>
        <w:t xml:space="preserve"> </w:t>
      </w:r>
      <w:r>
        <w:t xml:space="preserve">The overall high degree of closure implies that</w:t>
      </w:r>
      <w:r>
        <w:t xml:space="preserve"> </w:t>
      </w:r>
      <w:r>
        <w:rPr>
          <w:i/>
        </w:rPr>
        <w:t xml:space="preserve">ForC</w:t>
      </w:r>
      <w:r>
        <w:t xml:space="preserve"> </w:t>
      </w:r>
      <w:r>
        <w:t xml:space="preserve">gives a consistent picture of C cycling within biomes for mature forests.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p>
      <w:pPr>
        <w:pStyle w:val="BodyText"/>
      </w:pPr>
      <w:r>
        <w:t xml:space="preserve">In contrast, age trends for young forests generally remain less clearly defined, in large part because their data records remain somewhat sparse for most variables (</w:t>
      </w:r>
      <w:r>
        <w:rPr>
          <w:i/>
        </w:rPr>
        <w:t xml:space="preserve">i.e.</w:t>
      </w:r>
      <w:r>
        <w:t xml:space="preserve">, have low representation of different geographical regions for any given age).</w:t>
      </w:r>
      <w:r>
        <w:t xml:space="preserve"> </w:t>
      </w:r>
      <w:r>
        <w:t xml:space="preserve">While this analysis provides a first analysis of age trends in forest C cycling for multiple variables at a global scale, improved resolution of these trends will require additional data.</w:t>
      </w:r>
    </w:p>
    <w:bookmarkEnd w:id="47"/>
    <w:bookmarkStart w:id="48"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t>
      </w:r>
      <w:r>
        <w:t xml:space="preserve">(Fig. 7), which showed no significant differences across biomes.</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biomass can be remotely sensed 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8"/>
    <w:bookmarkStart w:id="49" w:name="age-trends-in-c-cycling"/>
    <w:p>
      <w:pPr>
        <w:pStyle w:val="Heading3"/>
      </w:pPr>
      <w:r>
        <w:t xml:space="preserve">Age trends in C cycling</w:t>
      </w:r>
    </w:p>
    <w:p>
      <w:pPr>
        <w:pStyle w:val="FirstParagraph"/>
      </w:pPr>
      <w:r>
        <w:t xml:space="preserve">Our study reveals that most C fluxes quickly increase to a plateau as stands age (Figs. 7, 9-12), consistent with current understanding of age trends in forest C cycling</w:t>
      </w:r>
      <w:r>
        <w:t xml:space="preserve"> </w:t>
      </w:r>
      <w:r>
        <w:t xml:space="preserve">(Fig. 1; 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9"/>
    <w:bookmarkStart w:id="50"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are well suited for this task.</w:t>
      </w:r>
      <w:r>
        <w:t xml:space="preserve"> </w:t>
      </w:r>
      <w:r>
        <w:t xml:space="preserve">Note, however, that factors such as stand age and disturbance history are difficult, if 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50"/>
    <w:bookmarkStart w:id="51"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51"/>
    <w:bookmarkStart w:id="52" w:name="citations-to-add"/>
    <w:p>
      <w:pPr>
        <w:pStyle w:val="Heading3"/>
      </w:pPr>
      <w:r>
        <w:t xml:space="preserve">Citations to add</w:t>
      </w:r>
    </w:p>
    <w:p>
      <w:pPr>
        <w:pStyle w:val="FirstParagraph"/>
      </w:pPr>
      <w:r>
        <w:t xml:space="preserve">Harris</w:t>
      </w:r>
      <w:r>
        <w:t xml:space="preserve"> </w:t>
      </w:r>
      <w:r>
        <w:rPr>
          <w:i/>
        </w:rPr>
        <w:t xml:space="preserve">et al</w:t>
      </w:r>
      <w:r>
        <w:t xml:space="preserve"> </w:t>
      </w:r>
      <w:r>
        <w:t xml:space="preserve">(2021)</w:t>
      </w:r>
    </w:p>
    <w:bookmarkEnd w:id="52"/>
    <w:bookmarkEnd w:id="53"/>
    <w:bookmarkStart w:id="54"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54"/>
    <w:bookmarkStart w:id="55"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30">
        <w:r>
          <w:rPr>
            <w:rStyle w:val="Hyperlink"/>
          </w:rPr>
          <w:t xml:space="preserve">https://github.com/forc-db/ForC</w:t>
        </w:r>
      </w:hyperlink>
      <w:r>
        <w:t xml:space="preserve">), where many will be updated as the database develops.</w:t>
      </w:r>
    </w:p>
    <w:bookmarkEnd w:id="55"/>
    <w:bookmarkStart w:id="167" w:name="references"/>
    <w:p>
      <w:pPr>
        <w:pStyle w:val="Heading2"/>
      </w:pPr>
      <w:r>
        <w:t xml:space="preserve">References</w:t>
      </w:r>
    </w:p>
    <w:bookmarkStart w:id="166" w:name="refs"/>
    <w:bookmarkStart w:id="56"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6"/>
    <w:bookmarkStart w:id="57"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7"/>
    <w:bookmarkStart w:id="58"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8"/>
    <w:bookmarkStart w:id="59"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9"/>
    <w:bookmarkStart w:id="60"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60"/>
    <w:bookmarkStart w:id="61" w:name="ref-anderson-teixeira_forc-dbgroa_2020"/>
    <w:p>
      <w:pPr>
        <w:pStyle w:val="Bibliography"/>
      </w:pPr>
      <w:r>
        <w:t xml:space="preserve">Anderson-Teixeira K, Herrmann V, CookPatton, Ferson A and Lister K 2020 Forc-db/GROA: Release with Cook-Patton et al. 2020, Nature.</w:t>
      </w:r>
    </w:p>
    <w:bookmarkEnd w:id="61"/>
    <w:bookmarkStart w:id="62"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62"/>
    <w:bookmarkStart w:id="63"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63"/>
    <w:bookmarkStart w:id="64"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4"/>
    <w:bookmarkStart w:id="65"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5"/>
    <w:bookmarkStart w:id="66"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6"/>
    <w:bookmarkStart w:id="67"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7"/>
    <w:bookmarkStart w:id="68"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8"/>
    <w:bookmarkStart w:id="69"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9"/>
    <w:bookmarkStart w:id="70"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70"/>
    <w:bookmarkStart w:id="71"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71"/>
    <w:bookmarkStart w:id="72"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72"/>
    <w:bookmarkStart w:id="73"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73"/>
    <w:bookmarkStart w:id="74"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4"/>
    <w:bookmarkStart w:id="75"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5"/>
    <w:bookmarkStart w:id="76"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6"/>
    <w:bookmarkStart w:id="77"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7"/>
    <w:bookmarkStart w:id="78"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8"/>
    <w:bookmarkStart w:id="79"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9"/>
    <w:bookmarkStart w:id="80"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80"/>
    <w:bookmarkStart w:id="81"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81"/>
    <w:bookmarkStart w:id="82"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82"/>
    <w:bookmarkStart w:id="83"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3"/>
    <w:bookmarkStart w:id="84"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4"/>
    <w:bookmarkStart w:id="85"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85"/>
    <w:bookmarkStart w:id="86" w:name="ref-chojnacky_updated_2014"/>
    <w:p>
      <w:pPr>
        <w:pStyle w:val="Bibliography"/>
      </w:pPr>
      <w:r>
        <w:t xml:space="preserve">Chojnacky D C, Heath L S and Jenkins J C 2014 Updated generalized biomass equations for North American tree species</w:t>
      </w:r>
      <w:r>
        <w:t xml:space="preserve"> </w:t>
      </w:r>
      <w:r>
        <w:rPr>
          <w:i/>
        </w:rPr>
        <w:t xml:space="preserve">Forestry</w:t>
      </w:r>
      <w:r>
        <w:t xml:space="preserve"> </w:t>
      </w:r>
      <w:r>
        <w:rPr>
          <w:b/>
        </w:rPr>
        <w:t xml:space="preserve">87</w:t>
      </w:r>
      <w:r>
        <w:t xml:space="preserve"> </w:t>
      </w:r>
      <w:r>
        <w:t xml:space="preserve">129–51</w:t>
      </w:r>
    </w:p>
    <w:bookmarkEnd w:id="86"/>
    <w:bookmarkStart w:id="87"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7"/>
    <w:bookmarkStart w:id="88"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
        </w:rPr>
        <w:t xml:space="preserve">Nature Communications</w:t>
      </w:r>
      <w:r>
        <w:t xml:space="preserve"> </w:t>
      </w:r>
      <w:r>
        <w:rPr>
          <w:b/>
        </w:rPr>
        <w:t xml:space="preserve">11</w:t>
      </w:r>
      <w:r>
        <w:t xml:space="preserve"> </w:t>
      </w:r>
      <w:r>
        <w:t xml:space="preserve">5322</w:t>
      </w:r>
    </w:p>
    <w:bookmarkEnd w:id="88"/>
    <w:bookmarkStart w:id="89"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9"/>
    <w:bookmarkStart w:id="90"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90"/>
    <w:bookmarkStart w:id="91"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91"/>
    <w:bookmarkStart w:id="92"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92"/>
    <w:bookmarkStart w:id="93" w:name="ref-curtis_forest_2018"/>
    <w:p>
      <w:pPr>
        <w:pStyle w:val="Bibliography"/>
      </w:pPr>
      <w:r>
        <w:t xml:space="preserve">Curtis P S and Gough C M 2018 Forest aging, disturbance and the carbon cycle</w:t>
      </w:r>
      <w:r>
        <w:t xml:space="preserve"> </w:t>
      </w:r>
      <w:r>
        <w:rPr>
          <w:i/>
        </w:rPr>
        <w:t xml:space="preserve">New Phytologist</w:t>
      </w:r>
    </w:p>
    <w:bookmarkEnd w:id="93"/>
    <w:bookmarkStart w:id="94"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4"/>
    <w:bookmarkStart w:id="95" w:name="ref-delucia_forest_2007"/>
    <w:p>
      <w:pPr>
        <w:pStyle w:val="Bibliography"/>
      </w:pPr>
      <w:r>
        <w:t xml:space="preserve">DeLucia E H, Drake J, Thomas R B and Gonzalez-Meler M A 2007 Forest carbon use efficiency: Is respiration a constant fraction of gross primary production?</w:t>
      </w:r>
      <w:r>
        <w:t xml:space="preserve"> </w:t>
      </w:r>
      <w:r>
        <w:rPr>
          <w:i/>
        </w:rPr>
        <w:t xml:space="preserve">Global Change Biology</w:t>
      </w:r>
      <w:r>
        <w:t xml:space="preserve"> </w:t>
      </w:r>
      <w:r>
        <w:rPr>
          <w:b/>
        </w:rPr>
        <w:t xml:space="preserve">13</w:t>
      </w:r>
      <w:r>
        <w:t xml:space="preserve"> </w:t>
      </w:r>
      <w:r>
        <w:t xml:space="preserve">1157–67</w:t>
      </w:r>
    </w:p>
    <w:bookmarkEnd w:id="95"/>
    <w:bookmarkStart w:id="96"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6"/>
    <w:bookmarkStart w:id="97"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7"/>
    <w:bookmarkStart w:id="98"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8"/>
    <w:bookmarkStart w:id="99"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9"/>
    <w:bookmarkStart w:id="100"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100"/>
    <w:bookmarkStart w:id="101"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101"/>
    <w:bookmarkStart w:id="102"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102"/>
    <w:bookmarkStart w:id="103"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103"/>
    <w:bookmarkStart w:id="104"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4"/>
    <w:bookmarkStart w:id="105"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5"/>
    <w:bookmarkStart w:id="106"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6"/>
    <w:bookmarkStart w:id="107"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7"/>
    <w:bookmarkStart w:id="108" w:name="ref-harmon_ecology_1986"/>
    <w:p>
      <w:pPr>
        <w:pStyle w:val="Bibliography"/>
      </w:pPr>
      <w:r>
        <w:t xml:space="preserve">Harmon M E, Franklin J F, Swanson F J, Sollins P, Gregory S V, Lattin J D, Anderson N H, Cline S P, Aumen N G, Sedell J R, Lienkaemper G W, Cromack K and Cummins K W 1986 Ecology of Coarse Woody Debris in Temperate Ecosystems</w:t>
      </w:r>
      <w:r>
        <w:t xml:space="preserve"> </w:t>
      </w:r>
      <w:r>
        <w:rPr>
          <w:i/>
        </w:rPr>
        <w:t xml:space="preserve">Advances in Ecological Research</w:t>
      </w:r>
      <w:r>
        <w:t xml:space="preserve"> </w:t>
      </w:r>
      <w:r>
        <w:t xml:space="preserve">vol 15, ed A MacFadyen and E D Ford (Academic Press) pp 133–302</w:t>
      </w:r>
    </w:p>
    <w:bookmarkEnd w:id="108"/>
    <w:bookmarkStart w:id="109"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
        </w:rPr>
        <w:t xml:space="preserve">Nature Climate Change</w:t>
      </w:r>
      <w:r>
        <w:t xml:space="preserve"> </w:t>
      </w:r>
      <w:r>
        <w:t xml:space="preserve">1–7</w:t>
      </w:r>
    </w:p>
    <w:bookmarkEnd w:id="109"/>
    <w:bookmarkStart w:id="110" w:name="ref-holdridge_determination_1947"/>
    <w:p>
      <w:pPr>
        <w:pStyle w:val="Bibliography"/>
      </w:pPr>
      <w:r>
        <w:t xml:space="preserve">Holdridge L R 1947 Determination of World Plant Formations From Simple Climatic Data</w:t>
      </w:r>
      <w:r>
        <w:t xml:space="preserve"> </w:t>
      </w:r>
      <w:r>
        <w:rPr>
          <w:i/>
        </w:rPr>
        <w:t xml:space="preserve">Science</w:t>
      </w:r>
      <w:r>
        <w:t xml:space="preserve"> </w:t>
      </w:r>
      <w:r>
        <w:rPr>
          <w:b/>
        </w:rPr>
        <w:t xml:space="preserve">105</w:t>
      </w:r>
      <w:r>
        <w:t xml:space="preserve"> </w:t>
      </w:r>
      <w:r>
        <w:t xml:space="preserve">367–8</w:t>
      </w:r>
    </w:p>
    <w:bookmarkEnd w:id="110"/>
    <w:bookmarkStart w:id="111"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11"/>
    <w:bookmarkStart w:id="112"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12"/>
    <w:bookmarkStart w:id="113" w:name="ref-humboldt_essay_1807"/>
    <w:p>
      <w:pPr>
        <w:pStyle w:val="Bibliography"/>
      </w:pPr>
      <w:r>
        <w:t xml:space="preserve">Humboldt A von and Bonpland A 1807</w:t>
      </w:r>
      <w:r>
        <w:t xml:space="preserve"> </w:t>
      </w:r>
      <w:r>
        <w:rPr>
          <w:i/>
        </w:rPr>
        <w:t xml:space="preserve">Essay on the Geography of Plants</w:t>
      </w:r>
    </w:p>
    <w:bookmarkEnd w:id="113"/>
    <w:bookmarkStart w:id="114" w:name="ref-hursh_sensitivity_2017"/>
    <w:p>
      <w:pPr>
        <w:pStyle w:val="Bibliography"/>
      </w:pPr>
      <w:r>
        <w:t xml:space="preserve">Hursh A, Ballantyne A, Cooper L, Maneta M, Kimball J and Watts J 2017 The sensitivity of soil respiration to soil temperature, moisture, and carbon supply at the global scale</w:t>
      </w:r>
      <w:r>
        <w:t xml:space="preserve"> </w:t>
      </w:r>
      <w:r>
        <w:rPr>
          <w:i/>
        </w:rPr>
        <w:t xml:space="preserve">Global Change Biology</w:t>
      </w:r>
      <w:r>
        <w:t xml:space="preserve"> </w:t>
      </w:r>
      <w:r>
        <w:rPr>
          <w:b/>
        </w:rPr>
        <w:t xml:space="preserve">23</w:t>
      </w:r>
      <w:r>
        <w:t xml:space="preserve"> </w:t>
      </w:r>
      <w:r>
        <w:t xml:space="preserve">2090–103</w:t>
      </w:r>
    </w:p>
    <w:bookmarkEnd w:id="114"/>
    <w:bookmarkStart w:id="115" w:name="ref-ipcc_2019_2019"/>
    <w:p>
      <w:pPr>
        <w:pStyle w:val="Bibliography"/>
      </w:pPr>
      <w:r>
        <w:t xml:space="preserve">IPCC 2019</w:t>
      </w:r>
      <w:r>
        <w:t xml:space="preserve"> </w:t>
      </w:r>
      <w:r>
        <w:rPr>
          <w:i/>
        </w:rPr>
        <w:t xml:space="preserve">2019 Refinement to the 2006 IPCC Guidelines for National Greenhouse Gas Inventories</w:t>
      </w:r>
    </w:p>
    <w:bookmarkEnd w:id="115"/>
    <w:bookmarkStart w:id="116"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16"/>
    <w:bookmarkStart w:id="117"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17"/>
    <w:bookmarkStart w:id="118"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18"/>
    <w:bookmarkStart w:id="119"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19"/>
    <w:bookmarkStart w:id="120"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20"/>
    <w:bookmarkStart w:id="121"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21"/>
    <w:bookmarkStart w:id="122"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22"/>
    <w:bookmarkStart w:id="123"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23"/>
    <w:bookmarkStart w:id="124" w:name="ref-kuzyakov_sources_2006"/>
    <w:p>
      <w:pPr>
        <w:pStyle w:val="Bibliography"/>
      </w:pPr>
      <w:r>
        <w:t xml:space="preserve">Kuzyakov Y 2006 Sources of CO2 efflux from soil and review of partitioning methods</w:t>
      </w:r>
      <w:r>
        <w:t xml:space="preserve"> </w:t>
      </w:r>
      <w:r>
        <w:rPr>
          <w:i/>
        </w:rPr>
        <w:t xml:space="preserve">Soil Biology and Biochemistry</w:t>
      </w:r>
      <w:r>
        <w:t xml:space="preserve"> </w:t>
      </w:r>
      <w:r>
        <w:rPr>
          <w:b/>
        </w:rPr>
        <w:t xml:space="preserve">38</w:t>
      </w:r>
      <w:r>
        <w:t xml:space="preserve"> </w:t>
      </w:r>
      <w:r>
        <w:t xml:space="preserve">425–48</w:t>
      </w:r>
    </w:p>
    <w:bookmarkEnd w:id="124"/>
    <w:bookmarkStart w:id="125"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25"/>
    <w:bookmarkStart w:id="126"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26"/>
    <w:bookmarkStart w:id="127"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27"/>
    <w:bookmarkStart w:id="128"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28"/>
    <w:bookmarkStart w:id="129"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29"/>
    <w:bookmarkStart w:id="130"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30"/>
    <w:bookmarkStart w:id="131"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31"/>
    <w:bookmarkStart w:id="132"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32"/>
    <w:bookmarkStart w:id="133"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33"/>
    <w:bookmarkStart w:id="134"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34"/>
    <w:bookmarkStart w:id="135"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35"/>
    <w:bookmarkStart w:id="136"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36"/>
    <w:bookmarkStart w:id="137"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37"/>
    <w:bookmarkStart w:id="138"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38"/>
    <w:bookmarkStart w:id="139"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39"/>
    <w:bookmarkStart w:id="140"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40"/>
    <w:bookmarkStart w:id="141"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41"/>
    <w:bookmarkStart w:id="142"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42"/>
    <w:bookmarkStart w:id="143"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43"/>
    <w:bookmarkStart w:id="144"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44"/>
    <w:bookmarkStart w:id="145"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45"/>
    <w:bookmarkStart w:id="146"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46"/>
    <w:bookmarkStart w:id="147"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47"/>
    <w:bookmarkStart w:id="148"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48"/>
    <w:bookmarkStart w:id="149"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49"/>
    <w:bookmarkStart w:id="150"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50"/>
    <w:bookmarkStart w:id="151"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51"/>
    <w:bookmarkStart w:id="152"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52"/>
    <w:bookmarkStart w:id="153"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53"/>
    <w:bookmarkStart w:id="154"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54"/>
    <w:bookmarkStart w:id="155"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55"/>
    <w:bookmarkStart w:id="156" w:name="ref-r_core_team_r_2020"/>
    <w:p>
      <w:pPr>
        <w:pStyle w:val="Bibliography"/>
      </w:pPr>
      <w:r>
        <w:t xml:space="preserve">Team R C 2020 R : A language and environment for statistical computing. R Foundation for Statistical Computing, Vienna, Austria. URL http://www.R-project.org/.</w:t>
      </w:r>
    </w:p>
    <w:bookmarkEnd w:id="156"/>
    <w:bookmarkStart w:id="157"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57"/>
    <w:bookmarkStart w:id="158"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58"/>
    <w:bookmarkStart w:id="159"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59"/>
    <w:bookmarkStart w:id="160"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60"/>
    <w:bookmarkStart w:id="161"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61"/>
    <w:bookmarkStart w:id="162"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62"/>
    <w:bookmarkStart w:id="163"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63"/>
    <w:bookmarkStart w:id="164"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64"/>
    <w:bookmarkStart w:id="165"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65"/>
    <w:bookmarkEnd w:id="166"/>
    <w:bookmarkEnd w:id="1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37" Target="media/rId37.jpg" /><Relationship Type="http://schemas.openxmlformats.org/officeDocument/2006/relationships/image" Id="rId35" Target="media/rId35.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27" Target="media/rId27.png" /><Relationship Type="http://schemas.openxmlformats.org/officeDocument/2006/relationships/image" Id="rId38" Target="media/rId38.jp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26" Target="media/rId26.png" /><Relationship Type="http://schemas.openxmlformats.org/officeDocument/2006/relationships/hyperlink" Id="rId30" Target="https://github.com/forc-db/ForC" TargetMode="External" /><Relationship Type="http://schemas.openxmlformats.org/officeDocument/2006/relationships/hyperlink" Id="rId31" Target="https://github.com/forc-db/ForC/blob/master/ForC_simplified" TargetMode="External" /><Relationship Type="http://schemas.openxmlformats.org/officeDocument/2006/relationships/hyperlink" Id="rId24" Target="mailto:REFS**;@warner_spatial_2019"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0" Target="https://github.com/forc-db/ForC" TargetMode="External" /><Relationship Type="http://schemas.openxmlformats.org/officeDocument/2006/relationships/hyperlink" Id="rId31" Target="https://github.com/forc-db/ForC/blob/master/ForC_simplified" TargetMode="External" /><Relationship Type="http://schemas.openxmlformats.org/officeDocument/2006/relationships/hyperlink" Id="rId24" Target="mailto:REFS**;@warner_spatial_2019"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2021-01-22T12:21:30Z</dcterms:created>
  <dcterms:modified xsi:type="dcterms:W3CDTF">2021-01-22T12:21:30Z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