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43.png" ContentType="image/png"/>
  <Override PartName="/word/media/rId41.png" ContentType="image/png"/>
  <Override PartName="/word/media/rId42.png" ContentType="image/png"/>
  <Override PartName="/word/media/rId4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 a macroecological synthesis based on the Global Forest Carbon (ForC) database</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Earth’s climate is closely linked to forests, which strongly influence atmospheric carbon dioxide (CO</w:t>
      </w:r>
      <w:r>
        <w:rPr>
          <w:vertAlign w:val="subscript"/>
        </w:rPr>
        <w:t xml:space="preserve">2</w:t>
      </w:r>
      <w:r>
        <w:t xml:space="preserve">) and climate by their impact on the global carbon (C) cycle. However, efforts to incorporate forests into climate models and CO</w:t>
      </w:r>
      <w:r>
        <w:rPr>
          <w:vertAlign w:val="subscript"/>
        </w:rPr>
        <w:t xml:space="preserve">2</w:t>
      </w:r>
      <w:r>
        <w:t xml:space="preserve"> </w:t>
      </w:r>
      <w:r>
        <w:t xml:space="preserve">accounting frameworks have been constrained by a lack of accessible, global-scale data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from 865 geographic locations representing 34 C cycle variables to characterize ensemble C budgets for four broad forest types (tropical broadleaf evergreen, temperate broadleaf, temperate conifer, and taiga), including estimates for both mature and regrowth (age &lt;100 years) forests. For regrowth forests, we quantify age trends for all variables with sufficient data.</w:t>
      </w:r>
    </w:p>
    <w:p>
      <w:pPr>
        <w:pStyle w:val="BodyText"/>
      </w:pPr>
      <w:r>
        <w:rPr>
          <w:i/>
        </w:rPr>
        <w:t xml:space="preserve">Review Results/ Synthesis.</w:t>
      </w:r>
      <w:r>
        <w:t xml:space="preserve"> </w:t>
      </w:r>
      <w:r>
        <w:rPr>
          <w:i/>
        </w:rPr>
        <w:t xml:space="preserve">ForC v3.0</w:t>
      </w:r>
      <w:r>
        <w:t xml:space="preserve"> </w:t>
      </w:r>
      <w:r>
        <w:t xml:space="preserve">yielded a comprehensive picture of C cycling in the world’s major forest biomes. The rate of C cycling generally increased from boreal to tropical regions in both mature and regrowth forests, whereas C stocks showed less directional variation. The majority of flux variables, together with most live biomass pools, increased significantly with stand age. Importantly, there was generally good closure of C budgets,</w:t>
      </w:r>
      <w:r>
        <w:t xml:space="preserve"> </w:t>
      </w:r>
      <w:r>
        <w:rPr>
          <w:i/>
        </w:rPr>
        <w:t xml:space="preserve">i.e.,</w:t>
      </w:r>
      <w:r>
        <w:t xml:space="preserve"> </w:t>
      </w:r>
      <w:r>
        <w:t xml:space="preserve">internal consistency in the</w:t>
      </w:r>
      <w:r>
        <w:t xml:space="preserve"> </w:t>
      </w:r>
      <w:r>
        <w:rPr>
          <w:i/>
        </w:rPr>
        <w:t xml:space="preserve">ForC</w:t>
      </w:r>
      <w:r>
        <w:t xml:space="preserve"> </w:t>
      </w:r>
      <w:r>
        <w:t xml:space="preserve">data.</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synthetic and internally consistent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 (Clark et al 2017, Luo et al 2012),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scenario-based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Annual gross CO</w:t>
      </w:r>
      <w:r>
        <w:rPr>
          <w:vertAlign w:val="subscript"/>
        </w:rPr>
        <w:t xml:space="preserve">2</w:t>
      </w:r>
      <w:r>
        <w:t xml:space="preserve"> </w:t>
      </w:r>
      <w:r>
        <w:t xml:space="preserve">sequestration in forests (gross primary productivity,</w:t>
      </w:r>
      <w:r>
        <w:t xml:space="preserve"> </w:t>
      </w:r>
      <m:oMath>
        <m:r>
          <m:t>G</m:t>
        </m:r>
        <m:r>
          <m:t>P</m:t>
        </m:r>
        <m:r>
          <m:t>P</m:t>
        </m:r>
      </m:oMath>
      <w:r>
        <w:t xml:space="preserve">) is estimated at &gt;69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or &gt;7 times average annual fossil fuel emissions from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sequestration is counterbalanced by CO</w:t>
      </w:r>
      <w:r>
        <w:rPr>
          <w:vertAlign w:val="subscript"/>
        </w:rPr>
        <w:t xml:space="preserve">2</w:t>
      </w:r>
      <w:r>
        <w:t xml:space="preserve"> </w:t>
      </w:r>
      <w:r>
        <w:t xml:space="preserve">releases to the atmosphere through ecosystem respiration (</w:t>
      </w:r>
      <m:oMath>
        <m:sSub>
          <m:e>
            <m:r>
              <m:t>R</m:t>
            </m:r>
          </m:e>
          <m:sub>
            <m:r>
              <m:t>e</m:t>
            </m:r>
            <m:r>
              <m:t>c</m:t>
            </m:r>
            <m:r>
              <m:t>o</m:t>
            </m:r>
          </m:sub>
        </m:sSub>
      </m:oMath>
      <w:r>
        <w:t xml:space="preserve">) or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 emissions</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the remaining CO</w:t>
      </w:r>
      <w:r>
        <w:rPr>
          <w:vertAlign w:val="subscript"/>
        </w:rPr>
        <w:t xml:space="preserve">2</w:t>
      </w:r>
      <w:r>
        <w:t xml:space="preserve"> </w:t>
      </w:r>
      <w:r>
        <w:t xml:space="preserve">sink averaged 3.2</w:t>
      </w:r>
      <w:r>
        <w:t xml:space="preserve"> </w:t>
      </w:r>
      <m:oMath>
        <m:r>
          <m:t>±</m:t>
        </m:r>
      </m:oMath>
      <w:r>
        <w:t xml:space="preserve"> </w:t>
      </w:r>
      <w:r>
        <w:t xml:space="preserve">0.6 GtC yr</w:t>
      </w:r>
      <w:r>
        <w:rPr>
          <w:vertAlign w:val="superscript"/>
        </w:rPr>
        <w:t xml:space="preserve">-1</w:t>
      </w:r>
      <w:r>
        <w:t xml:space="preserve"> </w:t>
      </w:r>
      <w:r>
        <w:t xml:space="preserve">from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across Earth’s forests</w:t>
      </w:r>
      <w:r>
        <w:t xml:space="preserve"> </w:t>
      </w:r>
      <w:r>
        <w:t xml:space="preserve">(Friedlingstein</w:t>
      </w:r>
      <w:r>
        <w:t xml:space="preserve"> </w:t>
      </w:r>
      <w:r>
        <w:rPr>
          <w:i/>
        </w:rPr>
        <w:t xml:space="preserve">et al</w:t>
      </w:r>
      <w:r>
        <w:t xml:space="preserve"> </w:t>
      </w:r>
      <w:r>
        <w:t xml:space="preserve">2019)</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relatively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researches to directly measure an expanding set of variables, notably including the development of continuous measurements of soil CO</w:t>
      </w:r>
      <w:r>
        <w:rPr>
          <w:vertAlign w:val="subscript"/>
        </w:rPr>
        <w:t xml:space="preserve">2</w:t>
      </w:r>
      <w:r>
        <w:t xml:space="preserve"> </w:t>
      </w:r>
      <w:r>
        <w:t xml:space="preserve">efflux (</w:t>
      </w:r>
      <w:r>
        <w:rPr>
          <w:b/>
        </w:rPr>
        <w:t xml:space="preserve">REF-BEN</w:t>
      </w:r>
      <w:r>
        <w:t xml:space="preserve">) and ecosystem-atmosphere CO</w:t>
      </w:r>
      <w:r>
        <w:rPr>
          <w:vertAlign w:val="subscript"/>
        </w:rPr>
        <w:t xml:space="preserve">2</w:t>
      </w:r>
      <w:r>
        <w:t xml:space="preserve"> </w:t>
      </w:r>
      <w:r>
        <w:t xml:space="preserve">exchange (</w:t>
      </w:r>
      <w:r>
        <w:rPr>
          <w:b/>
        </w:rPr>
        <w:t xml:space="preserve">REFS</w:t>
      </w:r>
      <w:r>
        <w:t xml:space="preserve">).</w:t>
      </w:r>
      <w:r>
        <w:t xml:space="preserve"> </w:t>
      </w:r>
      <w:r>
        <w:t xml:space="preserve">Standardization of estimation techniques has also increased; for example, there has been increasing standardization of the biomass allometries strongly influence estimates of any C cycle variable including woody biomass or changes therein</w:t>
      </w:r>
      <w:r>
        <w:t xml:space="preserve"> </w:t>
      </w:r>
      <w:r>
        <w:t xml:space="preserve">(e.g., Chojnacky</w:t>
      </w:r>
      <w:r>
        <w:t xml:space="preserve"> </w:t>
      </w:r>
      <w:r>
        <w:rPr>
          <w:i/>
        </w:rPr>
        <w:t xml:space="preserve">et al</w:t>
      </w:r>
      <w:r>
        <w:t xml:space="preserve"> </w:t>
      </w:r>
      <w:r>
        <w:t xml:space="preserve">2014,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 Saatchi</w:t>
      </w:r>
      <w:r>
        <w:t xml:space="preserve"> </w:t>
      </w:r>
      <w:r>
        <w:rPr>
          <w:i/>
        </w:rPr>
        <w:t xml:space="preserve">et al</w:t>
      </w:r>
      <w:r>
        <w:t xml:space="preserve"> </w:t>
      </w:r>
      <w:r>
        <w:t xml:space="preserve">2011)</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that tens of thousands of records have been distributed across literally thousands of scientific articles, along with variation in data formats, units, measurement methods,</w:t>
      </w:r>
      <w:r>
        <w:t xml:space="preserve"> </w:t>
      </w:r>
      <w:r>
        <w:rPr>
          <w:i/>
        </w:rPr>
        <w:t xml:space="preserve">etc.</w:t>
      </w:r>
      <w:r>
        <w:t xml:space="preserve"> </w:t>
      </w:r>
      <w:r>
        <w:t xml:space="preserve">To use these data 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the different variables capturing the unique ecosystem pools (e.g., woody, foliage, and root biomass; dead wood) and flux types (e.g, gross and net primary productivity; soil, root, and ecosystem respiration).</w:t>
      </w:r>
      <w:r>
        <w:t xml:space="preserve"> </w:t>
      </w:r>
      <w:r>
        <w:t xml:space="preserve">These data are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which are artificial categorical distinctions convenient for categorizing the world’s forests according to major differences in climate, vegetation,</w:t>
      </w:r>
      <w:r>
        <w:t xml:space="preserve"> </w:t>
      </w:r>
      <w:r>
        <w:rPr>
          <w:i/>
        </w:rPr>
        <w:t xml:space="preserve">etc.</w:t>
      </w:r>
      <w:r>
        <w:t xml:space="preserve"> </w:t>
      </w:r>
      <w:r>
        <w:t xml:space="preserve">Since</w:t>
      </w:r>
      <w:r>
        <w:t xml:space="preserve"> </w:t>
      </w:r>
      <w:r>
        <w:rPr>
          <w:i/>
        </w:rPr>
        <w:t xml:space="preserve">(Humboldt?)</w:t>
      </w:r>
      <w:r>
        <w:t xml:space="preserve">, it has been recognized that climate plays a dominant role in shaping differences among forests.</w:t>
      </w:r>
      <w:r>
        <w:t xml:space="preserve"> </w:t>
      </w:r>
      <w:r>
        <w:t xml:space="preserve">Early quantitative syntheses revealed that C fluxes such as net primary productivity (</w:t>
      </w:r>
      <m:oMath>
        <m:r>
          <m:t>N</m:t>
        </m:r>
        <m:r>
          <m:t>P</m:t>
        </m:r>
        <m:r>
          <m:t>P</m:t>
        </m:r>
      </m:oMath>
      <w:r>
        <w:t xml:space="preserve">) decrease dramatically with latitude, or increase across gradients of mean annual temperature and, to a lesser extent, precipitation</w:t>
      </w:r>
      <w:r>
        <w:t xml:space="preserve"> </w:t>
      </w:r>
      <w:r>
        <w:t xml:space="preserve">(Lieth 1973)</w:t>
      </w:r>
      <w:r>
        <w:t xml:space="preserve">.</w:t>
      </w:r>
    </w:p>
    <w:p>
      <w:pPr>
        <w:pStyle w:val="BodyText"/>
      </w:pPr>
      <w:r>
        <w:t xml:space="preserve">Banbury Morgan</w:t>
      </w:r>
      <w:r>
        <w:t xml:space="preserve"> </w:t>
      </w:r>
      <w:r>
        <w:rPr>
          <w:i/>
        </w:rPr>
        <w:t xml:space="preserve">et al</w:t>
      </w:r>
      <w:r>
        <w:t xml:space="preserve"> </w:t>
      </w:r>
      <w:r>
        <w:t xml:space="preserve">(n.d.)</w:t>
      </w:r>
    </w:p>
    <w:p>
      <w:pPr>
        <w:pStyle w:val="BodyText"/>
      </w:pPr>
      <w:r>
        <w:t xml:space="preserve">Recently, machine learning draws on global maps in combination with ground-based data to create global maps of C cycling</w:t>
      </w:r>
      <w:r>
        <w:t xml:space="preserve"> </w:t>
      </w:r>
      <w:r>
        <w:t xml:space="preserve">(e.g., REFS; Cook-Patton</w:t>
      </w:r>
      <w:r>
        <w:t xml:space="preserve"> </w:t>
      </w:r>
      <w:r>
        <w:rPr>
          <w:i/>
        </w:rPr>
        <w:t xml:space="preserve">et al</w:t>
      </w:r>
      <w:r>
        <w:t xml:space="preserve"> </w:t>
      </w:r>
      <w:r>
        <w:t xml:space="preserve">2020)</w:t>
      </w:r>
      <w:r>
        <w:t xml:space="preserve">.</w:t>
      </w:r>
    </w:p>
    <w:p>
      <w:pPr>
        <w:pStyle w:val="BodyText"/>
      </w:pPr>
      <w:r>
        <w:t xml:space="preserve">While current data and technology allow increasingly fine-scale resolution for understanding differences across forests, cateogorization into biomes remains useful for applications where data do not yet support robust analysis across finer-scale axes of variation.</w:t>
      </w:r>
    </w:p>
    <w:bookmarkEnd w:id="24"/>
    <w:bookmarkStart w:id="27" w:name="X58cf66163bd0a41d24c6289b560feb22d98e4d0"/>
    <w:p>
      <w:pPr>
        <w:pStyle w:val="Heading3"/>
      </w:pPr>
      <w:r>
        <w:t xml:space="preserve">Age trends and their variation across biomes</w:t>
      </w:r>
    </w:p>
    <w:p>
      <w:pPr>
        <w:pStyle w:val="FirstParagraph"/>
      </w:pPr>
      <w:r>
        <w:t xml:space="preserve">In 1969, Eugene Odum published …</w:t>
      </w:r>
      <w:r>
        <w:t xml:space="preserve"> </w:t>
      </w:r>
      <w:r>
        <w:t xml:space="preserve">(Odum 1969)</w:t>
      </w:r>
      <w:r>
        <w:t xml:space="preserve">.</w:t>
      </w:r>
      <w:r>
        <w:t xml:space="preserve"> </w:t>
      </w:r>
      <w:r>
        <w:t xml:space="preserve">Although the conceptualization of the C cycle in this paper is simplistic by current standards, the paper was foundational…</w:t>
      </w:r>
      <w:r>
        <w:t xml:space="preserve"> </w:t>
      </w:r>
      <w:r>
        <w:t xml:space="preserve">(Corman</w:t>
      </w:r>
      <w:r>
        <w:t xml:space="preserve"> </w:t>
      </w:r>
      <w:r>
        <w:rPr>
          <w:i/>
        </w:rPr>
        <w:t xml:space="preserve">et al</w:t>
      </w:r>
      <w:r>
        <w:t xml:space="preserve"> </w:t>
      </w:r>
      <w:r>
        <w:t xml:space="preserve">2019)</w:t>
      </w:r>
      <w:r>
        <w:t xml:space="preserve">.</w:t>
      </w:r>
      <w:r>
        <w:t xml:space="preserve"> </w:t>
      </w:r>
      <w:r>
        <w:t xml:space="preserve">…</w:t>
      </w:r>
      <w:r>
        <w:t xml:space="preserve"> </w:t>
      </w:r>
      <w:r>
        <w:rPr>
          <w:i/>
        </w:rPr>
        <w:t xml:space="preserve">(Need for a synthetic update.)</w:t>
      </w:r>
    </w:p>
    <w:p>
      <w:pPr>
        <w:pStyle w:val="BodyText"/>
      </w:pPr>
      <w:r>
        <w:t xml:space="preserve">In the past</w:t>
      </w:r>
      <w:r>
        <w:t xml:space="preserve"> </w:t>
      </w:r>
      <w:r>
        <w:rPr>
          <w:i/>
        </w:rPr>
        <w:t xml:space="preserve">couple of/several</w:t>
      </w:r>
      <w:r>
        <w:t xml:space="preserve"> </w:t>
      </w:r>
      <w:r>
        <w:t xml:space="preserve">decades, researchers have started asking how age trends–mostly in biomass accumulation– vary across biomes.</w:t>
      </w:r>
      <w:r>
        <w:t xml:space="preserve"> </w:t>
      </w:r>
      <w:r>
        <w:rPr>
          <w:i/>
        </w:rPr>
        <w:t xml:space="preserve">(look up early work on this–citations in</w:t>
      </w:r>
      <w:r>
        <w:rPr>
          <w:i/>
        </w:rPr>
        <w:t xml:space="preserve"> </w:t>
      </w:r>
      <w:r>
        <w:rPr>
          <w:i/>
        </w:rPr>
        <w:t xml:space="preserve">Anderson</w:t>
      </w:r>
      <w:r>
        <w:rPr>
          <w:i/>
        </w:rPr>
        <w:t xml:space="preserve"> </w:t>
      </w:r>
      <w:r>
        <w:rPr>
          <w:i/>
          <w:i/>
        </w:rPr>
        <w:t xml:space="preserve">et al</w:t>
      </w:r>
      <w:r>
        <w:rPr>
          <w:i/>
        </w:rPr>
        <w:t xml:space="preserve"> </w:t>
      </w:r>
      <w:r>
        <w:rPr>
          <w:i/>
        </w:rPr>
        <w:t xml:space="preserve">(2006)</w:t>
      </w:r>
      <w:r>
        <w:rPr>
          <w:i/>
        </w:rPr>
        <w:t xml:space="preserve">)</w:t>
      </w:r>
      <w:r>
        <w:t xml:space="preserve"> </w:t>
      </w:r>
      <w:r>
        <w:t xml:space="preserve">Anderson</w:t>
      </w:r>
      <w:r>
        <w:t xml:space="preserve"> </w:t>
      </w:r>
      <w:r>
        <w:rPr>
          <w:i/>
        </w:rPr>
        <w:t xml:space="preserve">et al</w:t>
      </w:r>
      <w:r>
        <w:t xml:space="preserve"> </w:t>
      </w:r>
      <w:r>
        <w:t xml:space="preserve">(2006)</w:t>
      </w:r>
      <w:r>
        <w:t xml:space="preserve"> </w:t>
      </w:r>
      <w:r>
        <w:t xml:space="preserve">Chazdon</w:t>
      </w:r>
      <w:r>
        <w:t xml:space="preserve"> </w:t>
      </w:r>
      <w:r>
        <w:rPr>
          <w:i/>
        </w:rPr>
        <w:t xml:space="preserve">et al</w:t>
      </w:r>
      <w:r>
        <w:t xml:space="preserve"> </w:t>
      </w:r>
      <w:r>
        <w:t xml:space="preserve">(2016)</w:t>
      </w:r>
      <w:r>
        <w:t xml:space="preserve"> </w:t>
      </w:r>
      <w:r>
        <w:t xml:space="preserve">Cook-Patton</w:t>
      </w:r>
      <w:r>
        <w:t xml:space="preserve"> </w:t>
      </w:r>
      <w:r>
        <w:rPr>
          <w:i/>
        </w:rPr>
        <w:t xml:space="preserve">et al</w:t>
      </w:r>
      <w:r>
        <w:t xml:space="preserve"> </w:t>
      </w:r>
      <w:r>
        <w:t xml:space="preserve">(2020)</w:t>
      </w:r>
      <w:r>
        <w:t xml:space="preserve"> </w:t>
      </w:r>
      <w:r>
        <w:t xml:space="preserve">There has been little synthesis of differences in variables other than C stocks or their accumulation rates.</w:t>
      </w:r>
      <w:r>
        <w:t xml:space="preserve"> </w:t>
      </w:r>
      <w:r>
        <w:t xml:space="preserve">Given the important role of secondary forests in the current and future global C cycle, concrete understanding of age trends in C fluxes and stocks and how these vary across biomes is critical to better understandign of the global C cycle.</w:t>
      </w:r>
    </w:p>
    <w:p>
      <w:pPr>
        <w:pStyle w:val="CaptionedFigure"/>
      </w:pPr>
      <w:r>
        <w:drawing>
          <wp:inline>
            <wp:extent cx="5334000" cy="4000214"/>
            <wp:effectExtent b="0" l="0" r="0" t="0"/>
            <wp:docPr descr="Figure 1 | DRAFT Schematic diagram summarizing current understanding of biome differences and age trends in forest C cycling. Plotted values are realistic with respect to the results of this synthesis, but schematic is not intended to be quantitatively precise."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DRAFT Schematic diagram summarizing current understanding of biome differences and age trends in forest C cycling. Plotted values are realistic with respect to the results of this synthesis, but schematic is not intended to be quantitatively precise.</w:t>
      </w:r>
    </w:p>
    <w:p>
      <w:pPr>
        <w:pStyle w:val="BodyText"/>
      </w:pPr>
      <w:r>
        <w:t xml:space="preserve">Here,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primary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29">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 (</w:t>
      </w:r>
      <w:r>
        <w:rPr>
          <w:i/>
        </w:rPr>
        <w:t xml:space="preserve">e.g.</w:t>
      </w:r>
      <w:r>
        <w:t xml:space="preserve">, Anderson et al 2006, Martin et al 2013, Bonner et al 2013) 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added the following data to ForC: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p @johnson_climate_2018)</w:t>
      </w:r>
      <w:r>
        <w:t xml:space="preserve">.</w:t>
      </w:r>
      <w:r>
        <w:t xml:space="preserve"> </w:t>
      </w:r>
      <w:r>
        <w:t xml:space="preserve">The database version used for this analysis has been tagged as a new release on Github (v3.0) and assigned a DOI through Zenodo (DOI: TBD).</w:t>
      </w:r>
    </w:p>
    <w:p>
      <w:pPr>
        <w:pStyle w:val="BodyText"/>
      </w:pPr>
      <w:r>
        <w:t xml:space="preserve">To facilitate analyses, we created a simplified version of ForC,</w:t>
      </w:r>
      <w:r>
        <w:t xml:space="preserve"> </w:t>
      </w:r>
      <w:r>
        <w:rPr>
          <w:i/>
        </w:rPr>
        <w:t xml:space="preserve">ForC-simplified</w:t>
      </w:r>
      <w:r>
        <w:t xml:space="preserve"> </w:t>
      </w:r>
      <w:r>
        <w:t xml:space="preserve">(</w:t>
      </w:r>
      <w:hyperlink r:id="rId30">
        <w:r>
          <w:rPr>
            <w:rStyle w:val="Hyperlink"/>
          </w:rPr>
          <w:t xml:space="preserve">https://github.com/forc-db/ForC/blob/master/ForC_simplified</w:t>
        </w:r>
      </w:hyperlink>
      <w:r>
        <w:t xml:space="preserve">), which we analyzed here.</w:t>
      </w:r>
      <w:r>
        <w:t xml:space="preserve"> </w:t>
      </w:r>
      <w:r>
        <w:t xml:space="preserve">In generating</w:t>
      </w:r>
      <w:r>
        <w:t xml:space="preserve"> </w:t>
      </w:r>
      <w:r>
        <w:rPr>
          <w:i/>
        </w:rPr>
        <w:t xml:space="preserve">ForC-simplified</w:t>
      </w:r>
      <w:r>
        <w:t xml:space="preserve">, 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reconciled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all plots flagged as managed in ForC-simplified (13.9%).</w:t>
      </w:r>
      <w:r>
        <w:t xml:space="preserve"> </w:t>
      </w:r>
      <w:r>
        <w:t xml:space="preserve">This included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w:t>
      </w:r>
      <w:r>
        <w:t xml:space="preserve"> </w:t>
      </w:r>
      <w:r>
        <w:t xml:space="preserve">Plots flagged as disturbed in ForC-simplified (5.6%) included stands that had undergone any notable anthropogenic thinning or partial harvest.</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Note that two flux variables, aboveground heterotropic (</w:t>
      </w:r>
      <m:oMath>
        <m:sSub>
          <m:e>
            <m:r>
              <m:t>R</m:t>
            </m:r>
          </m:e>
          <m:sub>
            <m:r>
              <m:t>h</m:t>
            </m:r>
            <m:r>
              <m:t>e</m:t>
            </m:r>
            <m:r>
              <m:t>t</m:t>
            </m:r>
            <m:r>
              <m:t>−</m:t>
            </m:r>
            <m:r>
              <m:t>a</m:t>
            </m:r>
            <m:r>
              <m:t>g</m:t>
            </m:r>
          </m:sub>
        </m:sSub>
      </m:oMath>
      <w:r>
        <w:t xml:space="preserve">) and total (</w:t>
      </w:r>
      <m:oMath>
        <m:sSub>
          <m:e>
            <m:r>
              <m:t>R</m:t>
            </m:r>
          </m:e>
          <m:sub>
            <m:r>
              <m:t>h</m:t>
            </m:r>
            <m:r>
              <m:t>e</m:t>
            </m:r>
            <m:r>
              <m:t>t</m:t>
            </m:r>
          </m:sub>
        </m:sSub>
      </m:oMath>
      <w:r>
        <w:t xml:space="preserve">) respiration,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the minimum diameter breast height (DBH) threshold for tree census was</w:t>
      </w:r>
      <w:r>
        <w:t xml:space="preserve"> </w:t>
      </w:r>
      <m:oMath>
        <m:r>
          <m:t>≤</m:t>
        </m:r>
      </m:oMath>
      <w:r>
        <w:t xml:space="preserve"> </w:t>
      </w:r>
      <w:r>
        <w:t xml:space="preserve">10cm.</w:t>
      </w:r>
      <w:r>
        <w:t xml:space="preserve"> </w:t>
      </w:r>
      <w:r>
        <w:t xml:space="preserve">All records were measured directly or derived from field measurements (as opposed to modeled).</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was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76.1 of the focal variable records for forests of known age.</w:t>
      </w:r>
      <w:r>
        <w:t xml:space="preserve"> </w:t>
      </w:r>
      <w:r>
        <w:t xml:space="preserve">Numbers of records by biome and age class are given in Table S1.</w:t>
      </w:r>
    </w:p>
    <w:p>
      <w:pPr>
        <w:pStyle w:val="BodyText"/>
      </w:pPr>
      <w:r>
        <w:t xml:space="preserve">Data were summarized to produce schematics of C cycling across the eight biome by age group combinations identified above.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log10[stand.age] as fixed effects and plot nested within geographic.area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p>
    <w:p>
      <w:pPr>
        <w:pStyle w:val="BodyText"/>
      </w:pPr>
      <w:r>
        <w:t xml:space="preserve">To facilitate the accessibility of our results and data, and to allow for rapid updates as additional data become available, we have automated all database manipulation, analyses, and figure production in R</w:t>
      </w:r>
      <w:r>
        <w:t xml:space="preserve"> </w:t>
      </w:r>
      <w:r>
        <w:t xml:space="preserve">(Team 2020)</w:t>
      </w:r>
      <w:r>
        <w:t xml:space="preserve">.</w:t>
      </w:r>
    </w:p>
    <w:bookmarkEnd w:id="31"/>
    <w:bookmarkStart w:id="45"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these diagrams,</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2-5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were generally consistent.</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BodyText"/>
      </w:pPr>
      <w:r>
        <w:drawing>
          <wp:inline>
            <wp:extent cx="5334000" cy="3657918"/>
            <wp:effectExtent b="0" l="0" r="0" t="0"/>
            <wp:docPr descr="Figure 6 | C cycle diagram for mature bore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mature forest biome differences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876800" cy="4572000"/>
            <wp:effectExtent b="0" l="0" r="0" t="0"/>
            <wp:docPr descr="Figure 7 | Age trends and biome differences in some of the major C fluxes: (a) GPP, (b) NPP, (c) ANPP, (d) R_{soil}, (e) R_{eco}, and (f) NEP.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For three variables that had been disproportionately sampled in the high-biomass forests of the US Pacific Northwest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temperate conifer forests had significantly higher stocks than the other biomes, which were not significantly different from one another.</w:t>
      </w:r>
    </w:p>
    <w:p>
      <w:pPr>
        <w:pStyle w:val="CaptionedFigure"/>
      </w:pPr>
      <w:r>
        <w:drawing>
          <wp:inline>
            <wp:extent cx="4876800" cy="4572000"/>
            <wp:effectExtent b="0" l="0" r="0" t="0"/>
            <wp:docPr descr="Figure 8 | Age trends and biome differences in some of the major forest C stocks: (a) aboveground biomass, (b) foliage, (c) fine roots, (d) dead wood.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bookmarkEnd w:id="39"/>
    <w:bookmarkStart w:id="44" w:name="c-cycling-in-young-forests"/>
    <w:p>
      <w:pPr>
        <w:pStyle w:val="Heading3"/>
      </w:pPr>
      <w:r>
        <w:t xml:space="preserve">C cycling in young forests</w:t>
      </w:r>
    </w:p>
    <w:p>
      <w:pPr>
        <w:pStyle w:val="FirstParagraph"/>
      </w:pPr>
      <w:r>
        <w:t xml:space="preserve">Average C cycles for forests &lt;100 years old are presented in Figures 8-11.</w:t>
      </w:r>
      <w:r>
        <w:t xml:space="preserve"> </w:t>
      </w:r>
      <w:r>
        <w:t xml:space="preserve">Both C stocks and fluxes commonly increased significantly with stand age (Tables 1, S2, Figs. 7- 8, S5-S30; detailed below).</w:t>
      </w:r>
    </w:p>
    <w:p>
      <w:pPr>
        <w:pStyle w:val="BodyText"/>
      </w:pPr>
      <w:r>
        <w:rPr>
          <w:i/>
        </w:rPr>
        <w:t xml:space="preserve">ForC</w:t>
      </w:r>
      <w:r>
        <w:t xml:space="preserve"> </w:t>
      </w:r>
      <w:r>
        <w:t xml:space="preserve">contained 16 C flux variables with sufficient data for analyses of age trends in young forests (see Methods) (Figs. 7, S5-S19).</w:t>
      </w:r>
      <w:r>
        <w:t xml:space="preserve"> </w:t>
      </w:r>
      <w:r>
        <w:t xml:space="preserve">Of these, ten increased significantly with age: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r>
              <m:t>−</m:t>
            </m:r>
            <m:r>
              <m:t>h</m:t>
            </m:r>
            <m:r>
              <m:t>e</m:t>
            </m:r>
            <m:r>
              <m:t>t</m:t>
            </m:r>
          </m:sub>
        </m:sSub>
      </m:oMath>
      <w:r>
        <w:t xml:space="preserve">, and</w:t>
      </w:r>
      <w:r>
        <w:t xml:space="preserve"> </w:t>
      </w:r>
      <m:oMath>
        <m:sSub>
          <m:e>
            <m:r>
              <m:t>R</m:t>
            </m:r>
          </m:e>
          <m:sub>
            <m:r>
              <m:t>s</m:t>
            </m:r>
            <m:r>
              <m:t>o</m:t>
            </m:r>
            <m:r>
              <m:t>i</m:t>
            </m:r>
            <m:r>
              <m:t>l</m:t>
            </m:r>
            <m:r>
              <m:t>−</m:t>
            </m:r>
            <m:r>
              <m:t>h</m:t>
            </m:r>
            <m:r>
              <m:t>e</m:t>
            </m:r>
            <m:r>
              <m:t>t</m:t>
            </m:r>
          </m:sub>
        </m:sSub>
      </m:oMath>
      <w:r>
        <w:t xml:space="preserve">-–displayed no significant relationship to stand age.</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similar flux rates than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There were sufficient data to model 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p>
    <w:p>
      <w:pPr>
        <w:pStyle w:val="CaptionedFigure"/>
      </w:pPr>
      <w:r>
        <w:drawing>
          <wp:inline>
            <wp:extent cx="5334000" cy="4001071"/>
            <wp:effectExtent b="0" l="0" r="0" t="0"/>
            <wp:docPr descr="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as follows: R_{auto}=NPP(1/CUE-1), where the CUE age trend is taken from DeLucia et al. (2007); B_{ag-wood}=max(0,B_{ag}-B_{foliage}); B_{root-coarse}=max(0,B_{root}-B_{root-fine}); DW_{standing}=max(0, DW_{tot}-DW_{down})." title="" id="1" name="Picture"/>
            <a:graphic>
              <a:graphicData uri="http://schemas.openxmlformats.org/drawingml/2006/picture">
                <pic:pic>
                  <pic:nvPicPr>
                    <pic:cNvPr descr="tables_figures/stacked_age_trends/Tropical%20broadleaf_age_trends.png" id="0" name="Picture"/>
                    <pic:cNvPicPr>
                      <a:picLocks noChangeArrowheads="1" noChangeAspect="1"/>
                    </pic:cNvPicPr>
                  </pic:nvPicPr>
                  <pic:blipFill>
                    <a:blip r:embed="rId40"/>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as follows:</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where the</w:t>
      </w:r>
      <w:r>
        <w:t xml:space="preserve"> </w:t>
      </w:r>
      <m:oMath>
        <m:r>
          <m:t>C</m:t>
        </m:r>
        <m:r>
          <m:t>U</m:t>
        </m:r>
        <m:r>
          <m:t>E</m:t>
        </m:r>
      </m:oMath>
      <w:r>
        <w:t xml:space="preserve"> </w:t>
      </w:r>
      <w:r>
        <w:t xml:space="preserve">age trend is taken from DeLucia et al. (2007);</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as follows: R_{auto}=NPP(1/CUE-1), where the CUE age trend is taken from DeLucia et al. (2007); B_{ag-wood}=max(0,B_{ag}-B_{foliage}); B_{root-coarse}=max(0,B_{root}-B_{root-fine}); DW_{standing}=max(0, DW_{tot}-DW_{down})." title="" id="1" name="Picture"/>
            <a:graphic>
              <a:graphicData uri="http://schemas.openxmlformats.org/drawingml/2006/picture">
                <pic:pic>
                  <pic:nvPicPr>
                    <pic:cNvPr descr="tables_figures/stacked_age_trends/Temperate%20broadleaf_age_trends.png" id="0" name="Picture"/>
                    <pic:cNvPicPr>
                      <a:picLocks noChangeArrowheads="1" noChangeAspect="1"/>
                    </pic:cNvPicPr>
                  </pic:nvPicPr>
                  <pic:blipFill>
                    <a:blip r:embed="rId41"/>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as follows:</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where the</w:t>
      </w:r>
      <w:r>
        <w:t xml:space="preserve"> </w:t>
      </w:r>
      <m:oMath>
        <m:r>
          <m:t>C</m:t>
        </m:r>
        <m:r>
          <m:t>U</m:t>
        </m:r>
        <m:r>
          <m:t>E</m:t>
        </m:r>
      </m:oMath>
      <w:r>
        <w:t xml:space="preserve"> </w:t>
      </w:r>
      <w:r>
        <w:t xml:space="preserve">age trend is taken from DeLucia et al. (2007);</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as follows: R_{auto}=NPP(1/CUE-1), where the CUE age trend is taken from DeLucia et al. (2007); B_{ag-wood}=max(0,B_{ag}-B_{foliage}); B_{root-coarse}=max(0,B_{root}-B_{root-fine}); DW_{standing}=max(0, DW_{tot}-DW_{down})." title="" id="1" name="Picture"/>
            <a:graphic>
              <a:graphicData uri="http://schemas.openxmlformats.org/drawingml/2006/picture">
                <pic:pic>
                  <pic:nvPicPr>
                    <pic:cNvPr descr="tables_figures/stacked_age_trends/Temperate%20conifer_age_trends.png" id="0" name="Picture"/>
                    <pic:cNvPicPr>
                      <a:picLocks noChangeArrowheads="1" noChangeAspect="1"/>
                    </pic:cNvPicPr>
                  </pic:nvPicPr>
                  <pic:blipFill>
                    <a:blip r:embed="rId42"/>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as follows:</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where the</w:t>
      </w:r>
      <w:r>
        <w:t xml:space="preserve"> </w:t>
      </w:r>
      <m:oMath>
        <m:r>
          <m:t>C</m:t>
        </m:r>
        <m:r>
          <m:t>U</m:t>
        </m:r>
        <m:r>
          <m:t>E</m:t>
        </m:r>
      </m:oMath>
      <w:r>
        <w:t xml:space="preserve"> </w:t>
      </w:r>
      <w:r>
        <w:t xml:space="preserve">age trend is taken from DeLucia et al. (2007);</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as follows: R_{auto}=NPP(1/CUE-1), where the CUE age trend is taken from DeLucia et al. (2007); B_{ag-wood}=max(0,B_{ag}-B_{foliage}); B_{root-coarse}=max(0,B_{root}-B_{root-fine}); DW_{standing}=max(0, DW_{tot}-DW_{down})." title="" id="1" name="Picture"/>
            <a:graphic>
              <a:graphicData uri="http://schemas.openxmlformats.org/drawingml/2006/picture">
                <pic:pic>
                  <pic:nvPicPr>
                    <pic:cNvPr descr="tables_figures/stacked_age_trends/Boreal%20conifer_age_trends.png" id="0" name="Picture"/>
                    <pic:cNvPicPr>
                      <a:picLocks noChangeArrowheads="1" noChangeAspect="1"/>
                    </pic:cNvPicPr>
                  </pic:nvPicPr>
                  <pic:blipFill>
                    <a:blip r:embed="rId43"/>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as follows:</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where the</w:t>
      </w:r>
      <w:r>
        <w:t xml:space="preserve"> </w:t>
      </w:r>
      <m:oMath>
        <m:r>
          <m:t>C</m:t>
        </m:r>
        <m:r>
          <m:t>U</m:t>
        </m:r>
        <m:r>
          <m:t>E</m:t>
        </m:r>
      </m:oMath>
      <w:r>
        <w:t xml:space="preserve"> </w:t>
      </w:r>
      <w:r>
        <w:t xml:space="preserve">age trend is taken from DeLucia et al. (2007);</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r>
        <w:br w:type="page"/>
      </w:r>
    </w:p>
    <w:bookmarkEnd w:id="44"/>
    <w:bookmarkEnd w:id="45"/>
    <w:bookmarkStart w:id="51" w:name="discussion"/>
    <w:p>
      <w:pPr>
        <w:pStyle w:val="Heading2"/>
      </w:pPr>
      <w:r>
        <w:t xml:space="preserve">Discussion</w:t>
      </w:r>
    </w:p>
    <w:p>
      <w:pPr>
        <w:pStyle w:val="FirstParagraph"/>
      </w:pPr>
      <w:r>
        <w:rPr>
          <w:i/>
        </w:rPr>
        <w:t xml:space="preserve">ForC</w:t>
      </w:r>
      <w:r>
        <w:t xml:space="preserve"> </w:t>
      </w:r>
      <w:r>
        <w:t xml:space="preserve">v3.0 provided unprecedented coverage of most major variables, yielding an internally consistent picture of C cycling in the world’s major forest biomes.</w:t>
      </w:r>
      <w:r>
        <w:t xml:space="preserve"> </w:t>
      </w:r>
      <w:r>
        <w:t xml:space="preserve">Carbon cycling rates generally increased from boreal to tropical regions and with stand age.</w:t>
      </w:r>
      <w:r>
        <w:t xml:space="preserve"> </w:t>
      </w:r>
      <w:r>
        <w:t xml:space="preserve">Specifically, the major C fluxes were highest in tropical forests, intermediate in temperate (broadleaf or conifer) forests, and lowest in boreal forests – a pattern that generally held for regrowth as well as mature forests (Figs. 7- 8).</w:t>
      </w:r>
      <w:r>
        <w:t xml:space="preserve"> </w:t>
      </w:r>
      <w:r>
        <w:t xml:space="preserve">In contrast to C fluxes, there was little directional variation in mature forest C stocks across biomes (Figs. 2-5, 8).</w:t>
      </w:r>
      <w:r>
        <w:t xml:space="preserve"> </w:t>
      </w:r>
      <w:r>
        <w:t xml:space="preserve">The majority of flux variables, together with most live biomass pools, increased significantly with stand age (Table 1; Figs. 7- 8,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are correlated with a different set of factors.</w:t>
      </w:r>
    </w:p>
    <w:bookmarkStart w:id="46" w:name="c-variable-coverage-and-budget-closure"/>
    <w:p>
      <w:pPr>
        <w:pStyle w:val="Heading3"/>
      </w:pPr>
      <w:r>
        <w:t xml:space="preserve">C variable coverage and budget closure</w:t>
      </w:r>
    </w:p>
    <w:p>
      <w:pPr>
        <w:pStyle w:val="FirstParagraph"/>
      </w:pPr>
      <w:r>
        <w:t xml:space="preserve">The large number of C cycle variables covered by ForC, and the general consistency between them, provide confidence that our overall reported means provide accurate and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There are of course notable holes in the ForC variable coverage (Fig. 2)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t xml:space="preserve">Geographically, all variables are poorly covered in Africa and Siberia,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Nonetheless, the lack of closure, in the one instance where it occurs, is probably more reflective of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than of methodological accuracy.</w:t>
      </w:r>
      <w:r>
        <w:t xml:space="preserve"> </w:t>
      </w:r>
      <w:r>
        <w:t xml:space="preserve">The overall high degree of closure implies that</w:t>
      </w:r>
      <w:r>
        <w:t xml:space="preserve"> </w:t>
      </w:r>
      <w:r>
        <w:rPr>
          <w:i/>
        </w:rPr>
        <w:t xml:space="preserve">ForC</w:t>
      </w:r>
      <w:r>
        <w:t xml:space="preserve"> </w:t>
      </w:r>
      <w:r>
        <w:t xml:space="preserve">gives a consistent picture of C cycling within biomes.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bookmarkEnd w:id="46"/>
    <w:bookmarkStart w:id="47"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The consistency with which this occurs across numerous fluxes is not surprising, but has never been simultaneously assessed across such a large number of variables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t>
      </w:r>
      <w:r>
        <w:t xml:space="preserve">(Fig. 7), which showed no significant differences across biomes.</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w:t>
      </w:r>
      <w:r>
        <w:t xml:space="preserve"> </w:t>
      </w:r>
      <m:oMath>
        <m:r>
          <m:t>N</m:t>
        </m:r>
        <m:r>
          <m:t>E</m:t>
        </m:r>
        <m:r>
          <m:t>P</m:t>
        </m:r>
      </m:oMath>
      <w:r>
        <w:t xml:space="preserve"> </w:t>
      </w:r>
      <w:r>
        <w:t xml:space="preserve">tends to be relatively small in mature forest stands (discussed further below), which accumulate carbon slowly relative to younger stands, if at all</w:t>
      </w:r>
      <w:r>
        <w:t xml:space="preserve"> </w:t>
      </w:r>
      <w:r>
        <w:t xml:space="preserve">(Luyssaert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and biome differences in the accumulation rates of these variables have not been detected, in part because these variables do not consistently increase with stand age</w:t>
      </w:r>
      <w:r>
        <w:t xml:space="preserve"> </w:t>
      </w:r>
      <w:r>
        <w:t xml:space="preserve">(Figs.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biomass can be remotely sensed 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7"/>
    <w:bookmarkStart w:id="48" w:name="age-trends-in-c-cycling"/>
    <w:p>
      <w:pPr>
        <w:pStyle w:val="Heading3"/>
      </w:pPr>
      <w:r>
        <w:t xml:space="preserve">Age trends in C cycling</w:t>
      </w:r>
    </w:p>
    <w:p>
      <w:pPr>
        <w:pStyle w:val="FirstParagraph"/>
      </w:pPr>
      <w:r>
        <w:t xml:space="preserve">Our study reveals that most C fluxes quickly increase to a plateau as stands age (Fig. 7), consistent with current understanding of age trends in forest C cycling</w:t>
      </w:r>
      <w:r>
        <w:t xml:space="preserve"> </w:t>
      </w:r>
      <w:r>
        <w:t xml:space="preserve">(e.g.,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increases with age up to the 100-yr threshold examined here,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8"/>
    <w:bookmarkStart w:id="49"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and our analyses here indicate that their internal consistency is reasonably high. 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are well suited for this task.</w:t>
      </w:r>
      <w:r>
        <w:t xml:space="preserve"> </w:t>
      </w:r>
      <w:r>
        <w:t xml:space="preserve">Note, however, that factors such as stand age and disturbance history are difficult, if 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49"/>
    <w:bookmarkStart w:id="50"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50"/>
    <w:bookmarkEnd w:id="51"/>
    <w:bookmarkStart w:id="52"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Funding sources included a Smithsonian Scholarly Studies grant to KAT and HML and a Smithsonian Working Land and Seascapes grant to KAT.</w:t>
      </w:r>
    </w:p>
    <w:bookmarkEnd w:id="52"/>
    <w:bookmarkStart w:id="53"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53"/>
    <w:bookmarkStart w:id="157" w:name="references"/>
    <w:p>
      <w:pPr>
        <w:pStyle w:val="Heading2"/>
      </w:pPr>
      <w:r>
        <w:t xml:space="preserve">References</w:t>
      </w:r>
    </w:p>
    <w:bookmarkStart w:id="156" w:name="refs"/>
    <w:bookmarkStart w:id="54"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4"/>
    <w:bookmarkStart w:id="55"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5"/>
    <w:bookmarkStart w:id="56"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6"/>
    <w:bookmarkStart w:id="57"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7"/>
    <w:bookmarkStart w:id="58"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8"/>
    <w:bookmarkStart w:id="59" w:name="ref-anderson-teixeira_forc-dbgroa_2020"/>
    <w:p>
      <w:pPr>
        <w:pStyle w:val="Bibliography"/>
      </w:pPr>
      <w:r>
        <w:t xml:space="preserve">Anderson-Teixeira K, Herrmann V, CookPatton, Ferson A and Lister K 2020 Forc-db/GROA: Release with Cook-Patton et al. 2020, Nature.</w:t>
      </w:r>
    </w:p>
    <w:bookmarkEnd w:id="59"/>
    <w:bookmarkStart w:id="60"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60"/>
    <w:bookmarkStart w:id="61"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61"/>
    <w:bookmarkStart w:id="62"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62"/>
    <w:bookmarkStart w:id="63"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3"/>
    <w:bookmarkStart w:id="64"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4"/>
    <w:bookmarkStart w:id="65"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5"/>
    <w:bookmarkStart w:id="66"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6"/>
    <w:bookmarkStart w:id="67"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7"/>
    <w:bookmarkStart w:id="68"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68"/>
    <w:bookmarkStart w:id="69"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69"/>
    <w:bookmarkStart w:id="70"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70"/>
    <w:bookmarkStart w:id="71"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71"/>
    <w:bookmarkStart w:id="72"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72"/>
    <w:bookmarkStart w:id="73"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73"/>
    <w:bookmarkStart w:id="74"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4"/>
    <w:bookmarkStart w:id="75"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5"/>
    <w:bookmarkStart w:id="76"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6"/>
    <w:bookmarkStart w:id="77"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77"/>
    <w:bookmarkStart w:id="78"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8"/>
    <w:bookmarkStart w:id="79"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79"/>
    <w:bookmarkStart w:id="80"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80"/>
    <w:bookmarkStart w:id="81"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1"/>
    <w:bookmarkStart w:id="82"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2"/>
    <w:bookmarkStart w:id="83" w:name="ref-chazdon_carbon_2016"/>
    <w:p>
      <w:pPr>
        <w:pStyle w:val="Bibliography"/>
      </w:pPr>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w:t>
      </w:r>
      <w:r>
        <w:t xml:space="preserve"> </w:t>
      </w:r>
      <w:r>
        <w:rPr>
          <w:i/>
        </w:rPr>
        <w:t xml:space="preserve">Science Advances</w:t>
      </w:r>
      <w:r>
        <w:t xml:space="preserve"> </w:t>
      </w:r>
      <w:r>
        <w:rPr>
          <w:b/>
        </w:rPr>
        <w:t xml:space="preserve">2</w:t>
      </w:r>
      <w:r>
        <w:t xml:space="preserve"> </w:t>
      </w:r>
      <w:r>
        <w:t xml:space="preserve">e1501639</w:t>
      </w:r>
    </w:p>
    <w:bookmarkEnd w:id="83"/>
    <w:bookmarkStart w:id="84" w:name="ref-chojnacky_updated_2014"/>
    <w:p>
      <w:pPr>
        <w:pStyle w:val="Bibliography"/>
      </w:pPr>
      <w:r>
        <w:t xml:space="preserve">Chojnacky D C, Heath L S and Jenkins J C 2014 Updated generalized biomass equations for North American tree species</w:t>
      </w:r>
      <w:r>
        <w:t xml:space="preserve"> </w:t>
      </w:r>
      <w:r>
        <w:rPr>
          <w:i/>
        </w:rPr>
        <w:t xml:space="preserve">Forestry</w:t>
      </w:r>
      <w:r>
        <w:t xml:space="preserve"> </w:t>
      </w:r>
      <w:r>
        <w:rPr>
          <w:b/>
        </w:rPr>
        <w:t xml:space="preserve">87</w:t>
      </w:r>
      <w:r>
        <w:t xml:space="preserve"> </w:t>
      </w:r>
      <w:r>
        <w:t xml:space="preserve">129–51</w:t>
      </w:r>
    </w:p>
    <w:bookmarkEnd w:id="84"/>
    <w:bookmarkStart w:id="85"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5"/>
    <w:bookmarkStart w:id="86"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86"/>
    <w:bookmarkStart w:id="87"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87"/>
    <w:bookmarkStart w:id="88"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88"/>
    <w:bookmarkStart w:id="89"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89"/>
    <w:bookmarkStart w:id="90" w:name="ref-curtis_forest_2018"/>
    <w:p>
      <w:pPr>
        <w:pStyle w:val="Bibliography"/>
      </w:pPr>
      <w:r>
        <w:t xml:space="preserve">Curtis P S and Gough C M 2018 Forest aging, disturbance and the carbon cycle</w:t>
      </w:r>
      <w:r>
        <w:t xml:space="preserve"> </w:t>
      </w:r>
      <w:r>
        <w:rPr>
          <w:i/>
        </w:rPr>
        <w:t xml:space="preserve">New Phytologist</w:t>
      </w:r>
    </w:p>
    <w:bookmarkEnd w:id="90"/>
    <w:bookmarkStart w:id="91"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1"/>
    <w:bookmarkStart w:id="92"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2"/>
    <w:bookmarkStart w:id="93"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3"/>
    <w:bookmarkStart w:id="94"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4"/>
    <w:bookmarkStart w:id="95"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95"/>
    <w:bookmarkStart w:id="96"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96"/>
    <w:bookmarkStart w:id="97"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97"/>
    <w:bookmarkStart w:id="98"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98"/>
    <w:bookmarkStart w:id="99"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99"/>
    <w:bookmarkStart w:id="100"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0"/>
    <w:bookmarkStart w:id="101"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1"/>
    <w:bookmarkStart w:id="102"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2"/>
    <w:bookmarkStart w:id="103"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3"/>
    <w:bookmarkStart w:id="104"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04"/>
    <w:bookmarkStart w:id="105"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05"/>
    <w:bookmarkStart w:id="106" w:name="ref-ipcc_2019_2019"/>
    <w:p>
      <w:pPr>
        <w:pStyle w:val="Bibliography"/>
      </w:pPr>
      <w:r>
        <w:t xml:space="preserve">IPCC 2019</w:t>
      </w:r>
      <w:r>
        <w:t xml:space="preserve"> </w:t>
      </w:r>
      <w:r>
        <w:rPr>
          <w:i/>
        </w:rPr>
        <w:t xml:space="preserve">2019 Refinement to the 2006 IPCC Guidelines for National Greenhouse Gas Inventories</w:t>
      </w:r>
    </w:p>
    <w:bookmarkEnd w:id="106"/>
    <w:bookmarkStart w:id="107"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07"/>
    <w:bookmarkStart w:id="108"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08"/>
    <w:bookmarkStart w:id="109"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09"/>
    <w:bookmarkStart w:id="110"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10"/>
    <w:bookmarkStart w:id="111"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11"/>
    <w:bookmarkStart w:id="112"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12"/>
    <w:bookmarkStart w:id="113"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13"/>
    <w:bookmarkStart w:id="114"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14"/>
    <w:bookmarkStart w:id="115"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15"/>
    <w:bookmarkStart w:id="116"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16"/>
    <w:bookmarkStart w:id="117"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17"/>
    <w:bookmarkStart w:id="118"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18"/>
    <w:bookmarkStart w:id="119"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19"/>
    <w:bookmarkStart w:id="120"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20"/>
    <w:bookmarkStart w:id="121"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21"/>
    <w:bookmarkStart w:id="122"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22"/>
    <w:bookmarkStart w:id="123"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23"/>
    <w:bookmarkStart w:id="124"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24"/>
    <w:bookmarkStart w:id="125"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25"/>
    <w:bookmarkStart w:id="126"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26"/>
    <w:bookmarkStart w:id="127"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27"/>
    <w:bookmarkStart w:id="128"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28"/>
    <w:bookmarkStart w:id="129"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29"/>
    <w:bookmarkStart w:id="130"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30"/>
    <w:bookmarkStart w:id="131"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31"/>
    <w:bookmarkStart w:id="132"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32"/>
    <w:bookmarkStart w:id="133"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33"/>
    <w:bookmarkStart w:id="134"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34"/>
    <w:bookmarkStart w:id="135"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35"/>
    <w:bookmarkStart w:id="136"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36"/>
    <w:bookmarkStart w:id="137"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37"/>
    <w:bookmarkStart w:id="138"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38"/>
    <w:bookmarkStart w:id="139"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39"/>
    <w:bookmarkStart w:id="140"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40"/>
    <w:bookmarkStart w:id="141"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41"/>
    <w:bookmarkStart w:id="142"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42"/>
    <w:bookmarkStart w:id="143"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43"/>
    <w:bookmarkStart w:id="144"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44"/>
    <w:bookmarkStart w:id="145"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45"/>
    <w:bookmarkStart w:id="146" w:name="ref-r_core_team_r_2020"/>
    <w:p>
      <w:pPr>
        <w:pStyle w:val="Bibliography"/>
      </w:pPr>
      <w:r>
        <w:t xml:space="preserve">Team R C 2020 R : A language and environment for statistical computing. R Foundation for Statistical Computing, Vienna, Austria. URL http://www.R-project.org/.</w:t>
      </w:r>
    </w:p>
    <w:bookmarkEnd w:id="146"/>
    <w:bookmarkStart w:id="147"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47"/>
    <w:bookmarkStart w:id="148"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48"/>
    <w:bookmarkStart w:id="149"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49"/>
    <w:bookmarkStart w:id="150"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50"/>
    <w:bookmarkStart w:id="151"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51"/>
    <w:bookmarkStart w:id="152"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52"/>
    <w:bookmarkStart w:id="153"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53"/>
    <w:bookmarkStart w:id="154"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54"/>
    <w:bookmarkStart w:id="155"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55"/>
    <w:bookmarkEnd w:id="156"/>
    <w:bookmarkEnd w:id="1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2021-01-18T15:04:37Z</dcterms:created>
  <dcterms:modified xsi:type="dcterms:W3CDTF">2021-01-18T15:04:37Z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