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There was generally good closure of C budgets for mature forests, whereas age trends and C budget closure in young forests remain less clearly resolved.</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rPr>
          <w:i/>
        </w:rPr>
        <w:t xml:space="preserve">C stocks</w:t>
      </w:r>
      <w:r>
        <w:t xml:space="preserve"> </w:t>
      </w:r>
      <w:r>
        <w:t xml:space="preserve">Early quantitative syntheses revealed that C fluxes such as net primary productivity (</w:t>
      </w:r>
      <m:oMath>
        <m:r>
          <m:t>N</m:t>
        </m:r>
        <m:r>
          <m:t>P</m:t>
        </m:r>
        <m:r>
          <m:t>P</m:t>
        </m:r>
      </m:oMath>
      <w:r>
        <w:t xml:space="preserve">) decrease dramatically with latitude, or increase across gradients of mean annual temperature and, to a lesser extent, precipitation</w:t>
      </w:r>
      <w:r>
        <w:t xml:space="preserve"> </w:t>
      </w:r>
      <w:r>
        <w:t xml:space="preserve">(Lieth 1973)</w:t>
      </w:r>
      <w:r>
        <w:t xml:space="preserve">.</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C fluxes commonly increased significantly with stand age (Tables 1, S2, Figs. 7, 9-12,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=0.46 (Collati et al. 2020);</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p>
    <w:p>
      <w:pPr>
        <w:pStyle w:val="BodyText"/>
      </w:pPr>
      <w:r>
        <w:t xml:space="preserve">There were also some substantial discrepancies between</w:t>
      </w:r>
      <w:r>
        <w:t xml:space="preserve"> </w:t>
      </w:r>
      <w:r>
        <w:rPr>
          <w:i/>
        </w:rPr>
        <w:t xml:space="preserve">(paragraph on young vs mature)</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BodyText"/>
      </w:pPr>
      <w:r>
        <w:rPr>
          <w:i/>
        </w:rPr>
        <w:t xml:space="preserve">(paragraph on young vs mature)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59" w:name="references"/>
    <w:p>
      <w:pPr>
        <w:pStyle w:val="Heading2"/>
      </w:pPr>
      <w:r>
        <w:t xml:space="preserve">References</w:t>
      </w:r>
    </w:p>
    <w:bookmarkStart w:id="158"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4"/>
    <w:bookmarkStart w:id="95"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5"/>
    <w:bookmarkStart w:id="96"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6"/>
    <w:bookmarkStart w:id="97"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7"/>
    <w:bookmarkStart w:id="98"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8"/>
    <w:bookmarkStart w:id="99"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9"/>
    <w:bookmarkStart w:id="100"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0"/>
    <w:bookmarkStart w:id="101"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1"/>
    <w:bookmarkStart w:id="102"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2"/>
    <w:bookmarkStart w:id="103"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3"/>
    <w:bookmarkStart w:id="104"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4"/>
    <w:bookmarkStart w:id="105"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5"/>
    <w:bookmarkStart w:id="106"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6"/>
    <w:bookmarkStart w:id="107" w:name="ref-humboldt_essay_1807"/>
    <w:p>
      <w:pPr>
        <w:pStyle w:val="Bibliography"/>
      </w:pPr>
      <w:r>
        <w:t xml:space="preserve">Humboldt A von and Bonpland A 1807</w:t>
      </w:r>
      <w:r>
        <w:t xml:space="preserve"> </w:t>
      </w:r>
      <w:r>
        <w:rPr>
          <w:i/>
        </w:rPr>
        <w:t xml:space="preserve">Essay on the Geography of Plants</w:t>
      </w:r>
    </w:p>
    <w:bookmarkEnd w:id="107"/>
    <w:bookmarkStart w:id="108" w:name="ref-ipcc_2019_2019"/>
    <w:p>
      <w:pPr>
        <w:pStyle w:val="Bibliography"/>
      </w:pPr>
      <w:r>
        <w:t xml:space="preserve">IPCC 2019</w:t>
      </w:r>
      <w:r>
        <w:t xml:space="preserve"> </w:t>
      </w:r>
      <w:r>
        <w:rPr>
          <w:i/>
        </w:rPr>
        <w:t xml:space="preserve">2019 Refinement to the 2006 IPCC Guidelines for National Greenhouse Gas Inventories</w:t>
      </w:r>
    </w:p>
    <w:bookmarkEnd w:id="108"/>
    <w:bookmarkStart w:id="109"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9"/>
    <w:bookmarkStart w:id="110"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0"/>
    <w:bookmarkStart w:id="111"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1"/>
    <w:bookmarkStart w:id="112"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2"/>
    <w:bookmarkStart w:id="113"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3"/>
    <w:bookmarkStart w:id="114"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4"/>
    <w:bookmarkStart w:id="115"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5"/>
    <w:bookmarkStart w:id="116"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6"/>
    <w:bookmarkStart w:id="117"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7"/>
    <w:bookmarkStart w:id="118"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8"/>
    <w:bookmarkStart w:id="119"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9"/>
    <w:bookmarkStart w:id="120"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0"/>
    <w:bookmarkStart w:id="121"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21"/>
    <w:bookmarkStart w:id="122"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2"/>
    <w:bookmarkStart w:id="123"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3"/>
    <w:bookmarkStart w:id="124"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4"/>
    <w:bookmarkStart w:id="125"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5"/>
    <w:bookmarkStart w:id="126"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6"/>
    <w:bookmarkStart w:id="127"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7"/>
    <w:bookmarkStart w:id="128"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8"/>
    <w:bookmarkStart w:id="129"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9"/>
    <w:bookmarkStart w:id="130"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30"/>
    <w:bookmarkStart w:id="131"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31"/>
    <w:bookmarkStart w:id="132"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2"/>
    <w:bookmarkStart w:id="133"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3"/>
    <w:bookmarkStart w:id="134"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4"/>
    <w:bookmarkStart w:id="135"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5"/>
    <w:bookmarkStart w:id="136"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6"/>
    <w:bookmarkStart w:id="137"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7"/>
    <w:bookmarkStart w:id="138"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8"/>
    <w:bookmarkStart w:id="139"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9"/>
    <w:bookmarkStart w:id="140"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40"/>
    <w:bookmarkStart w:id="141"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41"/>
    <w:bookmarkStart w:id="142"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2"/>
    <w:bookmarkStart w:id="143"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3"/>
    <w:bookmarkStart w:id="144"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4"/>
    <w:bookmarkStart w:id="145"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5"/>
    <w:bookmarkStart w:id="146"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6"/>
    <w:bookmarkStart w:id="147"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7"/>
    <w:bookmarkStart w:id="148" w:name="ref-r_core_team_r_2020"/>
    <w:p>
      <w:pPr>
        <w:pStyle w:val="Bibliography"/>
      </w:pPr>
      <w:r>
        <w:t xml:space="preserve">Team R C 2020 R : A language and environment for statistical computing. R Foundation for Statistical Computing, Vienna, Austria. URL http://www.R-project.org/.</w:t>
      </w:r>
    </w:p>
    <w:bookmarkEnd w:id="148"/>
    <w:bookmarkStart w:id="149"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9"/>
    <w:bookmarkStart w:id="150"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50"/>
    <w:bookmarkStart w:id="151"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51"/>
    <w:bookmarkStart w:id="152"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2"/>
    <w:bookmarkStart w:id="153"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3"/>
    <w:bookmarkStart w:id="154"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4"/>
    <w:bookmarkStart w:id="155"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5"/>
    <w:bookmarkStart w:id="156"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6"/>
    <w:bookmarkStart w:id="157"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7"/>
    <w:bookmarkEnd w:id="158"/>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2021-01-20T13:46:59Z</dcterms:created>
  <dcterms:modified xsi:type="dcterms:W3CDTF">2021-01-20T13:46:59Z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