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The rate of C cycling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 </w:t>
      </w:r>
      <w:r>
        <w:t xml:space="preserve">(Bonan 2008, Friedlingstein</w:t>
      </w:r>
      <w:r>
        <w:t xml:space="preserve"> </w:t>
      </w:r>
      <w:r>
        <w:rPr>
          <w:iCs/>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Cs/>
          <w:i/>
        </w:rPr>
        <w:t xml:space="preserve">et al</w:t>
      </w:r>
      <w:r>
        <w:t xml:space="preserve"> </w:t>
      </w:r>
      <w:r>
        <w:t xml:space="preserve">2017, Luo</w:t>
      </w:r>
      <w:r>
        <w:t xml:space="preserve"> </w:t>
      </w:r>
      <w:r>
        <w:rPr>
          <w:iCs/>
          <w:i/>
        </w:rPr>
        <w:t xml:space="preserve">et al</w:t>
      </w:r>
      <w:r>
        <w:t xml:space="preserve"> </w:t>
      </w:r>
      <w:r>
        <w:t xml:space="preserve">2012)</w:t>
      </w:r>
      <w:r>
        <w:t xml:space="preserve">, quantifying the the role of forests in the global C cycle</w:t>
      </w:r>
      <w:r>
        <w:t xml:space="preserve"> </w:t>
      </w:r>
      <w:r>
        <w:t xml:space="preserve">(</w:t>
      </w:r>
      <w:r>
        <w:rPr>
          <w:iCs/>
          <w:i/>
        </w:rPr>
        <w:t xml:space="preserve">e.g.</w:t>
      </w:r>
      <w:r>
        <w:t xml:space="preserve">,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globally forests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 Cavaleri</w:t>
      </w:r>
      <w:r>
        <w:t xml:space="preserve"> </w:t>
      </w:r>
      <w:r>
        <w:rPr>
          <w:iCs/>
          <w:i/>
        </w:rPr>
        <w:t xml:space="preserve">et al</w:t>
      </w:r>
      <w:r>
        <w:t xml:space="preserve"> </w:t>
      </w:r>
      <w:r>
        <w:t xml:space="preserve">2015)</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An understanding of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Cs/>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w:t>
      </w:r>
      <w:r>
        <w:rPr>
          <w:iCs/>
          <w:i/>
        </w:rPr>
        <w:t xml:space="preserve">e.g.</w:t>
      </w:r>
      <w:r>
        <w:t xml:space="preserve">, stand history, measurement methods).</w:t>
      </w:r>
      <w:r>
        <w:t xml:space="preserve"> </w:t>
      </w:r>
      <w:r>
        <w:t xml:space="preserve">Since its most recent publication</w:t>
      </w:r>
      <w:r>
        <w:t xml:space="preserve"> </w:t>
      </w:r>
      <w:r>
        <w:t xml:space="preserve">(</w:t>
      </w:r>
      <w:r>
        <w:rPr>
          <w:iCs/>
          <w:i/>
        </w:rPr>
        <w:t xml:space="preserve">ForC v2.0-Ecology</w:t>
      </w:r>
      <w:r>
        <w:t xml:space="preserve">, 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Cs/>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 Luyssaert</w:t>
      </w:r>
      <w:r>
        <w:t xml:space="preserve"> </w:t>
      </w:r>
      <w:r>
        <w:rPr>
          <w:iCs/>
          <w:i/>
        </w:rPr>
        <w:t xml:space="preserve">et al</w:t>
      </w:r>
      <w:r>
        <w:t xml:space="preserve"> </w:t>
      </w:r>
      <w:r>
        <w:t xml:space="preserve">2008)</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Cs/>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Cs/>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Cs/>
          <w:i/>
        </w:rPr>
        <w:t xml:space="preserve">et al</w:t>
      </w:r>
      <w:r>
        <w:t xml:space="preserve"> </w:t>
      </w:r>
      <w:r>
        <w:t xml:space="preserve">2016, 2018)</w:t>
      </w:r>
      <w:r>
        <w:t xml:space="preserve">.</w:t>
      </w:r>
      <w:r>
        <w:t xml:space="preserve"> </w:t>
      </w:r>
      <w:r>
        <w:rPr>
          <w:iCs/>
          <w:i/>
        </w:rPr>
        <w:t xml:space="preserve">ForC</w:t>
      </w:r>
      <w:r>
        <w:t xml:space="preserve"> </w:t>
      </w:r>
      <w:r>
        <w:t xml:space="preserve">amalgamates numerous intermediary data sets</w:t>
      </w:r>
      <w:r>
        <w:t xml:space="preserve"> </w:t>
      </w:r>
      <w:r>
        <w:t xml:space="preserve">(</w:t>
      </w:r>
      <w:r>
        <w:rPr>
          <w:iCs/>
          <w:i/>
        </w:rPr>
        <w:t xml:space="preserve">e.g.</w:t>
      </w:r>
      <w:r>
        <w:t xml:space="preserve">,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Cs/>
          <w:i/>
        </w:rPr>
        <w:t xml:space="preserve">e.g.</w:t>
      </w:r>
      <w:r>
        <w:t xml:space="preserve">,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Cs/>
          <w:i/>
        </w:rPr>
        <w:t xml:space="preserve">SRDB</w:t>
      </w:r>
      <w:r>
        <w:t xml:space="preserve"> </w:t>
      </w:r>
      <w:r>
        <w:t xml:space="preserve">v4, 9488 records, Bond-Lamberty and Thomson 2010)</w:t>
      </w:r>
      <w:r>
        <w:t xml:space="preserve">, and corrections and improvements to</w:t>
      </w:r>
      <w:r>
        <w:t xml:space="preserve"> </w:t>
      </w:r>
      <w:r>
        <w:rPr>
          <w:iCs/>
          <w:i/>
        </w:rPr>
        <w:t xml:space="preserve">SRDB</w:t>
      </w:r>
      <w:r>
        <w:t xml:space="preserve"> </w:t>
      </w:r>
      <w:r>
        <w:t xml:space="preserve">arising from this process were incorporated in</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Cs/>
          <w:i/>
        </w:rPr>
        <w:t xml:space="preserve">GROA</w:t>
      </w:r>
      <w:r>
        <w:t xml:space="preserve"> </w:t>
      </w:r>
      <w:r>
        <w:t xml:space="preserve">v1.0, 10116 records, Cook-Patton</w:t>
      </w:r>
      <w:r>
        <w:t xml:space="preserve"> </w:t>
      </w:r>
      <w:r>
        <w:rPr>
          <w:iCs/>
          <w:i/>
        </w:rPr>
        <w:t xml:space="preserve">et al</w:t>
      </w:r>
      <w:r>
        <w:t xml:space="preserve"> </w:t>
      </w:r>
      <w:r>
        <w:t xml:space="preserve">2020, 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Lutz</w:t>
      </w:r>
      <w:r>
        <w:t xml:space="preserve"> </w:t>
      </w:r>
      <w:r>
        <w:rPr>
          <w:iCs/>
          <w:i/>
        </w:rPr>
        <w:t xml:space="preserve">et al</w:t>
      </w:r>
      <w:r>
        <w:t xml:space="preserve"> </w:t>
      </w:r>
      <w:r>
        <w:t xml:space="preserve">2018, Johnson</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rPr>
                <m:sty m:val="p"/>
              </m:rPr>
              <m:t>−</m:t>
            </m:r>
            <m:r>
              <m:t>a</m:t>
            </m:r>
            <m:r>
              <m:t>g</m:t>
            </m:r>
          </m:sub>
        </m:sSub>
      </m:oMath>
      <w:r>
        <w:t xml:space="preserve">) and total heterotropic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Cs/>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w:t>
      </w:r>
      <w:r>
        <w:rPr>
          <w:iCs/>
          <w:i/>
        </w:rPr>
        <w:t xml:space="preserve">e.g.</w:t>
      </w:r>
      <w:r>
        <w:t xml:space="preserve">, measurements including or excluding fruit production, flower production, and herbivory).</w:t>
      </w:r>
      <w:r>
        <w:t xml:space="preserve"> </w:t>
      </w:r>
      <w:r>
        <w:t xml:space="preserve">Throughout ForC, for all measurements drawing from tree census data (</w:t>
      </w:r>
      <w:r>
        <w:rPr>
          <w:iCs/>
          <w:i/>
        </w:rPr>
        <w:t xml:space="preserve">e.g.</w:t>
      </w:r>
      <w:r>
        <w:t xml:space="preserve">,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w:t>
      </w:r>
      <w:r>
        <w:t xml:space="preserve"> </w:t>
      </w:r>
      <w:r>
        <w:t xml:space="preserve">(SYNMAP, 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the exclusion of records for which</w:t>
      </w:r>
      <w:r>
        <w:t xml:space="preserve"> </w:t>
      </w:r>
      <w:r>
        <w:rPr>
          <w:iCs/>
          <w:i/>
        </w:rPr>
        <w:t xml:space="preserve">ForC</w:t>
      </w:r>
      <w:r>
        <w:t xml:space="preserve"> </w:t>
      </w:r>
      <w:r>
        <w:t xml:space="preserve">lacked geographic coordinates (0.4% of sites in full database) or records of stand age or forest maturity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We calculated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w:t>
      </w:r>
      <w:r>
        <w:t xml:space="preserve">‘lmer’</w:t>
      </w:r>
      <w:r>
        <w:t xml:space="preserve"> </w:t>
      </w:r>
      <w:r>
        <w:t xml:space="preserve">function in</w:t>
      </w:r>
      <w:r>
        <w:t xml:space="preserve"> </w:t>
      </w:r>
      <w:r>
        <w:t xml:space="preserve">‘lme4’</w:t>
      </w:r>
      <w:r>
        <w:t xml:space="preserve"> </w:t>
      </w:r>
      <w:r>
        <w:t xml:space="preserve">R package, Bates</w:t>
      </w:r>
      <w:r>
        <w:t xml:space="preserve"> </w:t>
      </w:r>
      <w:r>
        <w:rPr>
          <w:iCs/>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used a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criteria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10 different ages, a biome</w:t>
      </w:r>
      <w:r>
        <w:t xml:space="preserve"> </w:t>
      </w:r>
      <m:oMath>
        <m:r>
          <m:rPr>
            <m:sty m:val="p"/>
          </m:rP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(d)</w:t>
      </w:r>
      <w:r>
        <w:t xml:space="preserve"> </w:t>
      </w:r>
      <m:oMath>
        <m:r>
          <m:t>D</m:t>
        </m:r>
        <m:sSub>
          <m:e>
            <m:r>
              <m:t>W</m:t>
            </m:r>
          </m:e>
          <m:sub>
            <m:r>
              <m:t>d</m:t>
            </m:r>
            <m:r>
              <m:t>o</m:t>
            </m:r>
            <m:r>
              <m:t>w</m:t>
            </m:r>
            <m:r>
              <m:t>n</m:t>
            </m:r>
          </m:sub>
        </m:sSub>
      </m:oMath>
      <w:r>
        <w:t xml:space="preserve">, and (d)</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Besnard</w:t>
      </w:r>
      <w:r>
        <w:t xml:space="preserve"> </w:t>
      </w:r>
      <w:r>
        <w:rPr>
          <w:iCs/>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Cs/>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Cs/>
          <w:i/>
        </w:rPr>
        <w:t xml:space="preserve">et al</w:t>
      </w:r>
      <w:r>
        <w:t xml:space="preserve"> </w:t>
      </w:r>
      <w:r>
        <w:t xml:space="preserve">2006, 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w:t>
      </w:r>
      <w:r>
        <w:t xml:space="preserve"> </w:t>
      </w:r>
      <w:r>
        <w:t xml:space="preserve">(Figs. 1, 8a, 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 Larjavaara and Muller-Landau 2012)</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Cs/>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Cs/>
          <w:i/>
        </w:rPr>
        <w:t xml:space="preserve">et al</w:t>
      </w:r>
      <w:r>
        <w:t xml:space="preserve"> </w:t>
      </w:r>
      <w:r>
        <w:t xml:space="preserve">2002, 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 Anderson-Teixeira</w:t>
      </w:r>
      <w:r>
        <w:t xml:space="preserve"> </w:t>
      </w:r>
      <w:r>
        <w:rPr>
          <w:iCs/>
          <w:i/>
        </w:rPr>
        <w:t xml:space="preserve">et al</w:t>
      </w:r>
      <w:r>
        <w:t xml:space="preserve"> </w:t>
      </w:r>
      <w:r>
        <w:t xml:space="preserve">2013, Amiro</w:t>
      </w:r>
      <w:r>
        <w:t xml:space="preserve"> </w:t>
      </w:r>
      <w:r>
        <w:rPr>
          <w:iCs/>
          <w:i/>
        </w:rPr>
        <w:t xml:space="preserve">et al</w:t>
      </w:r>
      <w:r>
        <w:t xml:space="preserve"> </w:t>
      </w:r>
      <w:r>
        <w:t xml:space="preserve">2010, Magnani</w:t>
      </w:r>
      <w:r>
        <w:t xml:space="preserve"> </w:t>
      </w:r>
      <w:r>
        <w:rPr>
          <w:iCs/>
          <w:i/>
        </w:rPr>
        <w:t xml:space="preserve">et al</w:t>
      </w:r>
      <w:r>
        <w:t xml:space="preserve"> </w:t>
      </w:r>
      <w:r>
        <w:t xml:space="preserve">2007)</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(Ribeiro-Kumara</w:t>
      </w:r>
      <w:r>
        <w:t xml:space="preserve"> </w:t>
      </w:r>
      <w:r>
        <w:rPr>
          <w:iCs/>
          <w:i/>
        </w:rPr>
        <w:t xml:space="preserve">et al</w:t>
      </w:r>
      <w:r>
        <w:t xml:space="preserve"> </w:t>
      </w:r>
      <w:r>
        <w:t xml:space="preserve">2020, Maurer</w:t>
      </w:r>
      <w:r>
        <w:t xml:space="preserve"> </w:t>
      </w:r>
      <w:r>
        <w:rPr>
          <w:iCs/>
          <w:i/>
        </w:rPr>
        <w:t xml:space="preserve">et al</w:t>
      </w:r>
      <w:r>
        <w:t xml:space="preserve"> </w:t>
      </w:r>
      <w:r>
        <w:t xml:space="preserve">2016, Bond-Lamberty</w:t>
      </w:r>
      <w:r>
        <w:t xml:space="preserve"> </w:t>
      </w:r>
      <w:r>
        <w:rPr>
          <w:iCs/>
          <w:i/>
        </w:rPr>
        <w:t xml:space="preserve">et al</w:t>
      </w:r>
      <w:r>
        <w:t xml:space="preserve"> </w:t>
      </w:r>
      <w:r>
        <w:t xml:space="preserve">2004)</w:t>
      </w:r>
      <w:r>
        <w:t xml:space="preserve">, with the latter being strongly dependent upon the type of stand initiating disturbance (discussed below).</w:t>
      </w:r>
      <w:r>
        <w:t xml:space="preserve"> </w:t>
      </w:r>
      <w:r>
        <w:t xml:space="preserve">In this study, we detect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Cs/>
          <w:i/>
        </w:rPr>
        <w:t xml:space="preserve">et al</w:t>
      </w:r>
      <w:r>
        <w:t xml:space="preserve"> </w:t>
      </w:r>
      <w:r>
        <w:t xml:space="preserve">2001,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McGarvey</w:t>
      </w:r>
      <w:r>
        <w:t xml:space="preserve"> </w:t>
      </w:r>
      <w:r>
        <w:rPr>
          <w:iCs/>
          <w:i/>
        </w:rPr>
        <w:t xml:space="preserve">et al</w:t>
      </w:r>
      <w:r>
        <w:t xml:space="preserve"> </w:t>
      </w:r>
      <w:r>
        <w:t xml:space="preserve">2014, Lichstein</w:t>
      </w:r>
      <w:r>
        <w:t xml:space="preserve"> </w:t>
      </w:r>
      <w:r>
        <w:rPr>
          <w:iCs/>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Cs/>
          <w:i/>
        </w:rPr>
        <w:t xml:space="preserve">et al</w:t>
      </w:r>
      <w:r>
        <w:t xml:space="preserve"> </w:t>
      </w:r>
      <w:r>
        <w:t xml:space="preserve">2017, 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Cs/>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Reinmann</w:t>
      </w:r>
      <w:r>
        <w:t xml:space="preserve"> </w:t>
      </w:r>
      <w:r>
        <w:rPr>
          <w:iCs/>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Cs/>
          <w:i/>
        </w:rPr>
        <w:t xml:space="preserve">et al</w:t>
      </w:r>
      <w:r>
        <w:t xml:space="preserve"> </w:t>
      </w:r>
      <w:r>
        <w:t xml:space="preserve">2019, Piponiot</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Cs/>
          <w:i/>
        </w:rPr>
        <w:t xml:space="preserve">et al</w:t>
      </w:r>
      <w:r>
        <w:t xml:space="preserve"> </w:t>
      </w:r>
      <w:r>
        <w:t xml:space="preserve">2018, Bonan and Doney 2018, Gustafson</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models will be valuable to improving the accuracy and reliability of models</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Cs/>
          <w:i/>
        </w:rPr>
        <w:t xml:space="preserve">et al</w:t>
      </w:r>
      <w:r>
        <w:t xml:space="preserve"> </w:t>
      </w:r>
      <w:r>
        <w:t xml:space="preserve">2016, Anav</w:t>
      </w:r>
      <w:r>
        <w:t xml:space="preserve"> </w:t>
      </w:r>
      <w:r>
        <w:rPr>
          <w:iCs/>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Cs/>
          <w:i/>
        </w:rPr>
        <w:t xml:space="preserve">et al</w:t>
      </w:r>
      <w:r>
        <w:t xml:space="preserve"> </w:t>
      </w:r>
      <w:r>
        <w:t xml:space="preserve">2019, Liu</w:t>
      </w:r>
      <w:r>
        <w:t xml:space="preserve"> </w:t>
      </w:r>
      <w:r>
        <w:rPr>
          <w:iCs/>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Cs/>
          <w:i/>
        </w:rPr>
        <w:t xml:space="preserve">et al</w:t>
      </w:r>
      <w:r>
        <w:t xml:space="preserve"> </w:t>
      </w:r>
      <w:r>
        <w:t xml:space="preserve">2019, Chave</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Song</w:t>
      </w:r>
      <w:r>
        <w:t xml:space="preserve"> </w:t>
      </w:r>
      <w:r>
        <w:rPr>
          <w:iCs/>
          <w:i/>
        </w:rPr>
        <w:t xml:space="preserve">et al</w:t>
      </w:r>
      <w:r>
        <w:t xml:space="preserve"> </w:t>
      </w:r>
      <w:r>
        <w:t xml:space="preserve">2018, Curtis</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Cs/>
          <w:i/>
        </w:rPr>
        <w:t xml:space="preserve">et al</w:t>
      </w:r>
      <w:r>
        <w:t xml:space="preserve"> </w:t>
      </w:r>
      <w:r>
        <w:t xml:space="preserve">2016, Harmon</w:t>
      </w:r>
      <w:r>
        <w:t xml:space="preserve"> </w:t>
      </w:r>
      <w:r>
        <w:rPr>
          <w:iCs/>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Cs/>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Cs/>
          <w:i/>
        </w:rPr>
        <w:t xml:space="preserve">et al</w:t>
      </w:r>
      <w:r>
        <w:t xml:space="preserve"> </w:t>
      </w:r>
      <w:r>
        <w:t xml:space="preserve">2016, Jian</w:t>
      </w:r>
      <w:r>
        <w:t xml:space="preserve"> </w:t>
      </w:r>
      <w:r>
        <w:rPr>
          <w:iCs/>
          <w:i/>
        </w:rPr>
        <w:t xml:space="preserve">et al</w:t>
      </w:r>
      <w:r>
        <w:t xml:space="preserve"> </w:t>
      </w:r>
      <w:r>
        <w:t xml:space="preserve">2020)</w:t>
      </w:r>
      <w:r>
        <w:t xml:space="preserve"> </w:t>
      </w:r>
      <w:r>
        <w:t xml:space="preserve">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2021-02-27T14:37:56Z</dcterms:created>
  <dcterms:modified xsi:type="dcterms:W3CDTF">2021-02-27T14:37:56Z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