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C cycling rates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 CO</w:t>
      </w:r>
      <w:r>
        <w:rPr>
          <w:vertAlign w:val="subscript"/>
        </w:rPr>
        <w:t xml:space="preserve">2</w:t>
      </w:r>
      <w:r>
        <w:t xml:space="preserve"> </w:t>
      </w:r>
      <w:r>
        <w:t xml:space="preserve">(Bonan 2008, IPCC 2018, Friedlingstein</w:t>
      </w:r>
      <w:r>
        <w:t xml:space="preserve"> </w:t>
      </w:r>
      <w:r>
        <w:rPr>
          <w:iCs/>
          <w:i/>
        </w:rPr>
        <w:t xml:space="preserve">et al</w:t>
      </w:r>
      <w:r>
        <w:t xml:space="preserve"> </w:t>
      </w:r>
      <w:r>
        <w:t xml:space="preserve">2019)</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Cs/>
          <w:i/>
        </w:rPr>
        <w:t xml:space="preserve">et al</w:t>
      </w:r>
      <w:r>
        <w:t xml:space="preserve"> </w:t>
      </w:r>
      <w:r>
        <w:t xml:space="preserve">2006,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 Di Vittorio</w:t>
      </w:r>
      <w:r>
        <w:t xml:space="preserve"> </w:t>
      </w:r>
      <w:r>
        <w:rPr>
          <w:iCs/>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Cs/>
          <w:i/>
        </w:rPr>
        <w:t xml:space="preserve">et al</w:t>
      </w:r>
      <w:r>
        <w:t xml:space="preserve"> </w:t>
      </w:r>
      <w:r>
        <w:t xml:space="preserve">2017, Luo</w:t>
      </w:r>
      <w:r>
        <w:t xml:space="preserve"> </w:t>
      </w:r>
      <w:r>
        <w:rPr>
          <w:iCs/>
          <w:i/>
        </w:rPr>
        <w:t xml:space="preserve">et al</w:t>
      </w:r>
      <w:r>
        <w:t xml:space="preserve"> </w:t>
      </w:r>
      <w:r>
        <w:t xml:space="preserve">2012)</w:t>
      </w:r>
      <w:r>
        <w:t xml:space="preserve">, quantifying the role of forests in the global C cycle</w:t>
      </w:r>
      <w:r>
        <w:t xml:space="preserve"> </w:t>
      </w:r>
      <w:r>
        <w:t xml:space="preserve">(</w:t>
      </w:r>
      <w:r>
        <w:rPr>
          <w:iCs/>
          <w:i/>
        </w:rPr>
        <w:t xml:space="preserve">e.g.</w:t>
      </w:r>
      <w:r>
        <w:t xml:space="preserve">, Pan</w:t>
      </w:r>
      <w:r>
        <w:t xml:space="preserve"> </w:t>
      </w:r>
      <w:r>
        <w:rPr>
          <w:iCs/>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forests globally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 when considering only areas remaining forested</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CO2 exchange is central to mitigating climate change</w:t>
      </w:r>
      <w:r>
        <w:t xml:space="preserve"> </w:t>
      </w:r>
      <w:r>
        <w:t xml:space="preserve">(Grassi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 Cavaleri</w:t>
      </w:r>
      <w:r>
        <w:t xml:space="preserve"> </w:t>
      </w:r>
      <w:r>
        <w:rPr>
          <w:iCs/>
          <w:i/>
        </w:rPr>
        <w:t xml:space="preserve">et al</w:t>
      </w:r>
      <w:r>
        <w:t xml:space="preserve"> </w:t>
      </w:r>
      <w:r>
        <w:t xml:space="preserve">2015)</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(Friedlingstein</w:t>
      </w:r>
      <w:r>
        <w:t xml:space="preserve"> </w:t>
      </w:r>
      <w:r>
        <w:rPr>
          <w:iCs/>
          <w:i/>
        </w:rPr>
        <w:t xml:space="preserve">et al</w:t>
      </w:r>
      <w:r>
        <w:t xml:space="preserve"> </w:t>
      </w:r>
      <w:r>
        <w:t xml:space="preserve">2006)</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(Andela</w:t>
      </w:r>
      <w:r>
        <w:t xml:space="preserve"> </w:t>
      </w:r>
      <w:r>
        <w:rPr>
          <w:iCs/>
          <w:i/>
        </w:rPr>
        <w:t xml:space="preserve">et al</w:t>
      </w:r>
      <w:r>
        <w:t xml:space="preserve"> </w:t>
      </w:r>
      <w:r>
        <w:t xml:space="preserve">2017,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Understanding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 Luyssaert</w:t>
      </w:r>
      <w:r>
        <w:t xml:space="preserve"> </w:t>
      </w:r>
      <w:r>
        <w:rPr>
          <w:iCs/>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Cs/>
          <w:i/>
        </w:rPr>
        <w:t xml:space="preserve">et al</w:t>
      </w:r>
      <w:r>
        <w:t xml:space="preserve"> </w:t>
      </w:r>
      <w:r>
        <w:t xml:space="preserve">2006)</w:t>
      </w:r>
      <w:r>
        <w:t xml:space="preserve">, along with appropriate measurement methods</w:t>
      </w:r>
      <w:r>
        <w:t xml:space="preserve"> </w:t>
      </w:r>
      <w:r>
        <w:t xml:space="preserve">(e.g., Clark</w:t>
      </w:r>
      <w:r>
        <w:t xml:space="preserve"> </w:t>
      </w:r>
      <w:r>
        <w:rPr>
          <w:iCs/>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such as the biomass allometries that strongly influence estimates of most C cycle variables</w:t>
      </w:r>
      <w:r>
        <w:t xml:space="preserve"> </w:t>
      </w:r>
      <w:r>
        <w:t xml:space="preserve">(e.g., Chave</w:t>
      </w:r>
      <w:r>
        <w:t xml:space="preserve"> </w:t>
      </w:r>
      <w:r>
        <w:rPr>
          <w:iCs/>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Cs/>
          <w:i/>
        </w:rPr>
        <w:t xml:space="preserve">et al</w:t>
      </w:r>
      <w:r>
        <w:t xml:space="preserve"> </w:t>
      </w:r>
      <w:r>
        <w:t xml:space="preserve">2015,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 including aboveground biomass</w:t>
      </w:r>
      <w:r>
        <w:t xml:space="preserve"> </w:t>
      </w:r>
      <w:r>
        <w:t xml:space="preserve">(</w:t>
      </w:r>
      <m:oMath>
        <m:sSub>
          <m:e>
            <m:r>
              <m:t>B</m:t>
            </m:r>
          </m:e>
          <m:sub>
            <m:r>
              <m:t>a</m:t>
            </m:r>
            <m:r>
              <m:t>g</m:t>
            </m:r>
          </m:sub>
        </m:sSub>
      </m:oMath>
      <w:r>
        <w:t xml:space="preserve">,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 Spawn</w:t>
      </w:r>
      <w:r>
        <w:t xml:space="preserve"> </w:t>
      </w:r>
      <w:r>
        <w:rPr>
          <w:iCs/>
          <w:i/>
        </w:rPr>
        <w:t xml:space="preserve">et al</w:t>
      </w:r>
      <w:r>
        <w:t xml:space="preserve"> </w:t>
      </w:r>
      <w:r>
        <w:t xml:space="preserve">2020)</w:t>
      </w:r>
      <w:r>
        <w:t xml:space="preserve"> </w:t>
      </w:r>
      <w:r>
        <w:t xml:space="preserve">and</w:t>
      </w:r>
      <w:r>
        <w:t xml:space="preserve"> </w:t>
      </w:r>
      <m:oMath>
        <m:r>
          <m:t>G</m:t>
        </m:r>
        <m:r>
          <m:t>P</m:t>
        </m:r>
        <m:r>
          <m:t>P</m:t>
        </m:r>
      </m:oMath>
      <w:r>
        <w:t xml:space="preserve"> </w:t>
      </w:r>
      <w:r>
        <w:t xml:space="preserve">(Li and Xiao 2019)</w:t>
      </w:r>
      <w:r>
        <w:t xml:space="preserve">.</w:t>
      </w:r>
      <w:r>
        <w:t xml:space="preserve"> </w:t>
      </w:r>
      <w:r>
        <w:t xml:space="preserve">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Cs/>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w:t>
      </w:r>
      <w:r>
        <w:rPr>
          <w:iCs/>
          <w:i/>
        </w:rPr>
        <w:t xml:space="preserve">e.g.</w:t>
      </w:r>
      <w:r>
        <w:t xml:space="preserve">, stand history, measurement methods).</w:t>
      </w:r>
      <w:r>
        <w:t xml:space="preserve"> </w:t>
      </w:r>
      <w:r>
        <w:t xml:space="preserve">Since its most recent publication</w:t>
      </w:r>
      <w:r>
        <w:t xml:space="preserve"> </w:t>
      </w:r>
      <w:r>
        <w:t xml:space="preserve">(</w:t>
      </w:r>
      <w:r>
        <w:rPr>
          <w:iCs/>
          <w:i/>
        </w:rPr>
        <w:t xml:space="preserve">ForC v2.0-Ecology</w:t>
      </w:r>
      <w:r>
        <w:t xml:space="preserve">, 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Cs/>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 Banbury Morgan</w:t>
      </w:r>
      <w:r>
        <w:t xml:space="preserve"> </w:t>
      </w:r>
      <w:r>
        <w:rPr>
          <w:iCs/>
          <w:i/>
        </w:rPr>
        <w:t xml:space="preserve">et al</w:t>
      </w:r>
      <w:r>
        <w:t xml:space="preserve"> </w:t>
      </w:r>
      <w:r>
        <w:t xml:space="preserve">in press)</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Cs/>
          <w:i/>
        </w:rPr>
        <w:t xml:space="preserve">et al</w:t>
      </w:r>
      <w:r>
        <w:t xml:space="preserve"> </w:t>
      </w:r>
      <w:r>
        <w:t xml:space="preserve">2009, Smithwick</w:t>
      </w:r>
      <w:r>
        <w:t xml:space="preserve"> </w:t>
      </w:r>
      <w:r>
        <w:rPr>
          <w:iCs/>
          <w:i/>
        </w:rPr>
        <w:t xml:space="preserve">et al</w:t>
      </w:r>
      <w:r>
        <w:t xml:space="preserve"> </w:t>
      </w:r>
      <w:r>
        <w:t xml:space="preserve">2002,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Cs/>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 with the result that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 Luyssaert</w:t>
      </w:r>
      <w:r>
        <w:t xml:space="preserve"> </w:t>
      </w:r>
      <w:r>
        <w:rPr>
          <w:iCs/>
          <w:i/>
        </w:rPr>
        <w:t xml:space="preserve">et al</w:t>
      </w:r>
      <w:r>
        <w:t xml:space="preserve"> </w:t>
      </w:r>
      <w:r>
        <w:t xml:space="preserve">2008)</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Cs/>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Here,</w:t>
      </w:r>
      <w:r>
        <w:t xml:space="preserve"> </w:t>
      </w:r>
      <m:oMath>
        <m:r>
          <m:t>N</m:t>
        </m:r>
        <m:r>
          <m:t>E</m:t>
        </m:r>
        <m:r>
          <m:t>P</m:t>
        </m:r>
      </m:oMath>
      <w:r>
        <w:t xml:space="preserve"> </w:t>
      </w:r>
      <w:r>
        <w:t xml:space="preserve">consists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rPr>
                <m:sty m:val="p"/>
              </m:rP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Cs/>
          <w:i/>
        </w:rPr>
        <w:t xml:space="preserve">et al</w:t>
      </w:r>
      <w:r>
        <w:t xml:space="preserve"> </w:t>
      </w:r>
      <w:r>
        <w:t xml:space="preserve">2000, Anderson</w:t>
      </w:r>
      <w:r>
        <w:t xml:space="preserve"> </w:t>
      </w:r>
      <w:r>
        <w:rPr>
          <w:iCs/>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Cs/>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Cs/>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Cs/>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Cs/>
          <w:i/>
        </w:rPr>
        <w:t xml:space="preserve">et al</w:t>
      </w:r>
      <w:r>
        <w:t xml:space="preserve"> </w:t>
      </w:r>
      <w:r>
        <w:t xml:space="preserve">2016, 2018)</w:t>
      </w:r>
      <w:r>
        <w:t xml:space="preserve">.</w:t>
      </w:r>
      <w:r>
        <w:t xml:space="preserve"> </w:t>
      </w:r>
      <w:r>
        <w:rPr>
          <w:iCs/>
          <w:i/>
        </w:rPr>
        <w:t xml:space="preserve">ForC</w:t>
      </w:r>
      <w:r>
        <w:t xml:space="preserve"> </w:t>
      </w:r>
      <w:r>
        <w:t xml:space="preserve">amalgamates numerous intermediary data sets</w:t>
      </w:r>
      <w:r>
        <w:t xml:space="preserve"> </w:t>
      </w:r>
      <w:r>
        <w:t xml:space="preserve">(</w:t>
      </w:r>
      <w:r>
        <w:rPr>
          <w:iCs/>
          <w:i/>
        </w:rPr>
        <w:t xml:space="preserve">e.g.</w:t>
      </w:r>
      <w:r>
        <w:t xml:space="preserve">,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Cs/>
          <w:i/>
        </w:rPr>
        <w:t xml:space="preserve">e.g.</w:t>
      </w:r>
      <w:r>
        <w:t xml:space="preserve">, Anderson</w:t>
      </w:r>
      <w:r>
        <w:t xml:space="preserve"> </w:t>
      </w:r>
      <w:r>
        <w:rPr>
          <w:iCs/>
          <w:i/>
        </w:rPr>
        <w:t xml:space="preserve">et al</w:t>
      </w:r>
      <w:r>
        <w:t xml:space="preserve"> </w:t>
      </w:r>
      <w:r>
        <w:t xml:space="preserve">2006, Martin</w:t>
      </w:r>
      <w:r>
        <w:t xml:space="preserve"> </w:t>
      </w:r>
      <w:r>
        <w:rPr>
          <w:iCs/>
          <w:i/>
        </w:rPr>
        <w:t xml:space="preserve">et al</w:t>
      </w:r>
      <w:r>
        <w:t xml:space="preserve"> </w:t>
      </w:r>
      <w:r>
        <w:t xml:space="preserve">2013, Bonner</w:t>
      </w:r>
      <w:r>
        <w:t xml:space="preserve"> </w:t>
      </w:r>
      <w:r>
        <w:rPr>
          <w:iCs/>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Cs/>
          <w:i/>
        </w:rPr>
        <w:t xml:space="preserve">SRDB</w:t>
      </w:r>
      <w:r>
        <w:t xml:space="preserve"> </w:t>
      </w:r>
      <w:r>
        <w:t xml:space="preserve">v4, 9488 records, Bond-Lamberty and Thomson 2010)</w:t>
      </w:r>
      <w:r>
        <w:t xml:space="preserve">, and corrections and improvements to</w:t>
      </w:r>
      <w:r>
        <w:t xml:space="preserve"> </w:t>
      </w:r>
      <w:r>
        <w:rPr>
          <w:iCs/>
          <w:i/>
        </w:rPr>
        <w:t xml:space="preserve">SRDB</w:t>
      </w:r>
      <w:r>
        <w:t xml:space="preserve"> </w:t>
      </w:r>
      <w:r>
        <w:t xml:space="preserve">arising from this process were incorporated in</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Cs/>
          <w:i/>
        </w:rPr>
        <w:t xml:space="preserve">GROA</w:t>
      </w:r>
      <w:r>
        <w:t xml:space="preserve"> </w:t>
      </w:r>
      <w:r>
        <w:t xml:space="preserve">v1.0, 10116 records, Cook-Patton</w:t>
      </w:r>
      <w:r>
        <w:t xml:space="preserve"> </w:t>
      </w:r>
      <w:r>
        <w:rPr>
          <w:iCs/>
          <w:i/>
        </w:rPr>
        <w:t xml:space="preserve">et al</w:t>
      </w:r>
      <w:r>
        <w:t xml:space="preserve"> </w:t>
      </w:r>
      <w:r>
        <w:t xml:space="preserve">2020, Anderson-Teixeira</w:t>
      </w:r>
      <w:r>
        <w:t xml:space="preserve"> </w:t>
      </w:r>
      <w:r>
        <w:rPr>
          <w:iCs/>
          <w:i/>
        </w:rPr>
        <w:t xml:space="preserve">et al</w:t>
      </w:r>
      <w:r>
        <w:t xml:space="preserve"> </w:t>
      </w:r>
      <w:r>
        <w:t xml:space="preserve">2020)</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Lutz</w:t>
      </w:r>
      <w:r>
        <w:t xml:space="preserve"> </w:t>
      </w:r>
      <w:r>
        <w:rPr>
          <w:iCs/>
          <w:i/>
        </w:rPr>
        <w:t xml:space="preserve">et al</w:t>
      </w:r>
      <w:r>
        <w:t xml:space="preserve"> </w:t>
      </w:r>
      <w:r>
        <w:t xml:space="preserve">2018, Johnson</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rPr>
                <m:sty m:val="p"/>
              </m:rPr>
              <m:t>−</m:t>
            </m:r>
            <m:r>
              <m:t>a</m:t>
            </m:r>
            <m:r>
              <m:t>g</m:t>
            </m:r>
          </m:sub>
        </m:sSub>
      </m:oMath>
      <w:r>
        <w:t xml:space="preserve">) and total heterotropic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Cs/>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w:t>
      </w:r>
      <w:r>
        <w:rPr>
          <w:iCs/>
          <w:i/>
        </w:rPr>
        <w:t xml:space="preserve">e.g.</w:t>
      </w:r>
      <w:r>
        <w:t xml:space="preserve">, measurements including or excluding fruit production, flower production, and herbivory).</w:t>
      </w:r>
      <w:r>
        <w:t xml:space="preserve"> </w:t>
      </w:r>
      <w:r>
        <w:t xml:space="preserve">Throughout ForC, for all measurements drawing from tree census data (</w:t>
      </w:r>
      <w:r>
        <w:rPr>
          <w:iCs/>
          <w:i/>
        </w:rPr>
        <w:t xml:space="preserve">e.g.</w:t>
      </w:r>
      <w:r>
        <w:t xml:space="preserve">,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w:t>
      </w:r>
      <w:r>
        <w:t xml:space="preserve"> </w:t>
      </w:r>
      <w:r>
        <w:t xml:space="preserve">(SYNMAP, 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the exclusion of records for which</w:t>
      </w:r>
      <w:r>
        <w:t xml:space="preserve"> </w:t>
      </w:r>
      <w:r>
        <w:rPr>
          <w:iCs/>
          <w:i/>
        </w:rPr>
        <w:t xml:space="preserve">ForC</w:t>
      </w:r>
      <w:r>
        <w:t xml:space="preserve"> </w:t>
      </w:r>
      <w:r>
        <w:t xml:space="preserve">lacked geographic coordinates (0.4% of sites in full database) or records of stand age or forest maturity (5.7% of records in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given in Table S1.</w:t>
      </w:r>
    </w:p>
    <w:p>
      <w:pPr>
        <w:pStyle w:val="BodyText"/>
      </w:pPr>
      <w:r>
        <w:t xml:space="preserve">We calculated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w:t>
      </w:r>
      <w:r>
        <w:t xml:space="preserve">‘lmer’</w:t>
      </w:r>
      <w:r>
        <w:t xml:space="preserve"> </w:t>
      </w:r>
      <w:r>
        <w:t xml:space="preserve">function in</w:t>
      </w:r>
      <w:r>
        <w:t xml:space="preserve"> </w:t>
      </w:r>
      <w:r>
        <w:t xml:space="preserve">‘lme4’</w:t>
      </w:r>
      <w:r>
        <w:t xml:space="preserve"> </w:t>
      </w:r>
      <w:r>
        <w:t xml:space="preserve">R package, Bates</w:t>
      </w:r>
      <w:r>
        <w:t xml:space="preserve"> </w:t>
      </w:r>
      <w:r>
        <w:rPr>
          <w:iCs/>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used a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criteria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10 different ages, a biome</w:t>
      </w:r>
      <w:r>
        <w:t xml:space="preserve"> </w:t>
      </w:r>
      <m:oMath>
        <m:r>
          <m:rPr>
            <m:sty m:val="p"/>
          </m:rP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(d)</w:t>
      </w:r>
      <w:r>
        <w:t xml:space="preserve"> </w:t>
      </w:r>
      <m:oMath>
        <m:r>
          <m:t>D</m:t>
        </m:r>
        <m:sSub>
          <m:e>
            <m:r>
              <m:t>W</m:t>
            </m:r>
          </m:e>
          <m:sub>
            <m:r>
              <m:t>d</m:t>
            </m:r>
            <m:r>
              <m:t>o</m:t>
            </m:r>
            <m:r>
              <m:t>w</m:t>
            </m:r>
            <m:r>
              <m:t>n</m:t>
            </m:r>
          </m:sub>
        </m:sSub>
      </m:oMath>
      <w:r>
        <w:t xml:space="preserve">, and (d)</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rPr>
            <m:sty m:val="p"/>
          </m:rPr>
          <m:t>[</m:t>
        </m:r>
        <m:r>
          <m:t>s</m:t>
        </m:r>
        <m:r>
          <m:t>t</m:t>
        </m:r>
        <m:r>
          <m:t>a</m:t>
        </m:r>
        <m:r>
          <m:t>n</m:t>
        </m:r>
        <m:r>
          <m:t>d</m:t>
        </m:r>
        <m:r>
          <m:rPr>
            <m:sty m:val="p"/>
          </m:rPr>
          <m:t>.</m:t>
        </m:r>
        <m:r>
          <m:t>a</m:t>
        </m:r>
        <m:r>
          <m:t>g</m:t>
        </m:r>
        <m:r>
          <m:t>e</m:t>
        </m:r>
        <m:r>
          <m:rPr>
            <m:sty m:val="p"/>
          </m:rPr>
          <m:t>]</m:t>
        </m:r>
      </m:oMath>
      <w:r>
        <w:t xml:space="preserv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 Banbury Morgan</w:t>
      </w:r>
      <w:r>
        <w:t xml:space="preserve"> </w:t>
      </w:r>
      <w:r>
        <w:rPr>
          <w:iCs/>
          <w:i/>
        </w:rPr>
        <w:t xml:space="preserve">et al</w:t>
      </w:r>
      <w:r>
        <w:t xml:space="preserve"> </w:t>
      </w:r>
      <w:r>
        <w:t xml:space="preserve">in press)</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consistent with theoretical expectations (Fig. 1), is novel to this analysis</w:t>
      </w:r>
      <w:r>
        <w:t xml:space="preserve"> </w:t>
      </w:r>
      <w:r>
        <w:t xml:space="preserve">(but see Banbury Morgan</w:t>
      </w:r>
      <w:r>
        <w:t xml:space="preserve"> </w:t>
      </w:r>
      <w:r>
        <w:rPr>
          <w:iCs/>
          <w:i/>
        </w:rPr>
        <w:t xml:space="preserve">et al</w:t>
      </w:r>
      <w:r>
        <w:t xml:space="preserve"> </w:t>
      </w:r>
      <w:r>
        <w:t xml:space="preserve">in press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Besnard</w:t>
      </w:r>
      <w:r>
        <w:t xml:space="preserve"> </w:t>
      </w:r>
      <w:r>
        <w:rPr>
          <w:iCs/>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Cs/>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Cs/>
          <w:i/>
        </w:rPr>
        <w:t xml:space="preserve">et al</w:t>
      </w:r>
      <w:r>
        <w:t xml:space="preserve"> </w:t>
      </w:r>
      <w:r>
        <w:t xml:space="preserve">2006, 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 8, S27-S30, and see discussion below, 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Cs/>
          <w:i/>
        </w:rPr>
        <w:t xml:space="preserve">et al</w:t>
      </w:r>
      <w:r>
        <w:t xml:space="preserve"> </w:t>
      </w:r>
      <w:r>
        <w:t xml:space="preserve">in press)</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w:t>
      </w:r>
      <w:r>
        <w:t xml:space="preserve"> </w:t>
      </w:r>
      <w:r>
        <w:t xml:space="preserve">(Figs. 1, 8a, Keith</w:t>
      </w:r>
      <w:r>
        <w:t xml:space="preserve"> </w:t>
      </w:r>
      <w:r>
        <w:rPr>
          <w:iCs/>
          <w:i/>
        </w:rPr>
        <w:t xml:space="preserve">et al</w:t>
      </w:r>
      <w:r>
        <w:t xml:space="preserve"> </w:t>
      </w:r>
      <w:r>
        <w:t xml:space="preserve">2009, Smithwick</w:t>
      </w:r>
      <w:r>
        <w:t xml:space="preserve"> </w:t>
      </w:r>
      <w:r>
        <w:rPr>
          <w:iCs/>
          <w:i/>
        </w:rPr>
        <w:t xml:space="preserve">et al</w:t>
      </w:r>
      <w:r>
        <w:t xml:space="preserve"> </w:t>
      </w:r>
      <w:r>
        <w:t xml:space="preserve">2002, Hu</w:t>
      </w:r>
      <w:r>
        <w:t xml:space="preserve"> </w:t>
      </w:r>
      <w:r>
        <w:rPr>
          <w:iCs/>
          <w:i/>
        </w:rPr>
        <w:t xml:space="preserve">et al</w:t>
      </w:r>
      <w:r>
        <w:t xml:space="preserve"> </w:t>
      </w:r>
      <w:r>
        <w:t xml:space="preserve">2016, Larjavaara and Muller-Landau 2012)</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Cs/>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 Allen</w:t>
      </w:r>
      <w:r>
        <w:t xml:space="preserve"> </w:t>
      </w:r>
      <w:r>
        <w:rPr>
          <w:iCs/>
          <w:i/>
        </w:rPr>
        <w:t xml:space="preserve">et al</w:t>
      </w:r>
      <w:r>
        <w:t xml:space="preserve"> </w:t>
      </w:r>
      <w:r>
        <w:t xml:space="preserve">2002, Anderson-Teixeira</w:t>
      </w:r>
      <w:r>
        <w:t xml:space="preserve"> </w:t>
      </w:r>
      <w:r>
        <w:rPr>
          <w:iCs/>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 e.g., Anderson-Teixeira</w:t>
      </w:r>
      <w:r>
        <w:t xml:space="preserve"> </w:t>
      </w:r>
      <w:r>
        <w:rPr>
          <w:iCs/>
          <w:i/>
        </w:rPr>
        <w:t xml:space="preserve">et al</w:t>
      </w:r>
      <w:r>
        <w:t xml:space="preserve"> </w:t>
      </w:r>
      <w:r>
        <w:t xml:space="preserve">2013, Amiro</w:t>
      </w:r>
      <w:r>
        <w:t xml:space="preserve"> </w:t>
      </w:r>
      <w:r>
        <w:rPr>
          <w:iCs/>
          <w:i/>
        </w:rPr>
        <w:t xml:space="preserve">et al</w:t>
      </w:r>
      <w:r>
        <w:t xml:space="preserve"> </w:t>
      </w:r>
      <w:r>
        <w:t xml:space="preserve">2010, Magnani</w:t>
      </w:r>
      <w:r>
        <w:t xml:space="preserve"> </w:t>
      </w:r>
      <w:r>
        <w:rPr>
          <w:iCs/>
          <w:i/>
        </w:rPr>
        <w:t xml:space="preserve">et al</w:t>
      </w:r>
      <w:r>
        <w:t xml:space="preserve"> </w:t>
      </w:r>
      <w:r>
        <w:t xml:space="preserve">2007)</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 – and therefore</w:t>
      </w:r>
      <w:r>
        <w:t xml:space="preserve"> </w:t>
      </w:r>
      <m:oMath>
        <m:sSub>
          <m:e>
            <m:r>
              <m:t>R</m:t>
            </m:r>
          </m:e>
          <m:sub>
            <m:r>
              <m:t>e</m:t>
            </m:r>
            <m:r>
              <m:t>c</m:t>
            </m:r>
            <m:r>
              <m:t>o</m:t>
            </m:r>
          </m:sub>
        </m:sSub>
      </m:oMath>
      <w:r>
        <w:t xml:space="preserve"> </w:t>
      </w:r>
      <w:r>
        <w:t xml:space="preserve">– are expected to be non-zero following stand-clearing disturbance (Fig. 1).</w:t>
      </w:r>
      <w:r>
        <w:t xml:space="preserve"> </w:t>
      </w:r>
      <w:r>
        <w:t xml:space="preserve">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w:t>
      </w:r>
      <w:r>
        <w:t xml:space="preserve"> </w:t>
      </w:r>
      <m:oMath>
        <m:r>
          <m:t>D</m:t>
        </m:r>
        <m:r>
          <m:t>W</m:t>
        </m:r>
      </m:oMath>
      <w:r>
        <w:t xml:space="preserve">, and</w:t>
      </w:r>
      <w:r>
        <w:t xml:space="preserve"> </w:t>
      </w:r>
      <m:oMath>
        <m:r>
          <m:t>O</m:t>
        </m:r>
        <m:r>
          <m:t>L</m:t>
        </m:r>
      </m:oMath>
      <w:r>
        <w:t xml:space="preserve"> </w:t>
      </w:r>
      <w:r>
        <w:t xml:space="preserve">(Ribeiro-Kumara</w:t>
      </w:r>
      <w:r>
        <w:t xml:space="preserve"> </w:t>
      </w:r>
      <w:r>
        <w:rPr>
          <w:iCs/>
          <w:i/>
        </w:rPr>
        <w:t xml:space="preserve">et al</w:t>
      </w:r>
      <w:r>
        <w:t xml:space="preserve"> </w:t>
      </w:r>
      <w:r>
        <w:t xml:space="preserve">2020, Maurer</w:t>
      </w:r>
      <w:r>
        <w:t xml:space="preserve"> </w:t>
      </w:r>
      <w:r>
        <w:rPr>
          <w:iCs/>
          <w:i/>
        </w:rPr>
        <w:t xml:space="preserve">et al</w:t>
      </w:r>
      <w:r>
        <w:t xml:space="preserve"> </w:t>
      </w:r>
      <w:r>
        <w:t xml:space="preserve">2016, Bond-Lamberty</w:t>
      </w:r>
      <w:r>
        <w:t xml:space="preserve"> </w:t>
      </w:r>
      <w:r>
        <w:rPr>
          <w:iCs/>
          <w:i/>
        </w:rPr>
        <w:t xml:space="preserve">et al</w:t>
      </w:r>
      <w:r>
        <w:t xml:space="preserve"> </w:t>
      </w:r>
      <w:r>
        <w:t xml:space="preserve">2004)</w:t>
      </w:r>
      <w:r>
        <w:t xml:space="preserve">, with the latter being strongly dependent upon the type of stand initiating disturbance (discussed below).</w:t>
      </w:r>
      <w:r>
        <w:t xml:space="preserve"> </w:t>
      </w:r>
      <w:r>
        <w:t xml:space="preserve">In this study, we detect no significant overall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Cs/>
          <w:i/>
        </w:rPr>
        <w:t xml:space="preserve">et al</w:t>
      </w:r>
      <w:r>
        <w:t xml:space="preserve"> </w:t>
      </w:r>
      <w:r>
        <w:t xml:space="preserve">2001, Luyssaert</w:t>
      </w:r>
      <w:r>
        <w:t xml:space="preserve"> </w:t>
      </w:r>
      <w:r>
        <w:rPr>
          <w:iCs/>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w:t>
      </w:r>
      <w:r>
        <w:t xml:space="preserve"> </w:t>
      </w:r>
      <w:r>
        <w:t xml:space="preserve">(Fig. 9, Odum 1969)</w:t>
      </w:r>
      <w:r>
        <w:t xml:space="preserve">, and such declines have been observed</w:t>
      </w:r>
      <w:r>
        <w:t xml:space="preserve"> </w:t>
      </w:r>
      <w:r>
        <w:t xml:space="preserve">(Law</w:t>
      </w:r>
      <w:r>
        <w:t xml:space="preserve"> </w:t>
      </w:r>
      <w:r>
        <w:rPr>
          <w:iCs/>
          <w:i/>
        </w:rPr>
        <w:t xml:space="preserve">et al</w:t>
      </w:r>
      <w:r>
        <w:t xml:space="preserve"> </w:t>
      </w:r>
      <w:r>
        <w:t xml:space="preserve">2003, Luyssaert</w:t>
      </w:r>
      <w:r>
        <w:t xml:space="preserve"> </w:t>
      </w:r>
      <w:r>
        <w:rPr>
          <w:iCs/>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Cs/>
          <w:i/>
        </w:rPr>
        <w:t xml:space="preserve">et al</w:t>
      </w:r>
      <w:r>
        <w:t xml:space="preserve"> </w:t>
      </w:r>
      <w:r>
        <w:t xml:space="preserve">2008, McGarvey</w:t>
      </w:r>
      <w:r>
        <w:t xml:space="preserve"> </w:t>
      </w:r>
      <w:r>
        <w:rPr>
          <w:iCs/>
          <w:i/>
        </w:rPr>
        <w:t xml:space="preserve">et al</w:t>
      </w:r>
      <w:r>
        <w:t xml:space="preserve"> </w:t>
      </w:r>
      <w:r>
        <w:t xml:space="preserve">2014, Lichstein</w:t>
      </w:r>
      <w:r>
        <w:t xml:space="preserve"> </w:t>
      </w:r>
      <w:r>
        <w:rPr>
          <w:iCs/>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 contrasting with more variable age trends in deadwood and the organic layer (Fig. 9).</w:t>
      </w:r>
      <w:r>
        <w:t xml:space="preserve"> </w:t>
      </w:r>
      <w:r>
        <w:t xml:space="preserve">The latter depend strongly on the type of disturbance.</w:t>
      </w:r>
      <w:r>
        <w:t xml:space="preserve"> </w:t>
      </w:r>
      <w:r>
        <w:t xml:space="preserve">Disturbances that remove most woody material (e.g., clearcut logging, agriculture) result in negligible deadwood in young stands, followed by a buildup over time</w:t>
      </w:r>
      <w:r>
        <w:t xml:space="preserve"> </w:t>
      </w:r>
      <w:r>
        <w:t xml:space="preserve">(e.g., tropical stands in Figs. 8, 9; e.g.,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typhoons/hurricanes)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Carmona</w:t>
      </w:r>
      <w:r>
        <w:t xml:space="preserve"> </w:t>
      </w:r>
      <w:r>
        <w:rPr>
          <w:iCs/>
          <w:i/>
        </w:rPr>
        <w:t xml:space="preserve">et al</w:t>
      </w:r>
      <w:r>
        <w:t xml:space="preserve"> </w:t>
      </w:r>
      <w:r>
        <w:t xml:space="preserve">2002)</w:t>
      </w:r>
      <w:r>
        <w:t xml:space="preserve">.</w:t>
      </w:r>
      <w:r>
        <w:t xml:space="preserve"> </w:t>
      </w:r>
      <w:r>
        <w:t xml:space="preserve">Further study and synthesis of non-living C stocks across biomes, stand ages, and disturbance types will be valuable to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Cs/>
          <w:i/>
        </w:rPr>
        <w:t xml:space="preserve">et al</w:t>
      </w:r>
      <w:r>
        <w:t xml:space="preserve"> </w:t>
      </w:r>
      <w:r>
        <w:t xml:space="preserve">2013)</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Cs/>
          <w:i/>
        </w:rPr>
        <w:t xml:space="preserve">et al</w:t>
      </w:r>
      <w:r>
        <w:t xml:space="preserve"> </w:t>
      </w:r>
      <w:r>
        <w:t xml:space="preserve">2017, 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Cs/>
          <w:i/>
        </w:rPr>
        <w:t xml:space="preserve">et al</w:t>
      </w:r>
      <w:r>
        <w:t xml:space="preserve"> </w:t>
      </w:r>
      <w:r>
        <w:t xml:space="preserve">2018)</w:t>
      </w:r>
      <w:r>
        <w:t xml:space="preserve">.</w:t>
      </w:r>
    </w:p>
    <w:p>
      <w:pPr>
        <w:pStyle w:val="BodyText"/>
      </w:pPr>
      <w:r>
        <w:t xml:space="preserve">In contrast, age trends for young forests generally remain less clearly defined.</w:t>
      </w:r>
      <w:r>
        <w:t xml:space="preserve"> </w:t>
      </w:r>
      <w:r>
        <w:t xml:space="preserve">In large part, this is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In addition, variation in the type and severity of stand-initiating disturbances introduces significant heterogeneity in both initial values and age trends of C cycle variables</w:t>
      </w:r>
      <w:r>
        <w:t xml:space="preserve"> </w:t>
      </w:r>
      <w:r>
        <w:t xml:space="preserve">(e.g., Cook-Patton</w:t>
      </w:r>
      <w:r>
        <w:t xml:space="preserve"> </w:t>
      </w:r>
      <w:r>
        <w:rPr>
          <w:iCs/>
          <w:i/>
        </w:rPr>
        <w:t xml:space="preserve">et al</w:t>
      </w:r>
      <w:r>
        <w:t xml:space="preserve"> </w:t>
      </w:r>
      <w:r>
        <w:t xml:space="preserve">2020)</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Cs/>
          <w:i/>
        </w:rPr>
        <w:t xml:space="preserve">ForC</w:t>
      </w:r>
      <w:r>
        <w:t xml:space="preserve"> </w:t>
      </w:r>
      <w:r>
        <w:t xml:space="preserve">currently has sparse–if any–coverage of fluxes to herbivores and higher consumers, along with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t xml:space="preserve">We note that there are considerable opportunities to expand data on</w:t>
      </w:r>
      <w:r>
        <w:t xml:space="preserve"> </w:t>
      </w:r>
      <m:oMath>
        <m:sSub>
          <m:e>
            <m:r>
              <m:t>M</m:t>
            </m:r>
          </m:e>
          <m:sub>
            <m:r>
              <m:t>w</m:t>
            </m:r>
            <m:r>
              <m:t>o</m:t>
            </m:r>
            <m:r>
              <m:t>o</m:t>
            </m:r>
            <m:r>
              <m:t>d</m:t>
            </m:r>
            <m:r>
              <m:t>y</m:t>
            </m:r>
          </m:sub>
        </m:sSub>
      </m:oMath>
      <w:r>
        <w:t xml:space="preserve"> </w:t>
      </w:r>
      <w:r>
        <w:t xml:space="preserve">and</w:t>
      </w:r>
      <w:r>
        <w:t xml:space="preserve"> </w:t>
      </w:r>
      <m:oMath>
        <m:r>
          <m:t>D</m:t>
        </m:r>
        <m:sSub>
          <m:e>
            <m:r>
              <m:t>W</m:t>
            </m:r>
          </m:e>
          <m:sub>
            <m:r>
              <m:t>s</m:t>
            </m:r>
            <m:r>
              <m:t>t</m:t>
            </m:r>
            <m:r>
              <m:t>a</m:t>
            </m:r>
            <m:r>
              <m:t>n</m:t>
            </m:r>
            <m:r>
              <m:t>d</m:t>
            </m:r>
            <m:r>
              <m:t>i</m:t>
            </m:r>
            <m:r>
              <m:t>n</m:t>
            </m:r>
            <m:r>
              <m:t>g</m:t>
            </m:r>
          </m:sub>
        </m:sSub>
      </m:oMath>
      <w:r>
        <w:t xml:space="preserve"> </w:t>
      </w:r>
      <w:r>
        <w:t xml:space="preserve">through calculations from existing forest census data.</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Cs/>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Reinmann</w:t>
      </w:r>
      <w:r>
        <w:t xml:space="preserve"> </w:t>
      </w:r>
      <w:r>
        <w:rPr>
          <w:iCs/>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Cs/>
          <w:i/>
        </w:rPr>
        <w:t xml:space="preserve">et al</w:t>
      </w:r>
      <w:r>
        <w:t xml:space="preserve"> </w:t>
      </w:r>
      <w:r>
        <w:t xml:space="preserve">2019, Piponiot</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Cs/>
          <w:i/>
        </w:rPr>
        <w:t xml:space="preserve">et al</w:t>
      </w:r>
      <w:r>
        <w:t xml:space="preserve"> </w:t>
      </w:r>
      <w:r>
        <w:t xml:space="preserve">2006, Bonner</w:t>
      </w:r>
      <w:r>
        <w:t xml:space="preserve"> </w:t>
      </w:r>
      <w:r>
        <w:rPr>
          <w:iCs/>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Cs/>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Cs/>
          <w:i/>
        </w:rPr>
        <w:t xml:space="preserve">et al</w:t>
      </w:r>
      <w:r>
        <w:t xml:space="preserve"> </w:t>
      </w:r>
      <w:r>
        <w:t xml:space="preserve">2018, Bonan and Doney 2018, Gustafson</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 Wang</w:t>
      </w:r>
      <w:r>
        <w:t xml:space="preserve"> </w:t>
      </w:r>
      <w:r>
        <w:rPr>
          <w:iCs/>
          <w:i/>
        </w:rPr>
        <w:t xml:space="preserve">et al</w:t>
      </w:r>
      <w:r>
        <w:t xml:space="preserve"> </w:t>
      </w:r>
      <w:r>
        <w:t xml:space="preserve">2018)</w:t>
      </w:r>
      <w:r>
        <w:t xml:space="preserve">.</w:t>
      </w:r>
      <w:r>
        <w:t xml:space="preserve"> </w:t>
      </w:r>
      <w:r>
        <w:rPr>
          <w:iCs/>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models will be valuable to improving the accuracy and reliability of models</w:t>
      </w:r>
      <w:r>
        <w:t xml:space="preserve"> </w:t>
      </w:r>
      <w:r>
        <w:t xml:space="preserve">(Fer</w:t>
      </w:r>
      <w:r>
        <w:t xml:space="preserve"> </w:t>
      </w:r>
      <w:r>
        <w:rPr>
          <w:iCs/>
          <w:i/>
        </w:rPr>
        <w:t xml:space="preserve">et al</w:t>
      </w:r>
      <w:r>
        <w:t xml:space="preserve"> </w:t>
      </w:r>
      <w:r>
        <w:t xml:space="preserve">2021)</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Cs/>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into aboveground carbon stocks, but less constraint on belowground stocks or carbon fluxes in general</w:t>
      </w:r>
      <w:r>
        <w:t xml:space="preserve"> </w:t>
      </w:r>
      <w:r>
        <w:t xml:space="preserve">(Bond-Lamberty</w:t>
      </w:r>
      <w:r>
        <w:t xml:space="preserve"> </w:t>
      </w:r>
      <w:r>
        <w:rPr>
          <w:iCs/>
          <w:i/>
        </w:rPr>
        <w:t xml:space="preserve">et al</w:t>
      </w:r>
      <w:r>
        <w:t xml:space="preserve"> </w:t>
      </w:r>
      <w:r>
        <w:t xml:space="preserve">2016, Anav</w:t>
      </w:r>
      <w:r>
        <w:t xml:space="preserve"> </w:t>
      </w:r>
      <w:r>
        <w:rPr>
          <w:iCs/>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Cs/>
          <w:i/>
        </w:rPr>
        <w:t xml:space="preserve">et al</w:t>
      </w:r>
      <w:r>
        <w:t xml:space="preserve"> </w:t>
      </w:r>
      <w:r>
        <w:t xml:space="preserve">2019, Liu</w:t>
      </w:r>
      <w:r>
        <w:t xml:space="preserve"> </w:t>
      </w:r>
      <w:r>
        <w:rPr>
          <w:iCs/>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Cs/>
          <w:i/>
        </w:rPr>
        <w:t xml:space="preserve">et al</w:t>
      </w:r>
      <w:r>
        <w:t xml:space="preserve"> </w:t>
      </w:r>
      <w:r>
        <w:t xml:space="preserve">2019, Chave</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recent decades</w:t>
      </w:r>
      <w:r>
        <w:t xml:space="preserve"> </w:t>
      </w:r>
      <w:r>
        <w:t xml:space="preserve">(Hansen</w:t>
      </w:r>
      <w:r>
        <w:t xml:space="preserve"> </w:t>
      </w:r>
      <w:r>
        <w:rPr>
          <w:iCs/>
          <w:i/>
        </w:rPr>
        <w:t xml:space="preserve">et al</w:t>
      </w:r>
      <w:r>
        <w:t xml:space="preserve"> </w:t>
      </w:r>
      <w:r>
        <w:t xml:space="preserve">2013, Song</w:t>
      </w:r>
      <w:r>
        <w:t xml:space="preserve"> </w:t>
      </w:r>
      <w:r>
        <w:rPr>
          <w:iCs/>
          <w:i/>
        </w:rPr>
        <w:t xml:space="preserve">et al</w:t>
      </w:r>
      <w:r>
        <w:t xml:space="preserve"> </w:t>
      </w:r>
      <w:r>
        <w:t xml:space="preserve">2018, Curtis</w:t>
      </w:r>
      <w:r>
        <w:t xml:space="preserve"> </w:t>
      </w:r>
      <w:r>
        <w:rPr>
          <w:iCs/>
          <w:i/>
        </w:rPr>
        <w:t xml:space="preserve">et al</w:t>
      </w:r>
      <w:r>
        <w:t xml:space="preserve"> </w:t>
      </w:r>
      <w:r>
        <w:t xml:space="preserve">2018)</w:t>
      </w:r>
      <w:r>
        <w:t xml:space="preserve">.</w:t>
      </w:r>
      <w:r>
        <w:t xml:space="preserve"> </w:t>
      </w:r>
      <w:r>
        <w:t xml:space="preserve">Ground-based data such as</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Cs/>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Cs/>
          <w:i/>
        </w:rPr>
        <w:t xml:space="preserve">et al</w:t>
      </w:r>
      <w:r>
        <w:t xml:space="preserve"> </w:t>
      </w:r>
      <w:r>
        <w:t xml:space="preserve">2016, Harmon</w:t>
      </w:r>
      <w:r>
        <w:t xml:space="preserve"> </w:t>
      </w:r>
      <w:r>
        <w:rPr>
          <w:iCs/>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Cs/>
          <w:i/>
        </w:rPr>
        <w:t xml:space="preserve">ForC</w:t>
      </w:r>
      <w:r>
        <w:t xml:space="preserve">, as summarized here, are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Cs/>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Cs/>
          <w:i/>
        </w:rPr>
        <w:t xml:space="preserve">et al</w:t>
      </w:r>
      <w:r>
        <w:t xml:space="preserve"> </w:t>
      </w:r>
      <w:r>
        <w:t xml:space="preserve">2016, Jian</w:t>
      </w:r>
      <w:r>
        <w:t xml:space="preserve"> </w:t>
      </w:r>
      <w:r>
        <w:rPr>
          <w:iCs/>
          <w:i/>
        </w:rPr>
        <w:t xml:space="preserve">et al</w:t>
      </w:r>
      <w:r>
        <w:t xml:space="preserve"> </w:t>
      </w:r>
      <w:r>
        <w:t xml:space="preserve">2020)</w:t>
      </w:r>
      <w:r>
        <w:t xml:space="preserve"> </w:t>
      </w:r>
      <w:r>
        <w:t xml:space="preserve">reinforces the idea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if lost through disturbance, could not be recovered on time scales most relevant to avoiding dangerous climate change</w:t>
      </w:r>
      <w:r>
        <w:t xml:space="preserve"> </w:t>
      </w:r>
      <w:r>
        <w:t xml:space="preserve">(i.e., 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Cs/>
          <w:i/>
        </w:rPr>
        <w:t xml:space="preserve">Science</w:t>
      </w:r>
      <w:r>
        <w:t xml:space="preserve"> </w:t>
      </w:r>
      <w:r>
        <w:rPr>
          <w:bCs/>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Cs/>
          <w:i/>
        </w:rPr>
        <w:t xml:space="preserve">Ecology Letters</w:t>
      </w:r>
      <w:r>
        <w:t xml:space="preserve"> </w:t>
      </w:r>
      <w:r>
        <w:rPr>
          <w:bCs/>
          <w:b/>
        </w:rPr>
        <w:t xml:space="preserve">9</w:t>
      </w:r>
      <w:r>
        <w:t xml:space="preserve"> </w:t>
      </w:r>
      <w:r>
        <w:t xml:space="preserve">673–82</w:t>
      </w:r>
    </w:p>
    <w:bookmarkEnd w:id="55"/>
    <w:bookmarkStart w:id="56"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w:t>
      </w:r>
      <w:r>
        <w:t xml:space="preserve"> </w:t>
      </w:r>
      <w:r>
        <w:t xml:space="preserve">New Mexico</w:t>
      </w:r>
      <w:r>
        <w:t xml:space="preserve"> </w:t>
      </w:r>
      <w:r>
        <w:rPr>
          <w:iCs/>
          <w:i/>
        </w:rPr>
        <w:t xml:space="preserve">Global Change Biology</w:t>
      </w:r>
      <w:r>
        <w:t xml:space="preserve"> </w:t>
      </w:r>
      <w:r>
        <w:rPr>
          <w:bCs/>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8"/>
    <w:bookmarkStart w:id="59" w:name="ref-anderson-teixeira_altered_2013"/>
    <w:p>
      <w:pPr>
        <w:pStyle w:val="Bibliography"/>
      </w:pPr>
      <w:r>
        <w:t xml:space="preserve">Anderson-Teixeira K J, Masters M D, Black C K, Zeri M, Hussain M Z, Bernacchi C J and DeLucia E H 2013 Altered</w:t>
      </w:r>
      <w:r>
        <w:t xml:space="preserve"> </w:t>
      </w:r>
      <w:r>
        <w:t xml:space="preserve">Belowground Carbon Cycling Following Land</w:t>
      </w:r>
      <w:r>
        <w:t xml:space="preserve">-</w:t>
      </w:r>
      <w:r>
        <w:t xml:space="preserve">Use Change</w:t>
      </w:r>
      <w:r>
        <w:t xml:space="preserve"> </w:t>
      </w:r>
      <w:r>
        <w:t xml:space="preserve">to</w:t>
      </w:r>
      <w:r>
        <w:t xml:space="preserve"> </w:t>
      </w:r>
      <w:r>
        <w:t xml:space="preserve">Perennial Bioenergy Crops</w:t>
      </w:r>
      <w:r>
        <w:t xml:space="preserve"> </w:t>
      </w:r>
      <w:r>
        <w:rPr>
          <w:iCs/>
          <w:i/>
        </w:rPr>
        <w:t xml:space="preserve">Ecosystems</w:t>
      </w:r>
      <w:r>
        <w:t xml:space="preserve"> </w:t>
      </w:r>
      <w:r>
        <w:rPr>
          <w:bCs/>
          <w:b/>
        </w:rPr>
        <w:t xml:space="preserve">16</w:t>
      </w:r>
      <w:r>
        <w:t xml:space="preserve"> </w:t>
      </w:r>
      <w:r>
        <w:t xml:space="preserve">508–20</w:t>
      </w:r>
    </w:p>
    <w:bookmarkEnd w:id="59"/>
    <w:bookmarkStart w:id="60"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61"/>
    <w:bookmarkStart w:id="62" w:name="ref-anderson-teixeira_forcdb_2020"/>
    <w:p>
      <w:pPr>
        <w:pStyle w:val="Bibliography"/>
      </w:pPr>
      <w:r>
        <w:t xml:space="preserve">Anderson-Teixeira K, Herrmann V, CookPatton, Ferson A and Lister K 2020 Forc-db/</w:t>
      </w:r>
      <w:r>
        <w:t xml:space="preserve">GROA</w:t>
      </w:r>
      <w:r>
        <w:t xml:space="preserve">:</w:t>
      </w:r>
      <w:r>
        <w:t xml:space="preserve"> </w:t>
      </w:r>
      <w:r>
        <w:t xml:space="preserve">Release</w:t>
      </w:r>
      <w:r>
        <w:t xml:space="preserve"> </w:t>
      </w:r>
      <w:r>
        <w:t xml:space="preserve">with</w:t>
      </w:r>
      <w:r>
        <w:t xml:space="preserve"> </w:t>
      </w:r>
      <w:r>
        <w:t xml:space="preserve">Cook</w:t>
      </w:r>
      <w:r>
        <w:t xml:space="preserve">-</w:t>
      </w:r>
      <w:r>
        <w:t xml:space="preserve">Patton</w:t>
      </w:r>
      <w:r>
        <w:t xml:space="preserve"> </w:t>
      </w:r>
      <w:r>
        <w:t xml:space="preserve">et al. 2020,</w:t>
      </w:r>
      <w:r>
        <w:t xml:space="preserve"> </w:t>
      </w:r>
      <w:r>
        <w:t xml:space="preserve">Nature</w:t>
      </w:r>
      <w:r>
        <w:t xml:space="preserve">.</w:t>
      </w:r>
    </w:p>
    <w:bookmarkEnd w:id="62"/>
    <w:bookmarkStart w:id="63"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64"/>
    <w:bookmarkStart w:id="65" w:name="ref-banburymorgan_global_inpress"/>
    <w:p>
      <w:pPr>
        <w:pStyle w:val="Bibliography"/>
      </w:pPr>
      <w:r>
        <w:t xml:space="preserve">Banbury Morgan B, Herrmann V, Kunert N, Bond-Lamberty B, Muller-Landau H C and Anderson-Teixeira K J in press Global patterns of forest autotrophic carbon fluxes</w:t>
      </w:r>
      <w:r>
        <w:t xml:space="preserve"> </w:t>
      </w:r>
      <w:r>
        <w:rPr>
          <w:iCs/>
          <w:i/>
        </w:rPr>
        <w:t xml:space="preserve">Global Change Biology</w:t>
      </w:r>
    </w:p>
    <w:bookmarkEnd w:id="65"/>
    <w:bookmarkStart w:id="66"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7"/>
    <w:bookmarkStart w:id="68"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9"/>
    <w:bookmarkStart w:id="70"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70"/>
    <w:bookmarkStart w:id="71" w:name="ref-bond-lamberty_new_2018"/>
    <w:p>
      <w:pPr>
        <w:pStyle w:val="Bibliography"/>
      </w:pPr>
      <w:r>
        <w:t xml:space="preserve">Bond-Lamberty B 2018 New</w:t>
      </w:r>
      <w:r>
        <w:t xml:space="preserve"> </w:t>
      </w:r>
      <w:r>
        <w:t xml:space="preserve">Techniques</w:t>
      </w:r>
      <w:r>
        <w:t xml:space="preserve"> </w:t>
      </w:r>
      <w:r>
        <w:t xml:space="preserve">and</w:t>
      </w:r>
      <w:r>
        <w:t xml:space="preserve"> </w:t>
      </w:r>
      <w:r>
        <w:t xml:space="preserve">Data</w:t>
      </w:r>
      <w:r>
        <w:t xml:space="preserve"> </w:t>
      </w:r>
      <w:r>
        <w:t xml:space="preserve">for</w:t>
      </w:r>
      <w:r>
        <w:t xml:space="preserve"> </w:t>
      </w:r>
      <w:r>
        <w:t xml:space="preserve">Understanding</w:t>
      </w:r>
      <w:r>
        <w:t xml:space="preserve"> </w:t>
      </w:r>
      <w:r>
        <w:t xml:space="preserve">the</w:t>
      </w:r>
      <w:r>
        <w:t xml:space="preserve"> </w:t>
      </w:r>
      <w:r>
        <w:t xml:space="preserve">Global Soil Respiration Flux</w:t>
      </w:r>
      <w:r>
        <w:t xml:space="preserve"> </w:t>
      </w:r>
      <w:r>
        <w:rPr>
          <w:iCs/>
          <w:i/>
        </w:rPr>
        <w:t xml:space="preserve">Earth’s Future</w:t>
      </w:r>
      <w:r>
        <w:t xml:space="preserve"> </w:t>
      </w:r>
      <w:r>
        <w:rPr>
          <w:bCs/>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Cs/>
          <w:i/>
        </w:rPr>
        <w:t xml:space="preserve">Ecosphere</w:t>
      </w:r>
      <w:r>
        <w:t xml:space="preserve"> </w:t>
      </w:r>
      <w:r>
        <w:rPr>
          <w:bCs/>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Cs/>
          <w:i/>
        </w:rPr>
        <w:t xml:space="preserve">Forest Ecology and Management</w:t>
      </w:r>
      <w:r>
        <w:t xml:space="preserve"> </w:t>
      </w:r>
      <w:r>
        <w:rPr>
          <w:bCs/>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Cs/>
          <w:i/>
        </w:rPr>
        <w:t xml:space="preserve">Global Change Biology</w:t>
      </w:r>
      <w:r>
        <w:t xml:space="preserve"> </w:t>
      </w:r>
      <w:r>
        <w:rPr>
          <w:bCs/>
          <w:b/>
        </w:rPr>
        <w:t xml:space="preserve">20</w:t>
      </w:r>
      <w:r>
        <w:t xml:space="preserve"> </w:t>
      </w:r>
      <w:r>
        <w:t xml:space="preserve">3177–90</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Cs/>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91"/>
    <w:bookmarkStart w:id="92" w:name="ref-divittorio_initial_2020"/>
    <w:p>
      <w:pPr>
        <w:pStyle w:val="Bibliography"/>
      </w:pPr>
      <w:r>
        <w:t xml:space="preserve">Di Vittorio A V, Shi X, Bond-Lamberty B, Calvin K and Jones A 2020 Initial</w:t>
      </w:r>
      <w:r>
        <w:t xml:space="preserve"> </w:t>
      </w:r>
      <w:r>
        <w:t xml:space="preserve">Land Use</w:t>
      </w:r>
      <w:r>
        <w:t xml:space="preserve">/</w:t>
      </w:r>
      <w:r>
        <w:t xml:space="preserve">Cover Distribution Substantially Affects Global Carbon</w:t>
      </w:r>
      <w:r>
        <w:t xml:space="preserve"> </w:t>
      </w:r>
      <w:r>
        <w:t xml:space="preserve">and</w:t>
      </w:r>
      <w:r>
        <w:t xml:space="preserve"> </w:t>
      </w:r>
      <w:r>
        <w:t xml:space="preserve">Local Temperature Projections</w:t>
      </w:r>
      <w:r>
        <w:t xml:space="preserve"> </w:t>
      </w:r>
      <w:r>
        <w:t xml:space="preserve">in the</w:t>
      </w:r>
      <w:r>
        <w:t xml:space="preserve"> </w:t>
      </w:r>
      <w:r>
        <w:t xml:space="preserve">Integrated Earth System Model</w:t>
      </w:r>
      <w:r>
        <w:t xml:space="preserve"> </w:t>
      </w:r>
      <w:r>
        <w:rPr>
          <w:iCs/>
          <w:i/>
        </w:rPr>
        <w:t xml:space="preserve">Global Biogeochemical Cycles</w:t>
      </w:r>
      <w:r>
        <w:t xml:space="preserve"> </w:t>
      </w:r>
      <w:r>
        <w:rPr>
          <w:bCs/>
          <w:b/>
        </w:rPr>
        <w:t xml:space="preserve">34</w:t>
      </w:r>
    </w:p>
    <w:bookmarkEnd w:id="92"/>
    <w:bookmarkStart w:id="93"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93"/>
    <w:bookmarkStart w:id="94" w:name="ref-faoandunep_state_2020"/>
    <w:p>
      <w:pPr>
        <w:pStyle w:val="Bibliography"/>
      </w:pPr>
      <w:r>
        <w:t xml:space="preserve">FAO and UNEP 2020</w:t>
      </w:r>
      <w:r>
        <w:t xml:space="preserve"> </w:t>
      </w:r>
      <w:r>
        <w:rPr>
          <w:iCs/>
          <w:i/>
        </w:rPr>
        <w:t xml:space="preserve">The State of the World’s Forests 2020: Forests, biodiversity and people</w:t>
      </w:r>
      <w:r>
        <w:t xml:space="preserve"> </w:t>
      </w:r>
      <w:r>
        <w:t xml:space="preserve">(</w:t>
      </w:r>
      <w:r>
        <w:t xml:space="preserve">Rome, Italy</w:t>
      </w:r>
      <w:r>
        <w:t xml:space="preserve">:</w:t>
      </w:r>
      <w:r>
        <w:t xml:space="preserve"> </w:t>
      </w:r>
      <w:r>
        <w:t xml:space="preserve">FAO and UNEP</w:t>
      </w:r>
      <w:r>
        <w:t xml:space="preserve">)</w:t>
      </w:r>
    </w:p>
    <w:bookmarkEnd w:id="94"/>
    <w:bookmarkStart w:id="95"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 </w:t>
      </w:r>
      <w:r>
        <w:rPr>
          <w:bCs/>
          <w:b/>
        </w:rPr>
        <w:t xml:space="preserve">27</w:t>
      </w:r>
      <w:r>
        <w:t xml:space="preserve"> </w:t>
      </w:r>
      <w:r>
        <w:t xml:space="preserve">13–26</w:t>
      </w:r>
    </w:p>
    <w:bookmarkEnd w:id="95"/>
    <w:bookmarkStart w:id="96" w:name="ref-friedlingstein_climate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 </w:t>
      </w:r>
      <w:r>
        <w:rPr>
          <w:iCs/>
          <w:i/>
        </w:rPr>
        <w:t xml:space="preserve">Journal of Climate</w:t>
      </w:r>
      <w:r>
        <w:t xml:space="preserve"> </w:t>
      </w:r>
      <w:r>
        <w:rPr>
          <w:bCs/>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w:t>
      </w:r>
      <w:r>
        <w:t xml:space="preserve">Resolution Global Maps</w:t>
      </w:r>
      <w:r>
        <w:t xml:space="preserve"> </w:t>
      </w:r>
      <w:r>
        <w:t xml:space="preserve">of 21st-</w:t>
      </w:r>
      <w:r>
        <w:t xml:space="preserve">Century Forest Cover Change</w:t>
      </w:r>
      <w:r>
        <w:t xml:space="preserve"> </w:t>
      </w:r>
      <w:r>
        <w:rPr>
          <w:iCs/>
          <w:i/>
        </w:rPr>
        <w:t xml:space="preserve">Science</w:t>
      </w:r>
      <w:r>
        <w:t xml:space="preserve"> </w:t>
      </w:r>
      <w:r>
        <w:rPr>
          <w:bCs/>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w:t>
      </w:r>
      <w:r>
        <w:t xml:space="preserve"> </w:t>
      </w:r>
      <w:r>
        <w:t xml:space="preserve">Amazon</w:t>
      </w:r>
      <w:r>
        <w:t xml:space="preserve"> </w:t>
      </w:r>
      <w:r>
        <w:t xml:space="preserve">forests</w:t>
      </w:r>
      <w:r>
        <w:t xml:space="preserve"> </w:t>
      </w:r>
      <w:r>
        <w:rPr>
          <w:iCs/>
          <w:i/>
        </w:rPr>
        <w:t xml:space="preserve">Global Biogeochemical Cycles</w:t>
      </w:r>
      <w:r>
        <w:t xml:space="preserve"> </w:t>
      </w:r>
      <w:r>
        <w:rPr>
          <w:bCs/>
          <w:b/>
        </w:rPr>
        <w:t xml:space="preserve">24</w:t>
      </w:r>
    </w:p>
    <w:bookmarkEnd w:id="111"/>
    <w:bookmarkStart w:id="112"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114"/>
    <w:bookmarkStart w:id="115"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116"/>
    <w:bookmarkStart w:id="117" w:name="ref-johnson_postdisturbance_2000"/>
    <w:p>
      <w:pPr>
        <w:pStyle w:val="Bibliography"/>
      </w:pPr>
      <w:r>
        <w:t xml:space="preserve">Johnson C M, Zarin D J and Johnson A H 2000 Post-disturbance aboveground biomass accumulation in global secondary forests</w:t>
      </w:r>
      <w:r>
        <w:t xml:space="preserve"> </w:t>
      </w:r>
      <w:r>
        <w:rPr>
          <w:iCs/>
          <w:i/>
        </w:rPr>
        <w:t xml:space="preserve">Ecology</w:t>
      </w:r>
      <w:r>
        <w:t xml:space="preserve"> </w:t>
      </w:r>
      <w:r>
        <w:rPr>
          <w:bCs/>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Cs/>
          <w:i/>
        </w:rPr>
        <w:t xml:space="preserve">Proceedings of the National Academy of Sciences</w:t>
      </w:r>
      <w:r>
        <w:t xml:space="preserve"> </w:t>
      </w:r>
      <w:r>
        <w:rPr>
          <w:bCs/>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23"/>
    <w:bookmarkStart w:id="124"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24"/>
    <w:bookmarkStart w:id="125"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26"/>
    <w:bookmarkStart w:id="127"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28"/>
    <w:bookmarkStart w:id="129"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Cs/>
          <w:i/>
        </w:rPr>
        <w:t xml:space="preserve">Nature</w:t>
      </w:r>
      <w:r>
        <w:t xml:space="preserve"> </w:t>
      </w:r>
      <w:r>
        <w:rPr>
          <w:bCs/>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39"/>
    <w:bookmarkStart w:id="14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56"/>
    <w:bookmarkStart w:id="157"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 </w:t>
      </w:r>
      <w:r>
        <w:rPr>
          <w:bCs/>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60"/>
    <w:bookmarkStart w:id="161"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Cs/>
          <w:i/>
        </w:rPr>
        <w:t xml:space="preserve">Nature Ecology &amp; Evolution</w:t>
      </w:r>
      <w:r>
        <w:t xml:space="preserve"> </w:t>
      </w:r>
      <w:r>
        <w:rPr>
          <w:bCs/>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w:t>
      </w:r>
      <w:r>
        <w:t xml:space="preserve"> </w:t>
      </w:r>
      <w:r>
        <w:t xml:space="preserve">FLUXNET</w:t>
      </w:r>
      <w:r>
        <w:t xml:space="preserve"> </w:t>
      </w:r>
      <w:r>
        <w:t xml:space="preserve">research sites:</w:t>
      </w:r>
      <w:r>
        <w:t xml:space="preserve"> </w:t>
      </w:r>
      <w:r>
        <w:t xml:space="preserve">The</w:t>
      </w:r>
      <w:r>
        <w:t xml:space="preserve"> </w:t>
      </w:r>
      <w:r>
        <w:t xml:space="preserve">role of landscape scale heterogeneity</w:t>
      </w:r>
      <w:r>
        <w:t xml:space="preserve"> </w:t>
      </w:r>
      <w:r>
        <w:rPr>
          <w:iCs/>
          <w:i/>
        </w:rPr>
        <w:t xml:space="preserve">Agricultural and Forest Meteorology</w:t>
      </w:r>
      <w:r>
        <w:t xml:space="preserve"> </w:t>
      </w:r>
      <w:r>
        <w:rPr>
          <w:bCs/>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71"/>
    <w:bookmarkStart w:id="172" w:name="ref-rcoreteam_language_2020"/>
    <w:p>
      <w:pPr>
        <w:pStyle w:val="Bibliography"/>
      </w:pPr>
      <w:r>
        <w:t xml:space="preserve">Team R C 2020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p>
    <w:bookmarkEnd w:id="172"/>
    <w:bookmarkStart w:id="173"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w:t>
      </w:r>
      <w:r>
        <w:t xml:space="preserve"> </w:t>
      </w:r>
      <w:r>
        <w:t xml:space="preserve">GOLUM</w:t>
      </w:r>
      <w:r>
        <w:t xml:space="preserve">-</w:t>
      </w:r>
      <w:r>
        <w:t xml:space="preserve">CNP</w:t>
      </w:r>
      <w:r>
        <w:t xml:space="preserve"> </w:t>
      </w:r>
      <w:r>
        <w:t xml:space="preserve">v1.0: A data-driven modeling of carbon, nitrogen and phosphorus cycles in major terrestrial biomes</w:t>
      </w:r>
      <w:r>
        <w:t xml:space="preserve"> </w:t>
      </w:r>
      <w:r>
        <w:rPr>
          <w:iCs/>
          <w:i/>
        </w:rPr>
        <w:t xml:space="preserve">Geoscientific Model Development</w:t>
      </w:r>
      <w:r>
        <w:t xml:space="preserve"> </w:t>
      </w:r>
      <w:r>
        <w:rPr>
          <w:bCs/>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2021-02-28T17:42:56Z</dcterms:created>
  <dcterms:modified xsi:type="dcterms:W3CDTF">2021-02-28T17:42:56Z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