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calculaate statistics for both mature and regrowth (age &lt;100 years) forests, and quantify trends with stand age in regrowth forests for all variables with sufficient data.</w:t>
      </w:r>
    </w:p>
    <w:p>
      <w:pPr>
        <w:pStyle w:val="BodyText"/>
      </w:pPr>
      <w:r>
        <w:rPr>
          <w:i/>
        </w:rPr>
        <w:t xml:space="preserve">Review Results/ Synthesis.</w:t>
      </w:r>
      <w:r>
        <w:t xml:space="preserve"> </w:t>
      </w:r>
      <w:r>
        <w:t xml:space="preserve">The rate of C cycling generally decreased from tropical to boreal regions in both mature and regrowth forests, whereas C stocks showed less directional variation. Net ecosystem production of mature forests was indistinguishable across biomes. The majority of flux variables, together with most live biomass pools, increased significantly with stand age when fit with logarithmic functions.</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 IPCC 2019)</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(Clark</w:t>
      </w:r>
      <w:r>
        <w:t xml:space="preserve"> </w:t>
      </w:r>
      <w:r>
        <w:rPr>
          <w:i/>
        </w:rPr>
        <w:t xml:space="preserve">et al</w:t>
      </w:r>
      <w:r>
        <w:t xml:space="preserve"> </w:t>
      </w:r>
      <w:r>
        <w:t xml:space="preserve">2017, Luo</w:t>
      </w:r>
      <w:r>
        <w:t xml:space="preserve"> </w:t>
      </w:r>
      <w:r>
        <w:rPr>
          <w:i/>
        </w:rPr>
        <w:t xml:space="preserve">et al</w:t>
      </w:r>
      <w:r>
        <w:t xml:space="preserve"> </w:t>
      </w:r>
      <w:r>
        <w:t xml:space="preserve">2012)</w:t>
      </w:r>
      <w:r>
        <w:t xml:space="preserve">,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more than seven times the average annual fossil fuel emissions during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total forest C uptake has exceeded releases, such that globally forests have been a C sink</w:t>
      </w:r>
      <w:r>
        <w:t xml:space="preserve"> </w:t>
      </w:r>
      <w:r>
        <w:t xml:space="preserve">(Harris</w:t>
      </w:r>
      <w:r>
        <w:t xml:space="preserve"> </w:t>
      </w:r>
      <w:r>
        <w:rPr>
          <w:i/>
        </w:rPr>
        <w:t xml:space="preserve">et al</w:t>
      </w:r>
      <w:r>
        <w:t xml:space="preserve"> </w:t>
      </w:r>
      <w:r>
        <w:t xml:space="preserve">2021)</w:t>
      </w:r>
      <w:r>
        <w:t xml:space="preserve">.</w:t>
      </w:r>
      <w:r>
        <w:t xml:space="preserve"> </w:t>
      </w:r>
      <w:r>
        <w:t xml:space="preserve">Considering only areas remaining in forest, this C sink has averaged 3.2</w:t>
      </w:r>
      <w:r>
        <w:t xml:space="preserve"> </w:t>
      </w:r>
      <m:oMath>
        <m:r>
          <m:t>±</m:t>
        </m:r>
      </m:oMath>
      <w:r>
        <w:t xml:space="preserve"> </w:t>
      </w:r>
      <w:r>
        <w:t xml:space="preserve">0.6 Gt C yr</w:t>
      </w:r>
      <w:r>
        <w:rPr>
          <w:vertAlign w:val="superscript"/>
        </w:rPr>
        <w:t xml:space="preserve">-1</w:t>
      </w:r>
      <w:r>
        <w:t xml:space="preserve"> </w:t>
      </w:r>
      <w:r>
        <w:t xml:space="preserve">for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
        </w:rPr>
        <w:t xml:space="preserve">et al</w:t>
      </w:r>
      <w:r>
        <w:t xml:space="preserve"> </w:t>
      </w:r>
      <w:r>
        <w:t xml:space="preserve">2019, Harris</w:t>
      </w:r>
      <w:r>
        <w:t xml:space="preserve"> </w:t>
      </w:r>
      <w:r>
        <w:rPr>
          <w:i/>
        </w:rPr>
        <w:t xml:space="preserve">et al</w:t>
      </w:r>
      <w:r>
        <w:t xml:space="preserve"> </w:t>
      </w:r>
      <w:r>
        <w:t xml:space="preserve">2021)</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(Friedlingstein</w:t>
      </w:r>
      <w:r>
        <w:t xml:space="preserve"> </w:t>
      </w:r>
      <w:r>
        <w:rPr>
          <w:i/>
        </w:rPr>
        <w:t xml:space="preserve">et al</w:t>
      </w:r>
      <w:r>
        <w:t xml:space="preserve"> </w:t>
      </w:r>
      <w:r>
        <w:t xml:space="preserve">2006)</w:t>
      </w:r>
      <w:r>
        <w:t xml:space="preserv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the development of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w:t>
      </w:r>
      <w:r>
        <w:rPr>
          <w:i/>
        </w:rPr>
        <w:t xml:space="preserve">ForC v2.0-Ecology</w:t>
      </w:r>
      <w:r>
        <w:t xml:space="preserve">; 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primarily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cateogrize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 e.g., Lieth 1973, Luyssaert</w:t>
      </w:r>
      <w:r>
        <w:t xml:space="preserve"> </w:t>
      </w:r>
      <w:r>
        <w:rPr>
          <w:i/>
        </w:rPr>
        <w:t xml:space="preserve">et al</w:t>
      </w:r>
      <w:r>
        <w:t xml:space="preserve"> </w:t>
      </w:r>
      <w:r>
        <w:t xml:space="preserve">2007, Hursh</w:t>
      </w:r>
      <w:r>
        <w:t xml:space="preserve"> </w:t>
      </w:r>
      <w:r>
        <w:rPr>
          <w:i/>
        </w:rPr>
        <w:t xml:space="preserve">et al</w:t>
      </w:r>
      <w:r>
        <w:t xml:space="preserve"> </w:t>
      </w:r>
      <w:r>
        <w:t xml:space="preserve">2017,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
        </w:rPr>
        <w:t xml:space="preserve">et al</w:t>
      </w:r>
      <w:r>
        <w:t xml:space="preserve"> </w:t>
      </w:r>
      <w:r>
        <w:t xml:space="preserve">1986, Allen</w:t>
      </w:r>
      <w:r>
        <w:t xml:space="preserve"> </w:t>
      </w:r>
      <w:r>
        <w:rPr>
          <w:i/>
        </w:rPr>
        <w:t xml:space="preserve">et al</w:t>
      </w:r>
      <w:r>
        <w:t xml:space="preserve"> </w:t>
      </w:r>
      <w:r>
        <w:t xml:space="preserve">2002)</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 global maps of environmental covariates, making it possible to create fine-scale global maps of C cycling</w:t>
      </w:r>
      <w:r>
        <w:t xml:space="preserve"> </w:t>
      </w:r>
      <w:r>
        <w:t xml:space="preserve">(e.g., Warner</w:t>
      </w:r>
      <w:r>
        <w:t xml:space="preserve"> </w:t>
      </w:r>
      <w:r>
        <w:rPr>
          <w:i/>
        </w:rPr>
        <w:t xml:space="preserve">et al</w:t>
      </w:r>
      <w:r>
        <w:t xml:space="preserve"> </w:t>
      </w:r>
      <w:r>
        <w:t xml:space="preserve">2019, Cook-Patton</w:t>
      </w:r>
      <w:r>
        <w:t xml:space="preserve"> </w:t>
      </w:r>
      <w:r>
        <w:rPr>
          <w:i/>
        </w:rPr>
        <w:t xml:space="preserve">et al</w:t>
      </w:r>
      <w:r>
        <w:t xml:space="preserve"> </w:t>
      </w:r>
      <w:r>
        <w:t xml:space="preserve">2020)</w:t>
      </w:r>
      <w:r>
        <w:t xml:space="preserve">.</w:t>
      </w:r>
      <w:r>
        <w:t xml:space="preserve"> </w:t>
      </w:r>
      <w:r>
        <w:t xml:space="preserve">This approach can be particularly effective when paired with satellite measurements that correlate to C cycle variables of interest; for example, solar-induced chlorophyll fluorescence is useful for fine-scale mapping of gross primary productivity</w:t>
      </w:r>
      <w:r>
        <w:t xml:space="preserve"> </w:t>
      </w:r>
      <w:r>
        <w:t xml:space="preserve">(</w:t>
      </w:r>
      <m:oMath>
        <m:r>
          <m:t>G</m:t>
        </m:r>
        <m:r>
          <m:t>P</m:t>
        </m:r>
        <m:r>
          <m:t>P</m:t>
        </m:r>
      </m:oMath>
      <w:r>
        <w:t xml:space="preserve">; Li and Xiao 2019)</w:t>
      </w:r>
      <w:r>
        <w:t xml:space="preserve">, while LiDAR, radar, and optical imagery are being used to estimate</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w:t>
      </w:r>
      <w:r>
        <w:t xml:space="preserve">.</w:t>
      </w:r>
      <w:r>
        <w:t xml:space="preserve"> </w:t>
      </w:r>
      <w:r>
        <w:t xml:space="preserve">Any such analysis is however constrained by the quality and coverage of ground-based estimates of forest C fluxes or stocks</w:t>
      </w:r>
      <w:r>
        <w:t xml:space="preserve"> </w:t>
      </w:r>
      <w:r>
        <w:t xml:space="preserve">(e.g., Schepaschenko</w:t>
      </w:r>
      <w:r>
        <w:t xml:space="preserve"> </w:t>
      </w:r>
      <w:r>
        <w:rPr>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forest-based climate change mitigation across forest biomes or ecozones</w:t>
      </w:r>
      <w:r>
        <w:t xml:space="preserve"> </w:t>
      </w:r>
      <w:r>
        <w:t xml:space="preserve">(e.g., IPCC 2019)</w:t>
      </w:r>
      <w:r>
        <w:t xml:space="preserve">.</w:t>
      </w:r>
    </w:p>
    <w:bookmarkEnd w:id="24"/>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 albeit with modest modifications</w:t>
      </w:r>
      <w:r>
        <w:t xml:space="preserve"> </w:t>
      </w:r>
      <w:r>
        <w:t xml:space="preserve">(Fig. 1; 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
        </w:rPr>
        <w:t xml:space="preserve">et al</w:t>
      </w:r>
      <w:r>
        <w:t xml:space="preserve"> </w:t>
      </w:r>
      <w:r>
        <w:t xml:space="preserve">2003, Pregitzer and Euskirchen 2004, Amiro</w:t>
      </w:r>
      <w:r>
        <w:t xml:space="preserve"> </w:t>
      </w:r>
      <w:r>
        <w:rPr>
          <w:i/>
        </w:rPr>
        <w:t xml:space="preserve">et al</w:t>
      </w:r>
      <w:r>
        <w:t xml:space="preserve"> </w:t>
      </w:r>
      <w:r>
        <w:t xml:space="preserve">2010, Goulden</w:t>
      </w:r>
      <w:r>
        <w:t xml:space="preserve"> </w:t>
      </w:r>
      <w:r>
        <w:rPr>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
        </w:rPr>
        <w:t xml:space="preserve">et al</w:t>
      </w:r>
      <w:r>
        <w:t xml:space="preserve"> </w:t>
      </w:r>
      <w:r>
        <w:t xml:space="preserve">2007,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t xml:space="preserve">(Law</w:t>
      </w:r>
      <w:r>
        <w:t xml:space="preserve"> </w:t>
      </w:r>
      <w:r>
        <w:rPr>
          <w:i/>
        </w:rPr>
        <w:t xml:space="preserve">et al</w:t>
      </w:r>
      <w:r>
        <w:t xml:space="preserve"> </w:t>
      </w:r>
      <w:r>
        <w:t xml:space="preserve">2003, Pregitzer and Euskirchen 2004, Goulden</w:t>
      </w:r>
      <w:r>
        <w:t xml:space="preserve"> </w:t>
      </w:r>
      <w:r>
        <w:rPr>
          <w:i/>
        </w:rPr>
        <w:t xml:space="preserve">et al</w:t>
      </w:r>
      <w:r>
        <w:t xml:space="preserve"> </w:t>
      </w:r>
      <w:r>
        <w:t xml:space="preserve">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declines–typically to a small positive value–thereafter</w:t>
      </w:r>
      <w:r>
        <w:t xml:space="preserve"> </w:t>
      </w:r>
      <w:r>
        <w:t xml:space="preserve">(Law</w:t>
      </w:r>
      <w:r>
        <w:t xml:space="preserve"> </w:t>
      </w:r>
      <w:r>
        <w:rPr>
          <w:i/>
        </w:rPr>
        <w:t xml:space="preserve">et al</w:t>
      </w:r>
      <w:r>
        <w:t xml:space="preserve"> </w:t>
      </w:r>
      <w:r>
        <w:t xml:space="preserve">2003, Pregitzer and Euskirchen 2004, Amiro</w:t>
      </w:r>
      <w:r>
        <w:t xml:space="preserve"> </w:t>
      </w:r>
      <w:r>
        <w:rPr>
          <w:i/>
        </w:rPr>
        <w:t xml:space="preserve">et al</w:t>
      </w:r>
      <w:r>
        <w:t xml:space="preserve"> </w:t>
      </w:r>
      <w:r>
        <w:t xml:space="preserve">2010, Goulden</w:t>
      </w:r>
      <w:r>
        <w:t xml:space="preserve"> </w:t>
      </w:r>
      <w:r>
        <w:rPr>
          <w:i/>
        </w:rPr>
        <w:t xml:space="preserve">et al</w:t>
      </w:r>
      <w:r>
        <w:t xml:space="preserve"> </w:t>
      </w:r>
      <w:r>
        <w:t xml:space="preserve">2011, Luyssaert</w:t>
      </w:r>
      <w:r>
        <w:t xml:space="preserve"> </w:t>
      </w:r>
      <w:r>
        <w:rPr>
          <w:i/>
        </w:rPr>
        <w:t xml:space="preserve">et al</w:t>
      </w:r>
      <w:r>
        <w:t xml:space="preserve"> </w:t>
      </w:r>
      <w:r>
        <w:t xml:space="preserve">2008)</w:t>
      </w:r>
      <w:r>
        <w:t xml:space="preserve">.</w:t>
      </w:r>
      <w:r>
        <w:t xml:space="preserve"> </w:t>
      </w:r>
      <w:r>
        <w:t xml:space="preserve">The result is that biomass accumulates rapidly in young forests, followed by a slow decline to near zero in old forests</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w:t>
      </w:r>
      <w:r>
        <w:t xml:space="preserve"> </w:t>
      </w:r>
      <w:r>
        <w:t xml:space="preserve">While these trends have been subject of fairly recent qualitative review</w:t>
      </w:r>
      <w:r>
        <w:t xml:space="preserve"> </w:t>
      </w:r>
      <w:r>
        <w:t xml:space="preserve">(Anderson-Teixeira</w:t>
      </w:r>
      <w:r>
        <w:t xml:space="preserve"> </w:t>
      </w:r>
      <w:r>
        <w:rPr>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(Johnson</w:t>
      </w:r>
      <w:r>
        <w:t xml:space="preserve"> </w:t>
      </w:r>
      <w:r>
        <w:rPr>
          <w:i/>
        </w:rPr>
        <w:t xml:space="preserve">et al</w:t>
      </w:r>
      <w:r>
        <w:t xml:space="preserve"> </w:t>
      </w:r>
      <w:r>
        <w:t xml:space="preserve">2000, Anderson</w:t>
      </w:r>
      <w:r>
        <w:t xml:space="preserve"> </w:t>
      </w:r>
      <w:r>
        <w:rPr>
          <w:i/>
        </w:rPr>
        <w:t xml:space="preserve">et al</w:t>
      </w:r>
      <w:r>
        <w:t xml:space="preserve"> </w:t>
      </w:r>
      <w:r>
        <w:t xml:space="preserve">2006)</w:t>
      </w:r>
      <w:r>
        <w:t xml:space="preserve"> </w:t>
      </w:r>
      <w:r>
        <w:t xml:space="preserve">and with water availability in the neotropics</w:t>
      </w:r>
      <w:r>
        <w:t xml:space="preserve"> </w:t>
      </w:r>
      <w:r>
        <w:t xml:space="preserve">(Poorter</w:t>
      </w:r>
      <w:r>
        <w:t xml:space="preserve"> </w:t>
      </w:r>
      <w:r>
        <w:rPr>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
        </w:rPr>
        <w:t xml:space="preserve">et al</w:t>
      </w:r>
      <w:r>
        <w:t xml:space="preserve"> </w:t>
      </w:r>
      <w:r>
        <w:t xml:space="preserve">(2020)</w:t>
      </w:r>
      <w:r>
        <w:t xml:space="preserve"> </w:t>
      </w:r>
      <w:r>
        <w:t xml:space="preserve">reinforced these earlier findings with a much larger dataset and crated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 Requena Suarez</w:t>
      </w:r>
      <w:r>
        <w:t xml:space="preserve"> </w:t>
      </w:r>
      <w:r>
        <w:rPr>
          <w:i/>
        </w:rPr>
        <w:t xml:space="preserve">et al</w:t>
      </w:r>
      <w:r>
        <w:t xml:space="preserve"> </w:t>
      </w:r>
      <w:r>
        <w:t xml:space="preserve">2019)</w:t>
      </w:r>
      <w:r>
        <w:t xml:space="preserve"> </w:t>
      </w:r>
      <w:r>
        <w:t xml:space="preserve">and to quantifying the value of regrowth forests for climate change mitigation</w:t>
      </w:r>
      <w:r>
        <w:t xml:space="preserve"> </w:t>
      </w:r>
      <w:r>
        <w:t xml:space="preserve">(Anderson-Teixeira and DeLucia 2011, Goldstein</w:t>
      </w:r>
      <w:r>
        <w:t xml:space="preserve"> </w:t>
      </w:r>
      <w:r>
        <w:rPr>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
        </w:rPr>
        <w:t xml:space="preserve">e.g.</w:t>
      </w:r>
      <w:r>
        <w:t xml:space="preserve">, Anderson</w:t>
      </w:r>
      <w:r>
        <w:t xml:space="preserve"> </w:t>
      </w:r>
      <w:r>
        <w:rPr>
          <w:i/>
        </w:rPr>
        <w:t xml:space="preserve">et al</w:t>
      </w:r>
      <w:r>
        <w:t xml:space="preserve"> </w:t>
      </w:r>
      <w:r>
        <w:t xml:space="preserve">2006, Martin</w:t>
      </w:r>
      <w:r>
        <w:t xml:space="preserve"> </w:t>
      </w:r>
      <w:r>
        <w:rPr>
          <w:i/>
        </w:rPr>
        <w:t xml:space="preserve">et al</w:t>
      </w:r>
      <w:r>
        <w:t xml:space="preserve"> </w:t>
      </w:r>
      <w:r>
        <w:t xml:space="preserve">2013, Bonner</w:t>
      </w:r>
      <w:r>
        <w:t xml:space="preserve"> </w:t>
      </w:r>
      <w:r>
        <w:rPr>
          <w:i/>
        </w:rPr>
        <w:t xml:space="preserve">et al</w:t>
      </w:r>
      <w:r>
        <w:t xml:space="preserve"> </w:t>
      </w:r>
      <w:r>
        <w:t xml:space="preserve">2013)</w:t>
      </w:r>
      <w:r>
        <w:t xml:space="preserve"> </w:t>
      </w:r>
      <w:r>
        <w:t xml:space="preserve">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
        </w:rPr>
        <w:t xml:space="preserve">ForC</w:t>
      </w:r>
      <w:r>
        <w:t xml:space="preserve"> </w:t>
      </w:r>
      <w:r>
        <w:t xml:space="preserve">via a combination of R scripts and manual edits.</w:t>
      </w:r>
      <w:r>
        <w:t xml:space="preserve"> </w:t>
      </w:r>
      <w:r>
        <w:t xml:space="preserve">First, we imported (via R script)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and corrections and improvements to</w:t>
      </w:r>
      <w:r>
        <w:t xml:space="preserve"> </w:t>
      </w:r>
      <w:r>
        <w:rPr>
          <w:i/>
        </w:rPr>
        <w:t xml:space="preserve">SRDB</w:t>
      </w:r>
      <w:r>
        <w:t xml:space="preserve"> </w:t>
      </w:r>
      <w:r>
        <w:t xml:space="preserve">arising from this process were incorporated in</w:t>
      </w:r>
      <w:r>
        <w:t xml:space="preserve"> </w:t>
      </w:r>
      <w:r>
        <w:rPr>
          <w:i/>
        </w:rPr>
        <w:t xml:space="preserve">SRDB</w:t>
      </w:r>
      <w:r>
        <w:t xml:space="preserve"> </w:t>
      </w:r>
      <w:r>
        <w:t xml:space="preserve">v5</w:t>
      </w:r>
      <w:r>
        <w:t xml:space="preserve"> </w:t>
      </w:r>
      <w:r>
        <w:t xml:space="preserve">(Jian</w:t>
      </w:r>
      <w:r>
        <w:t xml:space="preserve"> </w:t>
      </w:r>
      <w:r>
        <w:rPr>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 which itself had drawn on an earlier version of</w:t>
      </w:r>
      <w:r>
        <w:t xml:space="preserve"> </w:t>
      </w:r>
      <w:r>
        <w:rPr>
          <w:i/>
        </w:rPr>
        <w:t xml:space="preserve">ForC</w:t>
      </w:r>
      <w:r>
        <w:t xml:space="preserve">. Because all records in</w:t>
      </w:r>
      <w:r>
        <w:t xml:space="preserve"> </w:t>
      </w:r>
      <w:r>
        <w:rPr>
          <w:i/>
        </w:rPr>
        <w:t xml:space="preserve">GROA</w:t>
      </w:r>
      <w:r>
        <w:t xml:space="preserve"> </w:t>
      </w:r>
      <w:r>
        <w:t xml:space="preserve">were checked against original publications, these records were given priority over duplicates in</w:t>
      </w:r>
      <w:r>
        <w:t xml:space="preserve"> </w:t>
      </w:r>
      <w:r>
        <w:rPr>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Johnson</w:t>
      </w:r>
      <w:r>
        <w:t xml:space="preserve"> </w:t>
      </w:r>
      <w:r>
        <w:rPr>
          <w:i/>
        </w:rPr>
        <w:t xml:space="preserve">et al</w:t>
      </w:r>
      <w:r>
        <w:t xml:space="preserve"> </w:t>
      </w:r>
      <w:r>
        <w:t xml:space="preserve">2018)</w:t>
      </w:r>
      <w:r>
        <w:t xml:space="preserve">.</w:t>
      </w:r>
      <w:r>
        <w:t xml:space="preserve"> </w:t>
      </w:r>
      <w:r>
        <w:t xml:space="preserve">A record of data sets added to</w:t>
      </w:r>
      <w:r>
        <w:t xml:space="preserve"> </w:t>
      </w:r>
      <w:r>
        <w:rPr>
          <w:i/>
        </w:rPr>
        <w:t xml:space="preserve">ForC</w:t>
      </w:r>
      <w:r>
        <w:t xml:space="preserve"> </w:t>
      </w:r>
      <w:r>
        <w:t xml:space="preserve">over the course of its development is available at</w:t>
      </w:r>
      <w:r>
        <w:t xml:space="preserve"> </w:t>
      </w:r>
      <w:hyperlink r:id="rId30">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
        </w:rPr>
        <w:t xml:space="preserve">ForC</w:t>
      </w:r>
      <w:r>
        <w:t xml:space="preserve"> </w:t>
      </w:r>
      <w:r>
        <w:t xml:space="preserve">database.</w:t>
      </w:r>
      <w:r>
        <w:t xml:space="preserve"> </w:t>
      </w:r>
      <w:r>
        <w:t xml:space="preserve">Note that two flux variables, aboveground heterotropic respiration (</w:t>
      </w:r>
      <m:oMath>
        <m:sSub>
          <m:e>
            <m:r>
              <m:t>R</m:t>
            </m:r>
          </m:e>
          <m:sub>
            <m:r>
              <m:t>h</m:t>
            </m:r>
            <m:r>
              <m:t>e</m:t>
            </m:r>
            <m:r>
              <m:t>t</m:t>
            </m:r>
            <m:r>
              <m:t>−</m:t>
            </m:r>
            <m:r>
              <m:t>a</m:t>
            </m:r>
            <m:r>
              <m:t>g</m:t>
            </m:r>
          </m:sub>
        </m:sSub>
      </m:oMath>
      <w:r>
        <w:t xml:space="preserve">) and total respiration (</w:t>
      </w:r>
      <m:oMath>
        <m:sSub>
          <m:e>
            <m:r>
              <m:t>R</m:t>
            </m:r>
          </m:e>
          <m:sub>
            <m:r>
              <m:t>h</m:t>
            </m:r>
            <m:r>
              <m:t>e</m:t>
            </m:r>
            <m:r>
              <m:t>t</m:t>
            </m:r>
          </m:sub>
        </m:sSub>
      </m:oMath>
      <w:r>
        <w:t xml:space="preserve">),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trees were censused down to a minimum diameter breast height (DBH) threshold of 10 cm or less.</w:t>
      </w:r>
      <w:r>
        <w:t xml:space="preserve"> </w:t>
      </w:r>
      <w:r>
        <w:t xml:space="preserve">All records were measured directly or derived from field measurements.</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w:t>
      </w:r>
      <w:r>
        <w:t xml:space="preserve"> </w:t>
      </w:r>
      <w:r>
        <w:rPr>
          <w:rStyle w:val="VerbatimChar"/>
        </w:rPr>
        <w:t xml:space="preserve">n_records</w:t>
      </w:r>
      <w:r>
        <w:t xml:space="preserve"> </w:t>
      </w:r>
      <w:r>
        <w:t xml:space="preserve">records.</w:t>
      </w:r>
      <w:r>
        <w:t xml:space="preserve"> </w:t>
      </w:r>
      <w:r>
        <w:t xml:space="preserve">Numbers of records by biome and age class are given in Table S1.</w:t>
      </w:r>
    </w:p>
    <w:p>
      <w:pPr>
        <w:pStyle w:val="BodyText"/>
      </w:pPr>
      <w:r>
        <w:t xml:space="preserve">Data were summarized to produce schematics of C cycling for mature forets of each biome.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r>
        <w:t xml:space="preserve"> </w:t>
      </w:r>
      <w:r>
        <w:t xml:space="preserve">We note that the logarithmic function fit in this analysis does not always correspond to theoretical expectations (Fig. 1); however, data limitations did not support fitting of functions with more parameters or reliable comparison of different functional forms.</w:t>
      </w:r>
      <w:r>
        <w:t xml:space="preserve"> </w:t>
      </w:r>
      <w:r>
        <w:t xml:space="preserve">Within the data constraints, we deemed a logarithmic function to be the most appropriate functional form for the majority of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(Team 2020)</w:t>
      </w:r>
      <w:r>
        <w:t xml:space="preserve">.</w:t>
      </w:r>
    </w:p>
    <w:bookmarkEnd w:id="31"/>
    <w:bookmarkStart w:id="42"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3-6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r>
        <w:t xml:space="preserve"> </w:t>
      </w:r>
      <w:r>
        <w:t xml:space="preserve">For all biomes,</w:t>
      </w:r>
      <w:r>
        <w:t xml:space="preserve"> </w:t>
      </w:r>
      <m:oMath>
        <m:r>
          <m:t>N</m:t>
        </m:r>
        <m:r>
          <m:t>E</m:t>
        </m:r>
        <m:r>
          <m:t>P</m:t>
        </m:r>
      </m:oMath>
      <w:r>
        <w:t xml:space="preserve"> </w:t>
      </w:r>
      <w:r>
        <w:t xml:space="preserve">was positive, with 95% confidence intervals excluding zero.</w:t>
      </w:r>
    </w:p>
    <w:p>
      <w:pPr>
        <w:pStyle w:val="CaptionedFigure"/>
      </w:pPr>
      <w:r>
        <w:drawing>
          <wp:inline>
            <wp:extent cx="4572000" cy="4572000"/>
            <wp:effectExtent b="0" l="0" r="0" t="0"/>
            <wp:docPr descr="Figure 7 | Age trends and biome differences in some of the major C fluxes: (a) GPP, (b) NPP, (c) ANPP, (d) R_{soil}, (e) R_{eco}, and (f) NEP.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5-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S5-S19).</w:t>
      </w:r>
    </w:p>
    <w:p>
      <w:pPr>
        <w:pStyle w:val="BodyText"/>
      </w:pPr>
      <w:r>
        <w:t xml:space="preserve">Biome differences were less consistent across C stocks than fluxes (Figs. 8, S20-S30).</w:t>
      </w:r>
      <w:r>
        <w:t xml:space="preserve"> </w:t>
      </w: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intermediate means for temperate broadleaf and needleleaf forests (temperate needleleaf excluded from</w:t>
      </w:r>
      <w:r>
        <w:t xml:space="preserve"> </w:t>
      </w:r>
      <m:oMath>
        <m:sSub>
          <m:e>
            <m:r>
              <m:t>B</m:t>
            </m:r>
          </m:e>
          <m:sub>
            <m:r>
              <m:t>t</m:t>
            </m:r>
            <m:r>
              <m:t>o</m:t>
            </m:r>
            <m:r>
              <m:t>t</m:t>
            </m:r>
          </m:sub>
        </m:sSub>
      </m:oMath>
      <w:r>
        <w:t xml:space="preserve"> </w:t>
      </w:r>
      <w:r>
        <w:t xml:space="preserve">analysis becuase of insufficient data; Figs. S20, S21).</w:t>
      </w:r>
      <w:r>
        <w:t xml:space="preserve"> </w:t>
      </w:r>
      <w:r>
        <w:t xml:space="preserve">However, maximum values for these variables – along with all other stocks including live or standing woody biomass (</w:t>
      </w:r>
      <m:oMath>
        <m:sSub>
          <m:e>
            <m:r>
              <m:t>B</m:t>
            </m:r>
          </m:e>
          <m:sub>
            <m:r>
              <m:t>a</m:t>
            </m:r>
            <m:r>
              <m:t>g</m:t>
            </m:r>
            <m: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 consistently occurred in temperate biomes (Figs. 1, 8, S20-S30).</w:t>
      </w:r>
      <w:r>
        <w:t xml:space="preserve"> </w:t>
      </w:r>
      <w:r>
        <w:t xml:space="preserve">For variables that were disproportionately sampled in such high-biomass forests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disproportionately sampled in the US Pacific Northwest), temperate conifer forests had significantly higher stocks than the other biomes.</w:t>
      </w:r>
    </w:p>
    <w:p>
      <w:pPr>
        <w:pStyle w:val="CaptionedFigure"/>
      </w:pPr>
      <w:r>
        <w:drawing>
          <wp:inline>
            <wp:extent cx="4572000" cy="4572000"/>
            <wp:effectExtent b="0" l="0" r="0" t="0"/>
            <wp:docPr descr="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w:t>
      </w:r>
    </w:p>
    <w:bookmarkEnd w:id="39"/>
    <w:bookmarkStart w:id="41"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 –</w:t>
      </w:r>
      <w:r>
        <w:t xml:space="preserve"> </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 </w:t>
      </w:r>
      <w:r>
        <w:t xml:space="preserve">– displayed no significant relationship to stand age.</w:t>
      </w:r>
    </w:p>
    <w:p>
      <w:pPr>
        <w:pStyle w:val="BodyText"/>
      </w:pPr>
      <w:r>
        <w:t xml:space="preserve">Differences in C fluxes across biomes typically paralleled those observed for mature forests, with C cycling generally most rapid in the tropics and slowest in boreal forests (Table 1, Figs. 7, S5-S30).</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0"/>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Error bars on mature forest flux estimates indicate</w:t>
      </w:r>
      <w:r>
        <w:t xml:space="preserve"> </w:t>
      </w:r>
      <m:oMath>
        <m:r>
          <m:t>±</m:t>
        </m:r>
      </m:oMath>
      <w:r>
        <w:t xml:space="preserve"> </w:t>
      </w:r>
      <w:r>
        <w:t xml:space="preserve">1 standard deviation.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 For tropical forests:</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Note that there remain substantial uncertainties as to the functional form of age trends and discrepencies in closure among related variables.</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In assessing the C budget of young forests, 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9,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8,9,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9,S30).</w:t>
      </w:r>
      <w:r>
        <w:t xml:space="preserve"> </w:t>
      </w:r>
      <w:r>
        <w:t xml:space="preserve">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r>
        <w:br w:type="page"/>
      </w:r>
    </w:p>
    <w:bookmarkEnd w:id="41"/>
    <w:bookmarkEnd w:id="42"/>
    <w:bookmarkStart w:id="48"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 (Figs. 1, 9).</w:t>
      </w:r>
      <w:r>
        <w:t xml:space="preserve"> </w:t>
      </w:r>
      <w:r>
        <w:t xml:space="preserve">Specifically, most C fluxes were highest in tropical forests, intermediate in temperate (broadleaf or conifer) forests, and lowest in boreal forests – a pattern that generally held for regrowth as well as mature forests (Figs. 1, 7- 8, 9).</w:t>
      </w:r>
      <w:r>
        <w:t xml:space="preserve"> </w:t>
      </w:r>
      <w:r>
        <w:t xml:space="preserve">The notable exception was mature forest</w:t>
      </w:r>
      <w:r>
        <w:t xml:space="preserve"> </w:t>
      </w:r>
      <m:oMath>
        <m:r>
          <m:t>N</m:t>
        </m:r>
        <m:r>
          <m:t>E</m:t>
        </m:r>
        <m:r>
          <m:t>P</m:t>
        </m:r>
      </m:oMath>
      <w:r>
        <w:t xml:space="preserve">, which, as 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was statistically indistinguishable across biomes (Fig. 7f).</w:t>
      </w:r>
      <w:r>
        <w:t xml:space="preserve"> </w:t>
      </w:r>
      <w:r>
        <w:t xml:space="preserve">There was also little directional variation in mean mature forest C stocks (biomass, dead wood, and organic layer) across biomes, although maximum values for the majority of stocks (all including live or standing woody biomass) occurred in temperate biomes (Figs. 1, 3-6,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bookmarkStart w:id="43"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 or increase with temperature –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This consistency is not surprising, particularly given commonality in the data analyzed or used for calibration.</w:t>
      </w:r>
      <w:r>
        <w:t xml:space="preserve"> </w:t>
      </w:r>
      <w:r>
        <w:t xml:space="preserve">The finding that these patterns hold consistently across across numerous fluxes, while consistent with theoretical expectations (Fig. 1), is novel to this analysis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as the balance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which accumulate carbon slowly relative to younger stands, if at all</w:t>
      </w:r>
      <w:r>
        <w:t xml:space="preserve"> </w:t>
      </w:r>
      <w:r>
        <w:t xml:space="preserve">(Fig. 1; 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consistent with theory – and with previous research</w:t>
      </w:r>
      <w:r>
        <w:t xml:space="preserve"> </w:t>
      </w:r>
      <w:r>
        <w:t xml:space="preserve">(Luyssaert</w:t>
      </w:r>
      <w:r>
        <w:t xml:space="preserve"> </w:t>
      </w:r>
      <w:r>
        <w:rPr>
          <w:i/>
        </w:rPr>
        <w:t xml:space="preserve">et al</w:t>
      </w:r>
      <w:r>
        <w:t xml:space="preserve"> </w:t>
      </w:r>
      <w:r>
        <w:t xml:space="preserve">2007)</w:t>
      </w:r>
      <w:r>
        <w:t xml:space="preserve"> </w:t>
      </w:r>
      <w:r>
        <w:t xml:space="preserve">– that there are no pronounced differences across biomes.</w:t>
      </w:r>
      <w:r>
        <w:t xml:space="preserve"> </w:t>
      </w:r>
      <w:r>
        <w:t xml:space="preserve">Rather, variation in</w:t>
      </w:r>
      <w:r>
        <w:t xml:space="preserve"> </w:t>
      </w:r>
      <m:oMath>
        <m:r>
          <m:t>N</m:t>
        </m:r>
        <m:r>
          <m:t>E</m:t>
        </m:r>
        <m:r>
          <m:t>P</m:t>
        </m:r>
      </m:oMath>
      <w:r>
        <w:t xml:space="preserve"> </w:t>
      </w:r>
      <w:r>
        <w:t xml:space="preserve">of mature forests appears to be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8a, S20-S30;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w:t>
      </w:r>
      <w:r>
        <w:t xml:space="preserve"> </w:t>
      </w:r>
      <w:r>
        <w:t xml:space="preserve">Biome differences in the accumulation rates of</w:t>
      </w:r>
      <w:r>
        <w:t xml:space="preserve"> </w:t>
      </w:r>
      <m:oMath>
        <m:r>
          <m:t>D</m:t>
        </m:r>
        <m:r>
          <m:t>W</m:t>
        </m:r>
      </m:oMath>
      <w:r>
        <w:t xml:space="preserve">,</w:t>
      </w:r>
      <w:r>
        <w:t xml:space="preserve"> </w:t>
      </w:r>
      <m:oMath>
        <m:r>
          <m:t>O</m:t>
        </m:r>
        <m:r>
          <m:t>L</m:t>
        </m:r>
      </m:oMath>
      <w:r>
        <w:t xml:space="preserve">, and soil C have not been detected, in part because these variables do not consistently increase with stand age</w:t>
      </w:r>
      <w:r>
        <w:t xml:space="preserve"> </w:t>
      </w:r>
      <w:r>
        <w:t xml:space="preserve">(Figs. 1,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was previously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9,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 (c.f. Fig. 1).</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(Figs. 1, 8a; 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
        </w:rPr>
        <w:t xml:space="preserve">et al</w:t>
      </w:r>
      <w:r>
        <w:t xml:space="preserve"> </w:t>
      </w:r>
      <w:r>
        <w:t xml:space="preserve">2020)</w:t>
      </w:r>
      <w:r>
        <w:t xml:space="preserve"> </w:t>
      </w:r>
      <w:r>
        <w:t xml:space="preserve">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(Fig. 1; 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C fluxes quickly increase and then decelerate as stands age (Figs. 7, 9), consistent with current understanding of age trends in forest C cycling</w:t>
      </w:r>
      <w:r>
        <w:t xml:space="preserve"> </w:t>
      </w:r>
      <w:r>
        <w:t xml:space="preserve">(Fig. 1; 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 (Fig. 1).</w:t>
      </w:r>
      <w:r>
        <w:t xml:space="preserve"> </w:t>
      </w:r>
      <w:r>
        <w:t xml:space="preserve">These would be expected to increase rapidly, along with the most metabolically active components of biomass, foliage and fine roots, which also increase rapidly with stand age (Figs. 1, 7-9).</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)–and therefore</w:t>
      </w:r>
      <w:r>
        <w:t xml:space="preserve"> </w:t>
      </w:r>
      <m:oMath>
        <m:sSub>
          <m:e>
            <m:r>
              <m:t>R</m:t>
            </m:r>
          </m:e>
          <m:sub>
            <m:r>
              <m:t>e</m:t>
            </m:r>
            <m:r>
              <m:t>c</m:t>
            </m:r>
            <m:r>
              <m:t>o</m:t>
            </m:r>
          </m:sub>
        </m:sSub>
      </m:oMath>
      <w:r>
        <w:t xml:space="preserve"> </w:t>
      </w:r>
      <w:r>
        <w:t xml:space="preserve">are expected to be non-zero following stand-clearing disturbance (Fig. 1),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w:t>
      </w:r>
      <w:r>
        <w:t xml:space="preserve"> </w:t>
      </w:r>
      <m:oMath>
        <m:sSub>
          <m:e>
            <m:r>
              <m:t>R</m:t>
            </m:r>
          </m:e>
          <m:sub>
            <m:r>
              <m:t>h</m:t>
            </m:r>
            <m:r>
              <m:t>e</m:t>
            </m:r>
            <m:r>
              <m:t>t</m:t>
            </m:r>
            <m:r>
              <m:t>−</m:t>
            </m:r>
            <m:r>
              <m:t>s</m:t>
            </m:r>
            <m:r>
              <m:t>o</m:t>
            </m:r>
            <m:r>
              <m:t>i</m:t>
            </m:r>
            <m:r>
              <m:t>l</m:t>
            </m:r>
          </m:sub>
        </m:sSub>
      </m:oMath>
      <w:r>
        <w:t xml:space="preserve"> </w:t>
      </w:r>
      <w:r>
        <w:t xml:space="preserve">or</w:t>
      </w:r>
      <w:r>
        <w:t xml:space="preserve"> </w:t>
      </w:r>
      <m:oMath>
        <m:sSub>
          <m:e>
            <m:r>
              <m:t>R</m:t>
            </m:r>
          </m:e>
          <m:sub>
            <m:r>
              <m:t>s</m:t>
            </m:r>
            <m:r>
              <m:t>o</m:t>
            </m:r>
            <m:r>
              <m:t>i</m:t>
            </m:r>
            <m:r>
              <m:t>l</m:t>
            </m:r>
          </m:sub>
        </m:sSub>
      </m:oMath>
      <w:r>
        <w:t xml:space="preserve">, consistent with previous findings</w:t>
      </w:r>
      <w:r>
        <w:t xml:space="preserve"> </w:t>
      </w:r>
      <w:r>
        <w:t xml:space="preserve">(Law</w:t>
      </w:r>
      <w:r>
        <w:t xml:space="preserve"> </w:t>
      </w:r>
      <w:r>
        <w:rPr>
          <w:i/>
        </w:rPr>
        <w:t xml:space="preserve">et al</w:t>
      </w:r>
      <w:r>
        <w:t xml:space="preserve"> </w:t>
      </w:r>
      <w:r>
        <w:t xml:space="preserve">2003, Pregitzer and Euskirchen 2004, Goulden</w:t>
      </w:r>
      <w:r>
        <w:t xml:space="preserve"> </w:t>
      </w:r>
      <w:r>
        <w:rPr>
          <w:i/>
        </w:rPr>
        <w:t xml:space="preserve">et al</w:t>
      </w:r>
      <w:r>
        <w:t xml:space="preserve"> </w:t>
      </w:r>
      <w:r>
        <w:t xml:space="preserve">2011)</w:t>
      </w:r>
      <w:r>
        <w:t xml:space="preserv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consistent with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(Law</w:t>
      </w:r>
      <w:r>
        <w:t xml:space="preserve"> </w:t>
      </w:r>
      <w:r>
        <w:rPr>
          <w:i/>
        </w:rPr>
        <w:t xml:space="preserve">et al</w:t>
      </w:r>
      <w:r>
        <w:t xml:space="preserve"> </w:t>
      </w:r>
      <w:r>
        <w:t xml:space="preserve">2003, Luyssaert</w:t>
      </w:r>
      <w:r>
        <w:t xml:space="preserve"> </w:t>
      </w:r>
      <w:r>
        <w:rPr>
          <w:i/>
        </w:rPr>
        <w:t xml:space="preserve">et al</w:t>
      </w:r>
      <w:r>
        <w:t xml:space="preserve"> </w:t>
      </w:r>
      <w:r>
        <w:t xml:space="preserve">2008)</w:t>
      </w:r>
      <w:r>
        <w:t xml:space="preserve">, whereas the</w:t>
      </w:r>
      <w:r>
        <w:t xml:space="preserve"> </w:t>
      </w:r>
      <m:oMath>
        <m:r>
          <m:t>N</m:t>
        </m:r>
        <m:r>
          <m:t>E</m:t>
        </m:r>
        <m:r>
          <m:t>P</m:t>
        </m:r>
      </m:oMath>
      <w:r>
        <w:t xml:space="preserve"> </w:t>
      </w:r>
      <w:r>
        <w:t xml:space="preserve">values estimated by our models for 100-year-old stands were not systematically different from those of mature stands (lower for temperate broadleaf, higher for temperate conifer, and equal for boreal; Fig. 9).</w:t>
      </w:r>
      <w:r>
        <w:t xml:space="preserve"> </w:t>
      </w:r>
      <w:r>
        <w:t xml:space="preserve">This lack of a consistent age-related decrease may be driven by differences in geographical representation across age classes or by the fitting of an inappropriate functional form.</w:t>
      </w:r>
      <w:r>
        <w:t xml:space="preserve"> </w:t>
      </w:r>
      <w:r>
        <w:t xml:space="preserve">A decrease in</w:t>
      </w:r>
      <w:r>
        <w:t xml:space="preserve"> </w:t>
      </w:r>
      <m:oMath>
        <m:r>
          <m:t>N</m:t>
        </m:r>
        <m:r>
          <m:t>E</m:t>
        </m:r>
        <m:r>
          <m:t>P</m:t>
        </m:r>
      </m:oMath>
      <w:r>
        <w:t xml:space="preserve"> </w:t>
      </w:r>
      <w:r>
        <w:t xml:space="preserve">would be consistent with the observed deceleration of C accumulation as stands age (Fig. 9),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r>
        <w:t xml:space="preserve"> </w:t>
      </w:r>
      <w:r>
        <w:t xml:space="preserve">Additional data, including on age trends of deadwood, the organic layer, and soil C will be important to parsing the timing and extend of an age-related</w:t>
      </w:r>
      <w:r>
        <w:t xml:space="preserve"> </w:t>
      </w:r>
      <m:oMath>
        <m:r>
          <m:t>N</m:t>
        </m:r>
        <m:r>
          <m:t>E</m:t>
        </m:r>
        <m:r>
          <m:t>P</m:t>
        </m:r>
      </m:oMath>
      <w:r>
        <w:t xml:space="preserve"> </w:t>
      </w:r>
      <w:r>
        <w:t xml:space="preserve">decrease across forest biomes.</w:t>
      </w:r>
    </w:p>
    <w:p>
      <w:pPr>
        <w:pStyle w:val="BodyText"/>
      </w:pPr>
      <w:r>
        <w:t xml:space="preserve">In terms of stocks, our study reveals consistent increases in live biomass stocks with stand age, 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 contrasting with more variable age trends in deadwood and the organic layer (Fig. 9).</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(e.g., tropical stands in Figs. 8, 9;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Figs. 8, 9;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4"/>
    <w:bookmarkStart w:id="45" w:name="c-variable-coverage-and-budget-closure"/>
    <w:p>
      <w:pPr>
        <w:pStyle w:val="Heading3"/>
      </w:pPr>
      <w:r>
        <w:t xml:space="preserve">C variable coverage and budget closure</w:t>
      </w:r>
    </w:p>
    <w:p>
      <w:pPr>
        <w:pStyle w:val="FirstParagraph"/>
      </w:pPr>
      <w:r>
        <w:t xml:space="preserve">The large number of C cycle variables covered by ForC, and the relatively high consistency among them (Figs. 3-6, 9), provide confidence that our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In this analysis, the C cycle budgets for mature forests usually come close to closure–-that is, the sums of component variables do not differ from the larger fluxes by more than one standard deviation (Figs. 3-6, 9).</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The one instance where the C budgets does not close according to our criteria is likely due to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
        </w:rPr>
        <w:t xml:space="preserve">ForC</w:t>
      </w:r>
      <w:r>
        <w:t xml:space="preserve"> </w:t>
      </w:r>
      <w:r>
        <w:t xml:space="preserve">gives an at least roughly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relatively sparse (</w:t>
      </w:r>
      <w:r>
        <w:rPr>
          <w:i/>
        </w:rPr>
        <w:t xml:space="preserve">i.e.</w:t>
      </w:r>
      <w:r>
        <w:t xml:space="preserve">, have low representation of different geographical regions for any given age) for most variables, particularly in the tropics</w:t>
      </w:r>
      <w:r>
        <w:t xml:space="preserve"> </w:t>
      </w:r>
      <w:r>
        <w:t xml:space="preserve">(Anderson-Teixeira</w:t>
      </w:r>
      <w:r>
        <w:t xml:space="preserve"> </w:t>
      </w:r>
      <w:r>
        <w:rPr>
          <w:i/>
        </w:rPr>
        <w:t xml:space="preserve">et al</w:t>
      </w:r>
      <w:r>
        <w:t xml:space="preserve"> </w:t>
      </w:r>
      <w:r>
        <w:t xml:space="preserve">2016)</w:t>
      </w:r>
      <w:r>
        <w:t xml:space="preserve">.</w:t>
      </w:r>
      <w:r>
        <w:t xml:space="preserve"> </w:t>
      </w:r>
      <w:r>
        <w:t xml:space="preserve">While this review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w:t>
      </w:r>
      <w:r>
        <w:t xml:space="preserve"> </w:t>
      </w:r>
      <m:oMath>
        <m:r>
          <m:t>D</m:t>
        </m:r>
        <m:r>
          <m:t>W</m:t>
        </m:r>
      </m:oMath>
      <w:r>
        <w:t xml:space="preserve"> </w:t>
      </w:r>
      <w:r>
        <w:t xml:space="preserve">(Table 1, Figs. S27-S29).</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Importantly,</w:t>
      </w:r>
      <w:r>
        <w:t xml:space="preserve"> </w:t>
      </w:r>
      <w:r>
        <w:rPr>
          <w:i/>
        </w:rPr>
        <w:t xml:space="preserve">ForC</w:t>
      </w:r>
      <w:r>
        <w:t xml:space="preserve"> </w:t>
      </w:r>
      <w:r>
        <w:t xml:space="preserve">and the analyses presented here cover the forests that have received research attention, which are not a representative sample of the world’s existing forests, either geographically or in terms of human impacts</w:t>
      </w:r>
      <w:r>
        <w:t xml:space="preserve"> </w:t>
      </w:r>
      <w:r>
        <w:t xml:space="preserve">(Martin</w:t>
      </w:r>
      <w:r>
        <w:t xml:space="preserve"> </w:t>
      </w:r>
      <w:r>
        <w:rPr>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t xml:space="preserve">In terms of human impacts, research efforts tend to focus on interior forest ecosystems</w:t>
      </w:r>
      <w:r>
        <w:t xml:space="preserve"> </w:t>
      </w:r>
      <w:r>
        <w:t xml:space="preserve">(Martin</w:t>
      </w:r>
      <w:r>
        <w:t xml:space="preserve"> </w:t>
      </w:r>
      <w:r>
        <w:rPr>
          <w:i/>
        </w:rPr>
        <w:t xml:space="preserve">et al</w:t>
      </w:r>
      <w:r>
        <w:t xml:space="preserve"> </w:t>
      </w:r>
      <w:r>
        <w:t xml:space="preserve">2012)</w:t>
      </w:r>
      <w:r>
        <w:t xml:space="preserve">, often in permanently protected areas</w:t>
      </w:r>
      <w:r>
        <w:t xml:space="preserve"> </w:t>
      </w:r>
      <w:r>
        <w:t xml:space="preserve">(e.g., Davies</w:t>
      </w:r>
      <w:r>
        <w:t xml:space="preserve"> </w:t>
      </w:r>
      <w:r>
        <w:rPr>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(FAO and UNEP 2020)</w:t>
      </w:r>
      <w:r>
        <w:t xml:space="preserve">.</w:t>
      </w:r>
      <w:r>
        <w:t xml:space="preserve"> </w:t>
      </w:r>
      <w:r>
        <w:t xml:space="preserve">Fragmentation and the creation of edges strongly impacts forest C cycling</w:t>
      </w:r>
      <w:r>
        <w:t xml:space="preserve"> </w:t>
      </w:r>
      <w:r>
        <w:t xml:space="preserve">(e.g., Chaplin-Kramer</w:t>
      </w:r>
      <w:r>
        <w:t xml:space="preserve"> </w:t>
      </w:r>
      <w:r>
        <w:rPr>
          <w:i/>
        </w:rPr>
        <w:t xml:space="preserve">et al</w:t>
      </w:r>
      <w:r>
        <w:t xml:space="preserve"> </w:t>
      </w:r>
      <w:r>
        <w:t xml:space="preserve">2015, Remy</w:t>
      </w:r>
      <w:r>
        <w:t xml:space="preserve"> </w:t>
      </w:r>
      <w:r>
        <w:rPr>
          <w:i/>
        </w:rPr>
        <w:t xml:space="preserve">et al</w:t>
      </w:r>
      <w:r>
        <w:t xml:space="preserve"> </w:t>
      </w:r>
      <w:r>
        <w:t xml:space="preserve">2016, Reinmann and Hutyra 2017, Smith</w:t>
      </w:r>
      <w:r>
        <w:t xml:space="preserve"> </w:t>
      </w:r>
      <w:r>
        <w:rPr>
          <w:i/>
        </w:rPr>
        <w:t xml:space="preserve">et al</w:t>
      </w:r>
      <w:r>
        <w:t xml:space="preserve"> </w:t>
      </w:r>
      <w:r>
        <w:t xml:space="preserve">2019, Reinmann</w:t>
      </w:r>
      <w:r>
        <w:t xml:space="preserve"> </w:t>
      </w:r>
      <w:r>
        <w:rPr>
          <w:i/>
        </w:rPr>
        <w:t xml:space="preserve">et al</w:t>
      </w:r>
      <w:r>
        <w:t xml:space="preserve"> </w:t>
      </w:r>
      <w:r>
        <w:t xml:space="preserve">2020, Ordway and Asner 2020)</w:t>
      </w:r>
      <w:r>
        <w:t xml:space="preserve">.</w:t>
      </w:r>
      <w:r>
        <w:t xml:space="preserve"> </w:t>
      </w:r>
      <w:r>
        <w:t xml:space="preserve">Partial logging and other forms of non- stand clearing anthropogenic disturbance also alter forest C cycling</w:t>
      </w:r>
      <w:r>
        <w:t xml:space="preserve"> </w:t>
      </w:r>
      <w:r>
        <w:t xml:space="preserve">(e.g., Huang and Asner 2010, Piponiot</w:t>
      </w:r>
      <w:r>
        <w:t xml:space="preserve"> </w:t>
      </w:r>
      <w:r>
        <w:rPr>
          <w:i/>
        </w:rPr>
        <w:t xml:space="preserve">et al</w:t>
      </w:r>
      <w:r>
        <w:t xml:space="preserve"> </w:t>
      </w:r>
      <w:r>
        <w:t xml:space="preserve">2016)</w:t>
      </w:r>
      <w:r>
        <w:t xml:space="preserve">, but are under-studied</w:t>
      </w:r>
      <w:r>
        <w:t xml:space="preserve"> </w:t>
      </w:r>
      <w:r>
        <w:t xml:space="preserve">(Sist</w:t>
      </w:r>
      <w:r>
        <w:t xml:space="preserve"> </w:t>
      </w:r>
      <w:r>
        <w:rPr>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 Huang and Asner 2010, Reinmann and Hutyra 2017, Smith</w:t>
      </w:r>
      <w:r>
        <w:t xml:space="preserve"> </w:t>
      </w:r>
      <w:r>
        <w:rPr>
          <w:i/>
        </w:rPr>
        <w:t xml:space="preserve">et al</w:t>
      </w:r>
      <w:r>
        <w:t xml:space="preserve"> </w:t>
      </w:r>
      <w:r>
        <w:t xml:space="preserve">2019, Piponiot</w:t>
      </w:r>
      <w:r>
        <w:t xml:space="preserve"> </w:t>
      </w:r>
      <w:r>
        <w:rPr>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(FAO and UNEP 2020)</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(Anderson</w:t>
      </w:r>
      <w:r>
        <w:t xml:space="preserve"> </w:t>
      </w:r>
      <w:r>
        <w:rPr>
          <w:i/>
        </w:rPr>
        <w:t xml:space="preserve">et al</w:t>
      </w:r>
      <w:r>
        <w:t xml:space="preserve"> </w:t>
      </w:r>
      <w:r>
        <w:t xml:space="preserve">2006, Bonner</w:t>
      </w:r>
      <w:r>
        <w:t xml:space="preserve"> </w:t>
      </w:r>
      <w:r>
        <w:rPr>
          <w:i/>
        </w:rPr>
        <w:t xml:space="preserve">et al</w:t>
      </w:r>
      <w:r>
        <w:t xml:space="preserve"> </w:t>
      </w:r>
      <w:r>
        <w:t xml:space="preserve">2013)</w:t>
      </w:r>
      <w:r>
        <w:t xml:space="preserve">, their global scale C cycling patterns remain less clearly understood</w:t>
      </w:r>
      <w:r>
        <w:t xml:space="preserve"> </w:t>
      </w:r>
      <w:r>
        <w:t xml:space="preserve">(c.f. Cook-Patton</w:t>
      </w:r>
      <w:r>
        <w:t xml:space="preserve"> </w:t>
      </w:r>
      <w:r>
        <w:rPr>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bookmarkEnd w:id="45"/>
    <w:bookmarkStart w:id="46"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along with all code used in the analyses presented here, and we recommend that researchers use these resources to identify and summarize data specific to the analysis at hand.</w:t>
      </w:r>
      <w:r>
        <w:t xml:space="preserve"> </w:t>
      </w:r>
      <w:r>
        <w:t xml:space="preserve">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w:t>
      </w:r>
      <w:r>
        <w:t xml:space="preserve"> </w:t>
      </w:r>
      <w:r>
        <w:t xml:space="preserve">The latter provide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6"/>
    <w:bookmarkStart w:id="47" w:name="conclusions"/>
    <w:p>
      <w:pPr>
        <w:pStyle w:val="Heading3"/>
      </w:pPr>
      <w:r>
        <w:t xml:space="preserve">Conclusions</w:t>
      </w:r>
    </w:p>
    <w:p>
      <w:pPr>
        <w:pStyle w:val="FirstParagraph"/>
      </w:pPr>
      <w:r>
        <w:t xml:space="preserve">As climate change accelerates, understanding and managing the carbon dynamics of forests–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7"/>
    <w:bookmarkEnd w:id="48"/>
    <w:bookmarkStart w:id="49"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bookmarkEnd w:id="49"/>
    <w:bookmarkStart w:id="50" w:name="data-availability-statement"/>
    <w:p>
      <w:pPr>
        <w:pStyle w:val="Heading2"/>
      </w:pPr>
      <w:r>
        <w:t xml:space="preserve">Data availability statement</w:t>
      </w:r>
    </w:p>
    <w:p>
      <w:pPr>
        <w:pStyle w:val="FirstParagraph"/>
      </w:pPr>
      <w:r>
        <w:t xml:space="preserve">The data that support the findings of this study are openly available.</w:t>
      </w:r>
      <w:r>
        <w:t xml:space="preserve"> </w:t>
      </w: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0"/>
    <w:bookmarkStart w:id="182" w:name="references"/>
    <w:p>
      <w:pPr>
        <w:pStyle w:val="Heading2"/>
      </w:pPr>
      <w:r>
        <w:t xml:space="preserve">References</w:t>
      </w:r>
    </w:p>
    <w:bookmarkStart w:id="181" w:name="refs"/>
    <w:bookmarkStart w:id="51"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1"/>
    <w:bookmarkStart w:id="52"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2"/>
    <w:bookmarkStart w:id="53"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3"/>
    <w:bookmarkStart w:id="54"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4"/>
    <w:bookmarkStart w:id="55"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5"/>
    <w:bookmarkStart w:id="56" w:name="ref-anderson-teixeira_forc-dbgroa_2020"/>
    <w:p>
      <w:pPr>
        <w:pStyle w:val="Bibliography"/>
      </w:pPr>
      <w:r>
        <w:t xml:space="preserve">Anderson-Teixeira K, Herrmann V, CookPatton, Ferson A and Lister K 2020 Forc-db/GROA: Release with Cook-Patton et al. 2020, Nature.</w:t>
      </w:r>
    </w:p>
    <w:bookmarkEnd w:id="56"/>
    <w:bookmarkStart w:id="57"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57"/>
    <w:bookmarkStart w:id="58"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58"/>
    <w:bookmarkStart w:id="59"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59"/>
    <w:bookmarkStart w:id="60"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0"/>
    <w:bookmarkStart w:id="61"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1"/>
    <w:bookmarkStart w:id="62"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2"/>
    <w:bookmarkStart w:id="63"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3"/>
    <w:bookmarkStart w:id="64"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4"/>
    <w:bookmarkStart w:id="65"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5"/>
    <w:bookmarkStart w:id="66"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6"/>
    <w:bookmarkStart w:id="67"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67"/>
    <w:bookmarkStart w:id="68"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68"/>
    <w:bookmarkStart w:id="69"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69"/>
    <w:bookmarkStart w:id="70"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0"/>
    <w:bookmarkStart w:id="71"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1"/>
    <w:bookmarkStart w:id="72"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2"/>
    <w:bookmarkStart w:id="73"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3"/>
    <w:bookmarkStart w:id="74"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4"/>
    <w:bookmarkStart w:id="75"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
        </w:rPr>
        <w:t xml:space="preserve">Forest Ecology and Management</w:t>
      </w:r>
      <w:r>
        <w:t xml:space="preserve"> </w:t>
      </w:r>
      <w:r>
        <w:rPr>
          <w:b/>
        </w:rPr>
        <w:t xml:space="preserve">291</w:t>
      </w:r>
      <w:r>
        <w:t xml:space="preserve"> </w:t>
      </w:r>
      <w:r>
        <w:t xml:space="preserve">73–86</w:t>
      </w:r>
    </w:p>
    <w:bookmarkEnd w:id="75"/>
    <w:bookmarkStart w:id="76"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6"/>
    <w:bookmarkStart w:id="77"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7"/>
    <w:bookmarkStart w:id="78"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78"/>
    <w:bookmarkStart w:id="79"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
        </w:rPr>
        <w:t xml:space="preserve">Nature Communications</w:t>
      </w:r>
      <w:r>
        <w:t xml:space="preserve"> </w:t>
      </w:r>
      <w:r>
        <w:rPr>
          <w:b/>
        </w:rPr>
        <w:t xml:space="preserve">6</w:t>
      </w:r>
    </w:p>
    <w:bookmarkEnd w:id="79"/>
    <w:bookmarkStart w:id="80"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0"/>
    <w:bookmarkStart w:id="81"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1"/>
    <w:bookmarkStart w:id="82" w:name="ref-clark_field_2017"/>
    <w:p>
      <w:pPr>
        <w:pStyle w:val="Bibliography"/>
      </w:pPr>
      <w:r>
        <w:t xml:space="preserve">Clark D A, Asao S, Fisher R, Reed S, Reich P B, Ryan M G, Wood T E and Yang X 2017 Field data to benchmark the carbon-cycle models for tropical forests</w:t>
      </w:r>
      <w:r>
        <w:t xml:space="preserve"> </w:t>
      </w:r>
      <w:r>
        <w:rPr>
          <w:i/>
        </w:rPr>
        <w:t xml:space="preserve">Biogeosciences Discussions</w:t>
      </w:r>
      <w:r>
        <w:t xml:space="preserve"> </w:t>
      </w:r>
      <w:r>
        <w:t xml:space="preserve">1–44</w:t>
      </w:r>
    </w:p>
    <w:bookmarkEnd w:id="82"/>
    <w:bookmarkStart w:id="83"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3"/>
    <w:bookmarkStart w:id="84"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84"/>
    <w:bookmarkStart w:id="85"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5"/>
    <w:bookmarkStart w:id="86"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6"/>
    <w:bookmarkStart w:id="87"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7"/>
    <w:bookmarkStart w:id="88"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8"/>
    <w:bookmarkStart w:id="89" w:name="ref-curtis_forest_2018"/>
    <w:p>
      <w:pPr>
        <w:pStyle w:val="Bibliography"/>
      </w:pPr>
      <w:r>
        <w:t xml:space="preserve">Curtis P S and Gough C M 2018 Forest aging, disturbance and the carbon cycle</w:t>
      </w:r>
      <w:r>
        <w:t xml:space="preserve"> </w:t>
      </w:r>
      <w:r>
        <w:rPr>
          <w:i/>
        </w:rPr>
        <w:t xml:space="preserve">New Phytologist</w:t>
      </w:r>
    </w:p>
    <w:bookmarkEnd w:id="89"/>
    <w:bookmarkStart w:id="9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0"/>
    <w:bookmarkStart w:id="91"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w:t>
      </w:r>
      <w:r>
        <w:t xml:space="preserve">1157–67</w:t>
      </w:r>
    </w:p>
    <w:bookmarkEnd w:id="91"/>
    <w:bookmarkStart w:id="92"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2"/>
    <w:bookmarkStart w:id="93"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3"/>
    <w:bookmarkStart w:id="94" w:name="ref-fao_and_unep_state_2020"/>
    <w:p>
      <w:pPr>
        <w:pStyle w:val="Bibliography"/>
      </w:pPr>
      <w:r>
        <w:t xml:space="preserve">FAO and UNEP 2020</w:t>
      </w:r>
      <w:r>
        <w:t xml:space="preserve"> </w:t>
      </w:r>
      <w:r>
        <w:rPr>
          <w:i/>
        </w:rPr>
        <w:t xml:space="preserve">The State of the World’s Forests 2020: Forests, biodiversity and people</w:t>
      </w:r>
      <w:r>
        <w:t xml:space="preserve"> </w:t>
      </w:r>
      <w:r>
        <w:t xml:space="preserve">(Rome, Italy: FAO and UNEP)</w:t>
      </w:r>
    </w:p>
    <w:bookmarkEnd w:id="94"/>
    <w:bookmarkStart w:id="95"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5"/>
    <w:bookmarkStart w:id="96"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6"/>
    <w:bookmarkStart w:id="97"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7"/>
    <w:bookmarkStart w:id="98"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8"/>
    <w:bookmarkStart w:id="99"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9"/>
    <w:bookmarkStart w:id="100" w:name="ref-goulden_patterns_2011"/>
    <w:p>
      <w:pPr>
        <w:pStyle w:val="Bibliography"/>
      </w:pPr>
      <w:r>
        <w:t xml:space="preserve">Goulden M L, McMillan A M S, Winston G C, Rocha A V, Manies K L, Harden J W and Bond-Lamberty B P 2011 Patterns of NPP, GPP, respiration, and NEP during boreal forest succession</w:t>
      </w:r>
      <w:r>
        <w:t xml:space="preserve"> </w:t>
      </w:r>
      <w:r>
        <w:rPr>
          <w:i/>
        </w:rPr>
        <w:t xml:space="preserve">Global Change Biology</w:t>
      </w:r>
      <w:r>
        <w:t xml:space="preserve"> </w:t>
      </w:r>
      <w:r>
        <w:rPr>
          <w:b/>
        </w:rPr>
        <w:t xml:space="preserve">17</w:t>
      </w:r>
      <w:r>
        <w:t xml:space="preserve"> </w:t>
      </w:r>
      <w:r>
        <w:t xml:space="preserve">855–71</w:t>
      </w:r>
    </w:p>
    <w:bookmarkEnd w:id="100"/>
    <w:bookmarkStart w:id="101"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1"/>
    <w:bookmarkStart w:id="102"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2"/>
    <w:bookmarkStart w:id="103"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3"/>
    <w:bookmarkStart w:id="104"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4"/>
    <w:bookmarkStart w:id="105"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5"/>
    <w:bookmarkStart w:id="106" w:name="ref-harmon_ecology_1986"/>
    <w:p>
      <w:pPr>
        <w:pStyle w:val="Bibliography"/>
      </w:pPr>
      <w:r>
        <w:t xml:space="preserve">Harmon M E, Franklin J F, Swanson F J, Sollins P, Gregory S V, Lattin J D, Anderson N H, Cline S P, Aumen N G, Sedell J R, Lienkaemper G W, Cromack K and Cummins K W 1986 Ecology of Coarse Woody Debris in Temperate Ecosystems</w:t>
      </w:r>
      <w:r>
        <w:t xml:space="preserve"> </w:t>
      </w:r>
      <w:r>
        <w:rPr>
          <w:i/>
        </w:rPr>
        <w:t xml:space="preserve">Advances in Ecological Research</w:t>
      </w:r>
      <w:r>
        <w:t xml:space="preserve"> </w:t>
      </w:r>
      <w:r>
        <w:t xml:space="preserve">vol 15, ed A MacFadyen and E D Ford (Academic Press) pp 133–302</w:t>
      </w:r>
    </w:p>
    <w:bookmarkEnd w:id="106"/>
    <w:bookmarkStart w:id="107"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
        </w:rPr>
        <w:t xml:space="preserve">Nature Climate Change</w:t>
      </w:r>
      <w:r>
        <w:t xml:space="preserve"> </w:t>
      </w:r>
      <w:r>
        <w:t xml:space="preserve">1–7</w:t>
      </w:r>
    </w:p>
    <w:bookmarkEnd w:id="107"/>
    <w:bookmarkStart w:id="108"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08"/>
    <w:bookmarkStart w:id="109"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9"/>
    <w:bookmarkStart w:id="110"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10"/>
    <w:bookmarkStart w:id="111" w:name="ref-huang_long-term_2010"/>
    <w:p>
      <w:pPr>
        <w:pStyle w:val="Bibliography"/>
      </w:pPr>
      <w:r>
        <w:t xml:space="preserve">Huang M and Asner G P 2010 Long-term carbon loss and recovery following selective logging in Amazon forests</w:t>
      </w:r>
      <w:r>
        <w:t xml:space="preserve"> </w:t>
      </w:r>
      <w:r>
        <w:rPr>
          <w:i/>
        </w:rPr>
        <w:t xml:space="preserve">Global Biogeochemical Cycles</w:t>
      </w:r>
      <w:r>
        <w:t xml:space="preserve"> </w:t>
      </w:r>
      <w:r>
        <w:rPr>
          <w:b/>
        </w:rPr>
        <w:t xml:space="preserve">24</w:t>
      </w:r>
    </w:p>
    <w:bookmarkEnd w:id="111"/>
    <w:bookmarkStart w:id="112" w:name="ref-humboldt_essay_1807"/>
    <w:p>
      <w:pPr>
        <w:pStyle w:val="Bibliography"/>
      </w:pPr>
      <w:r>
        <w:t xml:space="preserve">Humboldt A von and Bonpland A 1807</w:t>
      </w:r>
      <w:r>
        <w:t xml:space="preserve"> </w:t>
      </w:r>
      <w:r>
        <w:rPr>
          <w:i/>
        </w:rPr>
        <w:t xml:space="preserve">Essay on the Geography of Plants</w:t>
      </w:r>
    </w:p>
    <w:bookmarkEnd w:id="112"/>
    <w:bookmarkStart w:id="113"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
        </w:rPr>
        <w:t xml:space="preserve">Global Change Biology</w:t>
      </w:r>
      <w:r>
        <w:t xml:space="preserve"> </w:t>
      </w:r>
      <w:r>
        <w:rPr>
          <w:b/>
        </w:rPr>
        <w:t xml:space="preserve">23</w:t>
      </w:r>
      <w:r>
        <w:t xml:space="preserve"> </w:t>
      </w:r>
      <w:r>
        <w:t xml:space="preserve">2090–103</w:t>
      </w:r>
    </w:p>
    <w:bookmarkEnd w:id="113"/>
    <w:bookmarkStart w:id="114" w:name="ref-ipcc_2019_2019"/>
    <w:p>
      <w:pPr>
        <w:pStyle w:val="Bibliography"/>
      </w:pPr>
      <w:r>
        <w:t xml:space="preserve">IPCC 2019</w:t>
      </w:r>
      <w:r>
        <w:t xml:space="preserve"> </w:t>
      </w:r>
      <w:r>
        <w:rPr>
          <w:i/>
        </w:rPr>
        <w:t xml:space="preserve">2019 Refinement to the 2006 IPCC Guidelines for National Greenhouse Gas Inventories</w:t>
      </w:r>
    </w:p>
    <w:bookmarkEnd w:id="114"/>
    <w:bookmarkStart w:id="115"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5"/>
    <w:bookmarkStart w:id="116"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6"/>
    <w:bookmarkStart w:id="117" w:name="ref-johnson_post-disturbance_2000"/>
    <w:p>
      <w:pPr>
        <w:pStyle w:val="Bibliography"/>
      </w:pPr>
      <w:r>
        <w:t xml:space="preserve">Johnson C, Zarin D and Johnson A 2000 Post-disturbance aboveground biomass accumulation in global secondary forests</w:t>
      </w:r>
      <w:r>
        <w:t xml:space="preserve"> </w:t>
      </w:r>
      <w:r>
        <w:rPr>
          <w:i/>
        </w:rPr>
        <w:t xml:space="preserve">Ecology</w:t>
      </w:r>
      <w:r>
        <w:t xml:space="preserve"> </w:t>
      </w:r>
      <w:r>
        <w:rPr>
          <w:b/>
        </w:rPr>
        <w:t xml:space="preserve">81</w:t>
      </w:r>
      <w:r>
        <w:t xml:space="preserve"> </w:t>
      </w:r>
      <w:r>
        <w:t xml:space="preserve">1395–401</w:t>
      </w:r>
    </w:p>
    <w:bookmarkEnd w:id="117"/>
    <w:bookmarkStart w:id="118"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8"/>
    <w:bookmarkStart w:id="119"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9"/>
    <w:bookmarkStart w:id="120"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20"/>
    <w:bookmarkStart w:id="121"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21"/>
    <w:bookmarkStart w:id="122"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22"/>
    <w:bookmarkStart w:id="123"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23"/>
    <w:bookmarkStart w:id="124" w:name="ref-kuzyakov_sources_2006"/>
    <w:p>
      <w:pPr>
        <w:pStyle w:val="Bibliography"/>
      </w:pPr>
      <w:r>
        <w:t xml:space="preserve">Kuzyakov Y 2006 Sources of CO2 efflux from soil and review of partitioning methods</w:t>
      </w:r>
      <w:r>
        <w:t xml:space="preserve"> </w:t>
      </w:r>
      <w:r>
        <w:rPr>
          <w:i/>
        </w:rPr>
        <w:t xml:space="preserve">Soil Biology and Biochemistry</w:t>
      </w:r>
      <w:r>
        <w:t xml:space="preserve"> </w:t>
      </w:r>
      <w:r>
        <w:rPr>
          <w:b/>
        </w:rPr>
        <w:t xml:space="preserve">38</w:t>
      </w:r>
      <w:r>
        <w:t xml:space="preserve"> </w:t>
      </w:r>
      <w:r>
        <w:t xml:space="preserve">425–48</w:t>
      </w:r>
    </w:p>
    <w:bookmarkEnd w:id="124"/>
    <w:bookmarkStart w:id="125" w:name="ref-law_changes_2003"/>
    <w:p>
      <w:pPr>
        <w:pStyle w:val="Bibliography"/>
      </w:pPr>
      <w:r>
        <w:t xml:space="preserve">Law B E, Sun O J, Campbell J, Tuyl S V and Thornton P E 2003 Changes in carbon storage and fluxes in a chronosequence of ponderosa pine</w:t>
      </w:r>
      <w:r>
        <w:t xml:space="preserve"> </w:t>
      </w:r>
      <w:r>
        <w:rPr>
          <w:i/>
        </w:rPr>
        <w:t xml:space="preserve">Global Change Biology</w:t>
      </w:r>
      <w:r>
        <w:t xml:space="preserve"> </w:t>
      </w:r>
      <w:r>
        <w:rPr>
          <w:b/>
        </w:rPr>
        <w:t xml:space="preserve">9</w:t>
      </w:r>
      <w:r>
        <w:t xml:space="preserve"> </w:t>
      </w:r>
      <w:r>
        <w:t xml:space="preserve">510–24</w:t>
      </w:r>
    </w:p>
    <w:bookmarkEnd w:id="125"/>
    <w:bookmarkStart w:id="126"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26"/>
    <w:bookmarkStart w:id="127"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27"/>
    <w:bookmarkStart w:id="128"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8"/>
    <w:bookmarkStart w:id="129"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29"/>
    <w:bookmarkStart w:id="130"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
        </w:rPr>
        <w:t xml:space="preserve">Biogeosciences</w:t>
      </w:r>
      <w:r>
        <w:t xml:space="preserve"> </w:t>
      </w:r>
      <w:r>
        <w:rPr>
          <w:b/>
        </w:rPr>
        <w:t xml:space="preserve">9</w:t>
      </w:r>
      <w:r>
        <w:t xml:space="preserve"> </w:t>
      </w:r>
      <w:r>
        <w:t xml:space="preserve">3857–74</w:t>
      </w:r>
    </w:p>
    <w:bookmarkEnd w:id="130"/>
    <w:bookmarkStart w:id="131"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31"/>
    <w:bookmarkStart w:id="132"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32"/>
    <w:bookmarkStart w:id="133"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33"/>
    <w:bookmarkStart w:id="134"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34"/>
    <w:bookmarkStart w:id="135" w:name="ref-martin_mapping_2012"/>
    <w:p>
      <w:pPr>
        <w:pStyle w:val="Bibliography"/>
      </w:pPr>
      <w:r>
        <w:t xml:space="preserve">Martin L J, Blossey B and Ellis E 2012 Mapping where ecologists work: Biases in the global distribution of terrestrial ecological observations</w:t>
      </w:r>
      <w:r>
        <w:t xml:space="preserve"> </w:t>
      </w:r>
      <w:r>
        <w:rPr>
          <w:i/>
        </w:rPr>
        <w:t xml:space="preserve">Frontiers in Ecology and the Environment</w:t>
      </w:r>
      <w:r>
        <w:t xml:space="preserve"> </w:t>
      </w:r>
      <w:r>
        <w:rPr>
          <w:b/>
        </w:rPr>
        <w:t xml:space="preserve">10</w:t>
      </w:r>
      <w:r>
        <w:t xml:space="preserve"> </w:t>
      </w:r>
      <w:r>
        <w:t xml:space="preserve">195–201</w:t>
      </w:r>
    </w:p>
    <w:bookmarkEnd w:id="135"/>
    <w:bookmarkStart w:id="136" w:name="ref-martin_carbon_2013"/>
    <w:p>
      <w:pPr>
        <w:pStyle w:val="Bibliography"/>
      </w:pPr>
      <w:r>
        <w:t xml:space="preserve">Martin P A, Newton A C and Bullock J M 2013 Carbon pools recover more quickly than plant biodiversity in tropical secondary forests</w:t>
      </w:r>
      <w:r>
        <w:t xml:space="preserve"> </w:t>
      </w:r>
      <w:r>
        <w:rPr>
          <w:i/>
        </w:rPr>
        <w:t xml:space="preserve">Proceedings of the Royal Society B: Biological Sciences</w:t>
      </w:r>
      <w:r>
        <w:t xml:space="preserve"> </w:t>
      </w:r>
      <w:r>
        <w:rPr>
          <w:b/>
        </w:rPr>
        <w:t xml:space="preserve">280</w:t>
      </w:r>
      <w:r>
        <w:t xml:space="preserve"> </w:t>
      </w:r>
      <w:r>
        <w:t xml:space="preserve">20132236–6</w:t>
      </w:r>
    </w:p>
    <w:bookmarkEnd w:id="136"/>
    <w:bookmarkStart w:id="137"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37"/>
    <w:bookmarkStart w:id="138"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38"/>
    <w:bookmarkStart w:id="139"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39"/>
    <w:bookmarkStart w:id="140"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40"/>
    <w:bookmarkStart w:id="141"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41"/>
    <w:bookmarkStart w:id="142"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42"/>
    <w:bookmarkStart w:id="143" w:name="ref-ordway_carbon_2020"/>
    <w:p>
      <w:pPr>
        <w:pStyle w:val="Bibliography"/>
      </w:pPr>
      <w:r>
        <w:t xml:space="preserve">Ordway E M and Asner G P 2020 Carbon declines along tropical forest edges correspond to heterogeneous effects on canopy structure and function</w:t>
      </w:r>
      <w:r>
        <w:t xml:space="preserve"> </w:t>
      </w:r>
      <w:r>
        <w:rPr>
          <w:i/>
        </w:rPr>
        <w:t xml:space="preserve">Proceedings of the National Academy of Sciences</w:t>
      </w:r>
      <w:r>
        <w:t xml:space="preserve"> </w:t>
      </w:r>
      <w:r>
        <w:rPr>
          <w:b/>
        </w:rPr>
        <w:t xml:space="preserve">117</w:t>
      </w:r>
      <w:r>
        <w:t xml:space="preserve"> </w:t>
      </w:r>
      <w:r>
        <w:t xml:space="preserve">7863–70</w:t>
      </w:r>
    </w:p>
    <w:bookmarkEnd w:id="143"/>
    <w:bookmarkStart w:id="144"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44"/>
    <w:bookmarkStart w:id="145"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w:t>
      </w:r>
      <w:r>
        <w:t xml:space="preserve"> </w:t>
      </w:r>
      <w:r>
        <w:rPr>
          <w:i/>
        </w:rPr>
        <w:t xml:space="preserve">Scientific Data</w:t>
      </w:r>
      <w:r>
        <w:t xml:space="preserve"> </w:t>
      </w:r>
      <w:r>
        <w:rPr>
          <w:b/>
        </w:rPr>
        <w:t xml:space="preserve">7</w:t>
      </w:r>
      <w:r>
        <w:t xml:space="preserve"> </w:t>
      </w:r>
      <w:r>
        <w:t xml:space="preserve">225</w:t>
      </w:r>
    </w:p>
    <w:bookmarkEnd w:id="145"/>
    <w:bookmarkStart w:id="146"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46"/>
    <w:bookmarkStart w:id="147"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 Amazonian production forests be sustainable?</w:t>
      </w:r>
      <w:r>
        <w:t xml:space="preserve"> </w:t>
      </w:r>
      <w:r>
        <w:rPr>
          <w:i/>
        </w:rPr>
        <w:t xml:space="preserve">Environmental Research Letters</w:t>
      </w:r>
      <w:r>
        <w:t xml:space="preserve"> </w:t>
      </w:r>
      <w:r>
        <w:rPr>
          <w:b/>
        </w:rPr>
        <w:t xml:space="preserve">14</w:t>
      </w:r>
      <w:r>
        <w:t xml:space="preserve"> </w:t>
      </w:r>
      <w:r>
        <w:t xml:space="preserve">064014</w:t>
      </w:r>
    </w:p>
    <w:bookmarkEnd w:id="147"/>
    <w:bookmarkStart w:id="148"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 Amazonian forests</w:t>
      </w:r>
      <w:r>
        <w:t xml:space="preserve"> </w:t>
      </w:r>
      <w:r>
        <w:rPr>
          <w:i/>
        </w:rPr>
        <w:t xml:space="preserve">eLife</w:t>
      </w:r>
      <w:r>
        <w:t xml:space="preserve"> </w:t>
      </w:r>
      <w:r>
        <w:rPr>
          <w:b/>
        </w:rPr>
        <w:t xml:space="preserve">5</w:t>
      </w:r>
      <w:r>
        <w:t xml:space="preserve"> </w:t>
      </w:r>
      <w:r>
        <w:t xml:space="preserve">e21394</w:t>
      </w:r>
    </w:p>
    <w:bookmarkEnd w:id="148"/>
    <w:bookmarkStart w:id="149"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
        </w:rPr>
        <w:t xml:space="preserve">Nature Communications</w:t>
      </w:r>
      <w:r>
        <w:t xml:space="preserve"> </w:t>
      </w:r>
      <w:r>
        <w:rPr>
          <w:b/>
        </w:rPr>
        <w:t xml:space="preserve">11</w:t>
      </w:r>
      <w:r>
        <w:t xml:space="preserve"> </w:t>
      </w:r>
      <w:r>
        <w:t xml:space="preserve">4540</w:t>
      </w:r>
    </w:p>
    <w:bookmarkEnd w:id="149"/>
    <w:bookmarkStart w:id="150"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w:t>
      </w:r>
      <w:r>
        <w:t xml:space="preserve"> </w:t>
      </w:r>
      <w:r>
        <w:rPr>
          <w:i/>
        </w:rPr>
        <w:t xml:space="preserve">Nature</w:t>
      </w:r>
      <w:r>
        <w:t xml:space="preserve"> </w:t>
      </w:r>
      <w:r>
        <w:rPr>
          <w:b/>
        </w:rPr>
        <w:t xml:space="preserve">530</w:t>
      </w:r>
      <w:r>
        <w:t xml:space="preserve"> </w:t>
      </w:r>
      <w:r>
        <w:t xml:space="preserve">211–4</w:t>
      </w:r>
    </w:p>
    <w:bookmarkEnd w:id="150"/>
    <w:bookmarkStart w:id="151"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51"/>
    <w:bookmarkStart w:id="152"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52"/>
    <w:bookmarkStart w:id="153" w:name="ref-reinmann_edge_2017"/>
    <w:p>
      <w:pPr>
        <w:pStyle w:val="Bibliography"/>
      </w:pPr>
      <w:r>
        <w:t xml:space="preserve">Reinmann A B and Hutyra L R 2017 Edge effects enhance carbon uptake and its vulnerability to climate change in temperate broadleaf forests</w:t>
      </w:r>
      <w:r>
        <w:t xml:space="preserve"> </w:t>
      </w:r>
      <w:r>
        <w:rPr>
          <w:i/>
        </w:rPr>
        <w:t xml:space="preserve">Proceedings of the National Academy of Sciences</w:t>
      </w:r>
      <w:r>
        <w:t xml:space="preserve"> </w:t>
      </w:r>
      <w:r>
        <w:rPr>
          <w:b/>
        </w:rPr>
        <w:t xml:space="preserve">114</w:t>
      </w:r>
      <w:r>
        <w:t xml:space="preserve"> </w:t>
      </w:r>
      <w:r>
        <w:t xml:space="preserve">107–12</w:t>
      </w:r>
    </w:p>
    <w:bookmarkEnd w:id="153"/>
    <w:bookmarkStart w:id="154"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
        </w:rPr>
        <w:t xml:space="preserve">Environmental Research Letters</w:t>
      </w:r>
      <w:r>
        <w:t xml:space="preserve"> </w:t>
      </w:r>
      <w:r>
        <w:rPr>
          <w:b/>
        </w:rPr>
        <w:t xml:space="preserve">15</w:t>
      </w:r>
      <w:r>
        <w:t xml:space="preserve"> </w:t>
      </w:r>
      <w:r>
        <w:t xml:space="preserve">114036</w:t>
      </w:r>
    </w:p>
    <w:bookmarkEnd w:id="154"/>
    <w:bookmarkStart w:id="155"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
        </w:rPr>
        <w:t xml:space="preserve">Forest Ecology and Management</w:t>
      </w:r>
      <w:r>
        <w:t xml:space="preserve"> </w:t>
      </w:r>
      <w:r>
        <w:rPr>
          <w:b/>
        </w:rPr>
        <w:t xml:space="preserve">376</w:t>
      </w:r>
      <w:r>
        <w:t xml:space="preserve"> </w:t>
      </w:r>
      <w:r>
        <w:t xml:space="preserve">45–58</w:t>
      </w:r>
    </w:p>
    <w:bookmarkEnd w:id="155"/>
    <w:bookmarkStart w:id="156"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56"/>
    <w:bookmarkStart w:id="157"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57"/>
    <w:bookmarkStart w:id="158"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58"/>
    <w:bookmarkStart w:id="159"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59"/>
    <w:bookmarkStart w:id="160"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60"/>
    <w:bookmarkStart w:id="161"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61"/>
    <w:bookmarkStart w:id="162"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 Tropical managed Forests Observatory: A research network addressing the future of tropical logged forests</w:t>
      </w:r>
      <w:r>
        <w:t xml:space="preserve"> </w:t>
      </w:r>
      <w:r>
        <w:rPr>
          <w:i/>
        </w:rPr>
        <w:t xml:space="preserve">Applied Vegetation Science</w:t>
      </w:r>
      <w:r>
        <w:t xml:space="preserve"> </w:t>
      </w:r>
      <w:r>
        <w:rPr>
          <w:b/>
        </w:rPr>
        <w:t xml:space="preserve">18</w:t>
      </w:r>
      <w:r>
        <w:t xml:space="preserve"> </w:t>
      </w:r>
      <w:r>
        <w:t xml:space="preserve">171–4</w:t>
      </w:r>
    </w:p>
    <w:bookmarkEnd w:id="162"/>
    <w:bookmarkStart w:id="163" w:name="ref-smith_evidence_2019"/>
    <w:p>
      <w:pPr>
        <w:pStyle w:val="Bibliography"/>
      </w:pPr>
      <w:r>
        <w:t xml:space="preserve">Smith I A, Hutyra L R, Reinmann A B, Thompson J R and Allen D W 2019 Evidence for Edge Enhancements of Soil Respiration in Temperate Forests</w:t>
      </w:r>
      <w:r>
        <w:t xml:space="preserve"> </w:t>
      </w:r>
      <w:r>
        <w:rPr>
          <w:i/>
        </w:rPr>
        <w:t xml:space="preserve">Geophysical Research Letters</w:t>
      </w:r>
      <w:r>
        <w:t xml:space="preserve"> </w:t>
      </w:r>
      <w:r>
        <w:rPr>
          <w:b/>
        </w:rPr>
        <w:t xml:space="preserve">46</w:t>
      </w:r>
      <w:r>
        <w:t xml:space="preserve"> </w:t>
      </w:r>
      <w:r>
        <w:t xml:space="preserve">4278–87</w:t>
      </w:r>
    </w:p>
    <w:bookmarkEnd w:id="163"/>
    <w:bookmarkStart w:id="164"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64"/>
    <w:bookmarkStart w:id="165"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65"/>
    <w:bookmarkStart w:id="166"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66"/>
    <w:bookmarkStart w:id="167"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67"/>
    <w:bookmarkStart w:id="168"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68"/>
    <w:bookmarkStart w:id="169"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69"/>
    <w:bookmarkStart w:id="170"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70"/>
    <w:bookmarkStart w:id="171" w:name="ref-r_core_team_r_2020"/>
    <w:p>
      <w:pPr>
        <w:pStyle w:val="Bibliography"/>
      </w:pPr>
      <w:r>
        <w:t xml:space="preserve">Team R C 2020 R : A language and environment for statistical computing. R Foundation for Statistical Computing, Vienna, Austria. URL http://www.R-project.org/.</w:t>
      </w:r>
    </w:p>
    <w:bookmarkEnd w:id="171"/>
    <w:bookmarkStart w:id="172"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72"/>
    <w:bookmarkStart w:id="173"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73"/>
    <w:bookmarkStart w:id="174"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74"/>
    <w:bookmarkStart w:id="175"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75"/>
    <w:bookmarkStart w:id="176"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76"/>
    <w:bookmarkStart w:id="177"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77"/>
    <w:bookmarkStart w:id="178"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78"/>
    <w:bookmarkStart w:id="179"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79"/>
    <w:bookmarkStart w:id="180"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2021-01-25T20:34:25Z</dcterms:created>
  <dcterms:modified xsi:type="dcterms:W3CDTF">2021-01-25T20:34:25Z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