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AAEE" w14:textId="77777777" w:rsidR="00885CBB" w:rsidRDefault="00F10F39">
      <w:pPr>
        <w:pStyle w:val="Heading3"/>
      </w:pPr>
      <w:bookmarkStart w:id="0" w:name="Xe274d8bfc31d8f186374f5425705e4c8c528185"/>
      <w:r>
        <w:t>Relevance for climate change prediction and mitigation</w:t>
      </w:r>
      <w:bookmarkEnd w:id="0"/>
    </w:p>
    <w:p w14:paraId="05752B8E" w14:textId="725532B9" w:rsidR="00885CBB" w:rsidRDefault="00F10F39">
      <w:pPr>
        <w:pStyle w:val="FirstParagraph"/>
      </w:pPr>
      <w:r>
        <w:t xml:space="preserve">The future of forest C cycling (Song </w:t>
      </w:r>
      <w:r>
        <w:rPr>
          <w:i/>
        </w:rPr>
        <w:t>et al</w:t>
      </w:r>
      <w:r>
        <w:t xml:space="preserve"> 2019) will shape trends in atmospheric CO</w:t>
      </w:r>
      <w:r>
        <w:rPr>
          <w:vertAlign w:val="subscript"/>
        </w:rPr>
        <w:t>2</w:t>
      </w:r>
      <w:r>
        <w:t xml:space="preserve"> and the course o</w:t>
      </w:r>
      <w:r>
        <w:t>f climate change</w:t>
      </w:r>
      <w:r w:rsidR="00ED5163">
        <w:t xml:space="preserve"> (Schimel et al. 2015 </w:t>
      </w:r>
      <w:r w:rsidR="00ED5163" w:rsidRPr="00ED5163">
        <w:t>10.1073/pnas.1407302112</w:t>
      </w:r>
      <w:r w:rsidR="00ED5163">
        <w:t>)</w:t>
      </w:r>
      <w:r>
        <w:t xml:space="preserve">. </w:t>
      </w:r>
      <w:r w:rsidR="00ED5163">
        <w:t xml:space="preserve">Our findings, and more generally the data contained in </w:t>
      </w:r>
      <w:proofErr w:type="spellStart"/>
      <w:r w:rsidR="00ED5163">
        <w:rPr>
          <w:i/>
        </w:rPr>
        <w:t>ForC</w:t>
      </w:r>
      <w:proofErr w:type="spellEnd"/>
      <w:r w:rsidR="00ED5163">
        <w:t xml:space="preserve"> and summarized here, </w:t>
      </w:r>
      <w:r>
        <w:t>can help to meet two major challenges.</w:t>
      </w:r>
    </w:p>
    <w:p w14:paraId="7B1497D0" w14:textId="579BF744" w:rsidR="00885CBB" w:rsidRDefault="00F10F39">
      <w:pPr>
        <w:pStyle w:val="BodyText"/>
      </w:pPr>
      <w:r>
        <w:t>First, improved representation of forest C cycling in models is essential to impr</w:t>
      </w:r>
      <w:r>
        <w:t>oving predictions of the future course of climate change</w:t>
      </w:r>
      <w:r w:rsidR="00812B8C">
        <w:t>, for the simple reason that by definition future projections extend our existing observations and understanding to conditions that do not currently exist on Earth (</w:t>
      </w:r>
      <w:commentRangeStart w:id="1"/>
      <w:r w:rsidR="00812B8C">
        <w:t>cites</w:t>
      </w:r>
      <w:commentRangeEnd w:id="1"/>
      <w:r w:rsidR="00812B8C">
        <w:rPr>
          <w:rStyle w:val="CommentReference"/>
        </w:rPr>
        <w:commentReference w:id="1"/>
      </w:r>
      <w:r w:rsidR="00812B8C">
        <w:t>)</w:t>
      </w:r>
      <w:r>
        <w:t>. To ensure that models are giving the right answers for the right reasons</w:t>
      </w:r>
      <w:r w:rsidR="00812B8C">
        <w:t xml:space="preserve"> (</w:t>
      </w:r>
      <w:proofErr w:type="spellStart"/>
      <w:r w:rsidR="00812B8C">
        <w:t>Sulman</w:t>
      </w:r>
      <w:proofErr w:type="spellEnd"/>
      <w:r w:rsidR="00812B8C">
        <w:t xml:space="preserve"> et al. 2018 </w:t>
      </w:r>
      <w:r w:rsidR="00812B8C" w:rsidRPr="00812B8C">
        <w:t>10.1007/s10533-018-0509-z</w:t>
      </w:r>
      <w:r w:rsidR="00812B8C">
        <w:t>)</w:t>
      </w:r>
      <w:r>
        <w:t>, it is important to benchmark against multiple components of the C cycle that are internally consistent with each other</w:t>
      </w:r>
      <w:r w:rsidR="00812B8C">
        <w:t xml:space="preserve"> (Collier et al. 2018 </w:t>
      </w:r>
      <w:r w:rsidR="00812B8C" w:rsidRPr="00812B8C">
        <w:t>10.1029/2018MS001354</w:t>
      </w:r>
      <w:r w:rsidR="00812B8C">
        <w:t xml:space="preserve">, Wang et al. 2018 </w:t>
      </w:r>
      <w:r w:rsidR="00812B8C" w:rsidRPr="00812B8C">
        <w:t>10.5194/gmd-11-3903-2018</w:t>
      </w:r>
      <w:r w:rsidR="00812B8C">
        <w:t>)</w:t>
      </w:r>
      <w:r>
        <w:t xml:space="preserve">. </w:t>
      </w:r>
      <w:proofErr w:type="spellStart"/>
      <w:r w:rsidR="00ED3D04">
        <w:t>ForC’s</w:t>
      </w:r>
      <w:proofErr w:type="spellEnd"/>
      <w:r w:rsidR="00ED3D04">
        <w:t xml:space="preserve"> </w:t>
      </w:r>
      <w:r>
        <w:t xml:space="preserve">tens of thousands of records </w:t>
      </w:r>
      <w:r w:rsidR="00ED3D04">
        <w:t xml:space="preserve">are </w:t>
      </w:r>
      <w:r>
        <w:t xml:space="preserve">readily available in </w:t>
      </w:r>
      <w:r w:rsidR="00ED3D04">
        <w:t xml:space="preserve">a </w:t>
      </w:r>
      <w:r>
        <w:t xml:space="preserve">standardized format, </w:t>
      </w:r>
      <w:r w:rsidR="00ED3D04">
        <w:t>and our analyses here indicate their internal consistency is reasonably high</w:t>
      </w:r>
      <w:r>
        <w:t xml:space="preserve">. Integration of </w:t>
      </w:r>
      <w:r>
        <w:rPr>
          <w:i/>
        </w:rPr>
        <w:t>ForC</w:t>
      </w:r>
      <w:r>
        <w:t xml:space="preserve"> with models is a goal (Fer et al., in revision).</w:t>
      </w:r>
    </w:p>
    <w:p w14:paraId="6010ED5D" w14:textId="22509F96" w:rsidR="00885CBB" w:rsidRDefault="00F10F39">
      <w:pPr>
        <w:pStyle w:val="BodyText"/>
      </w:pPr>
      <w:commentRangeStart w:id="2"/>
      <w:r>
        <w:t xml:space="preserve">Second, </w:t>
      </w:r>
      <w:r>
        <w:rPr>
          <w:i/>
        </w:rPr>
        <w:t>ForC</w:t>
      </w:r>
      <w:r>
        <w:t xml:space="preserve"> ca</w:t>
      </w:r>
      <w:r>
        <w:t>n serve as a pipeline through which forest science can inform forest-based climate change mitigation efforts. Such efforts will be most effective when informed by the best available data, yet it is not feasible for the individuals and organizations designi</w:t>
      </w:r>
      <w:r>
        <w:t xml:space="preserve">ng such efforts to sort through literature, often behind paywalls, with data reported in varying units, terminology, etc. One goal for </w:t>
      </w:r>
      <w:r>
        <w:rPr>
          <w:i/>
        </w:rPr>
        <w:t>ForC</w:t>
      </w:r>
      <w:r>
        <w:t xml:space="preserve"> is to serve as a pipeline through which information can flow efficiently from forest researchers to decision-makers </w:t>
      </w:r>
      <w:r>
        <w:t>working to implement forest conservation strategies at global, national, or landscape scales. This is already happening</w:t>
      </w:r>
      <w:r w:rsidR="003E1C86">
        <w:t>:</w:t>
      </w:r>
      <w:r>
        <w:t xml:space="preserve"> </w:t>
      </w:r>
      <w:r>
        <w:rPr>
          <w:i/>
        </w:rPr>
        <w:t>ForC</w:t>
      </w:r>
      <w:r>
        <w:t xml:space="preserve"> has </w:t>
      </w:r>
      <w:r>
        <w:t xml:space="preserve">contributed to updating the IPCC guidelines for carbon accounting in forests [IPCC 2019; Requena Suarez </w:t>
      </w:r>
      <w:r>
        <w:rPr>
          <w:i/>
        </w:rPr>
        <w:t>et al</w:t>
      </w:r>
      <w:r>
        <w:t xml:space="preserve"> (2019); </w:t>
      </w:r>
      <w:r>
        <w:t xml:space="preserve">Rozendaal et al in prep], mapping C accumulation potential from natural forest regrowth globally (Cook-Patton </w:t>
      </w:r>
      <w:r>
        <w:rPr>
          <w:i/>
        </w:rPr>
        <w:t>et al</w:t>
      </w:r>
      <w:r>
        <w:t xml:space="preserve"> 2020), and informing ecosystem conservation priorities (Goldstein </w:t>
      </w:r>
      <w:r>
        <w:rPr>
          <w:i/>
        </w:rPr>
        <w:t>et al</w:t>
      </w:r>
      <w:r>
        <w:t xml:space="preserve"> 2020).</w:t>
      </w:r>
      <w:commentRangeEnd w:id="2"/>
      <w:r w:rsidR="003E1C86">
        <w:rPr>
          <w:rStyle w:val="CommentReference"/>
        </w:rPr>
        <w:commentReference w:id="2"/>
      </w:r>
    </w:p>
    <w:p w14:paraId="046EEAB8" w14:textId="70084CB1" w:rsidR="00885CBB" w:rsidRDefault="00CF33EC">
      <w:pPr>
        <w:pStyle w:val="BodyText"/>
      </w:pPr>
      <w:r w:rsidRPr="00CF33EC">
        <w:rPr>
          <w:bCs/>
          <w:iCs/>
        </w:rPr>
        <w:t xml:space="preserve">It is also interesting to consider the complementary utility of </w:t>
      </w:r>
      <w:proofErr w:type="gramStart"/>
      <w:r w:rsidRPr="00CF33EC">
        <w:rPr>
          <w:bCs/>
          <w:iCs/>
        </w:rPr>
        <w:t>global-scale</w:t>
      </w:r>
      <w:proofErr w:type="gramEnd"/>
      <w:r w:rsidRPr="00CF33EC">
        <w:rPr>
          <w:bCs/>
          <w:iCs/>
        </w:rPr>
        <w:t xml:space="preserve"> but spatially discontinuous databases such as </w:t>
      </w:r>
      <w:proofErr w:type="spellStart"/>
      <w:r w:rsidR="00F10F39" w:rsidRPr="00CF33EC">
        <w:rPr>
          <w:bCs/>
          <w:i/>
        </w:rPr>
        <w:t>ForC</w:t>
      </w:r>
      <w:proofErr w:type="spellEnd"/>
      <w:r w:rsidR="00F10F39" w:rsidRPr="00CF33EC">
        <w:rPr>
          <w:bCs/>
        </w:rPr>
        <w:t xml:space="preserve"> </w:t>
      </w:r>
      <w:r w:rsidRPr="00CF33EC">
        <w:rPr>
          <w:bCs/>
        </w:rPr>
        <w:t xml:space="preserve">and remote wall-to-wall </w:t>
      </w:r>
      <w:r w:rsidR="00F10F39" w:rsidRPr="00CF33EC">
        <w:rPr>
          <w:bCs/>
        </w:rPr>
        <w:t xml:space="preserve">remote sensing </w:t>
      </w:r>
      <w:r w:rsidRPr="00CF33EC">
        <w:rPr>
          <w:bCs/>
        </w:rPr>
        <w:t xml:space="preserve">products. </w:t>
      </w:r>
      <w:r>
        <w:rPr>
          <w:bCs/>
        </w:rPr>
        <w:t xml:space="preserve">The latter provide unparalleled insight into aboveground carbon stocks, </w:t>
      </w:r>
      <w:r w:rsidR="00464DCF">
        <w:rPr>
          <w:bCs/>
        </w:rPr>
        <w:t>but less constraint on belowground stocks or carbon fluxes in general (Bond-</w:t>
      </w:r>
      <w:proofErr w:type="spellStart"/>
      <w:r w:rsidR="00464DCF">
        <w:rPr>
          <w:bCs/>
        </w:rPr>
        <w:t>Lamberty</w:t>
      </w:r>
      <w:proofErr w:type="spellEnd"/>
      <w:r w:rsidR="00464DCF">
        <w:rPr>
          <w:bCs/>
        </w:rPr>
        <w:t xml:space="preserve"> et al. 2016, </w:t>
      </w:r>
      <w:hyperlink r:id="rId11" w:history="1">
        <w:r w:rsidR="00464DCF" w:rsidRPr="00664140">
          <w:rPr>
            <w:rStyle w:val="Hyperlink"/>
            <w:bCs/>
          </w:rPr>
          <w:t>http://dx.doi.org/10.1002/ecs2.1380</w:t>
        </w:r>
      </w:hyperlink>
      <w:r w:rsidR="00464DCF">
        <w:rPr>
          <w:bCs/>
        </w:rPr>
        <w:t xml:space="preserve">, </w:t>
      </w:r>
      <w:proofErr w:type="spellStart"/>
      <w:r w:rsidR="00464DCF">
        <w:rPr>
          <w:bCs/>
        </w:rPr>
        <w:t>Anav</w:t>
      </w:r>
      <w:proofErr w:type="spellEnd"/>
      <w:r w:rsidR="00464DCF">
        <w:rPr>
          <w:bCs/>
        </w:rPr>
        <w:t xml:space="preserve"> et al. 2015 </w:t>
      </w:r>
      <w:hyperlink r:id="rId12" w:history="1">
        <w:r w:rsidR="00464DCF" w:rsidRPr="00664140">
          <w:rPr>
            <w:rStyle w:val="Hyperlink"/>
            <w:bCs/>
          </w:rPr>
          <w:t>http://dx.doi.org/10.1002/2015RG000483</w:t>
        </w:r>
      </w:hyperlink>
      <w:r w:rsidR="00464DCF">
        <w:rPr>
          <w:bCs/>
        </w:rPr>
        <w:t xml:space="preserve">). Combining observational data and remote observations may </w:t>
      </w:r>
      <w:r w:rsidR="00F10F39" w:rsidRPr="00CF33EC">
        <w:rPr>
          <w:bCs/>
        </w:rPr>
        <w:t xml:space="preserve">provide a </w:t>
      </w:r>
      <w:r w:rsidR="00464DCF">
        <w:rPr>
          <w:bCs/>
        </w:rPr>
        <w:t xml:space="preserve">much more </w:t>
      </w:r>
      <w:r w:rsidR="00F10F39" w:rsidRPr="00CF33EC">
        <w:rPr>
          <w:bCs/>
        </w:rPr>
        <w:t xml:space="preserve">comprehensive </w:t>
      </w:r>
      <w:r w:rsidR="00464DCF">
        <w:rPr>
          <w:bCs/>
        </w:rPr>
        <w:t xml:space="preserve">and accurate </w:t>
      </w:r>
      <w:r w:rsidR="00F10F39" w:rsidRPr="00CF33EC">
        <w:rPr>
          <w:bCs/>
        </w:rPr>
        <w:t>picture of global forest C cycling</w:t>
      </w:r>
      <w:r w:rsidR="00464DCF">
        <w:rPr>
          <w:bCs/>
        </w:rPr>
        <w:t>, particularly when used in formal data assimilation systems (</w:t>
      </w:r>
      <w:proofErr w:type="spellStart"/>
      <w:r w:rsidR="00464DCF">
        <w:rPr>
          <w:bCs/>
        </w:rPr>
        <w:t>Konings</w:t>
      </w:r>
      <w:proofErr w:type="spellEnd"/>
      <w:r w:rsidR="00464DCF">
        <w:rPr>
          <w:bCs/>
        </w:rPr>
        <w:t xml:space="preserve"> et all 2019 </w:t>
      </w:r>
      <w:r w:rsidR="00464DCF" w:rsidRPr="00464DCF">
        <w:rPr>
          <w:bCs/>
        </w:rPr>
        <w:t>10.5194/bg-16-2269-2019</w:t>
      </w:r>
      <w:r w:rsidR="00464DCF">
        <w:rPr>
          <w:bCs/>
        </w:rPr>
        <w:t xml:space="preserve">, Liu et al. 2018 </w:t>
      </w:r>
      <w:r w:rsidR="00464DCF" w:rsidRPr="00464DCF">
        <w:rPr>
          <w:bCs/>
        </w:rPr>
        <w:t>10.1088/1748-9326/aad5ef</w:t>
      </w:r>
      <w:r w:rsidR="00464DCF">
        <w:rPr>
          <w:bCs/>
        </w:rPr>
        <w:t xml:space="preserve">). </w:t>
      </w:r>
      <w:r w:rsidR="00F10F39" w:rsidRPr="00CF33EC">
        <w:rPr>
          <w:bCs/>
        </w:rPr>
        <w:t xml:space="preserve">AGB </w:t>
      </w:r>
      <w:r w:rsidR="00F10F39" w:rsidRPr="00CF33EC">
        <w:rPr>
          <w:bCs/>
        </w:rPr>
        <w:t>is the largest stock, and most</w:t>
      </w:r>
      <w:r w:rsidR="00F10F39">
        <w:t xml:space="preserve"> of the emphasis </w:t>
      </w:r>
      <w:r w:rsidR="00464DCF">
        <w:t>ha</w:t>
      </w:r>
      <w:r w:rsidR="00F10F39">
        <w:t xml:space="preserve">s </w:t>
      </w:r>
      <w:r w:rsidR="00464DCF">
        <w:t xml:space="preserve">traditionally been </w:t>
      </w:r>
      <w:r w:rsidR="00F10F39">
        <w:t>on this variable</w:t>
      </w:r>
      <w:r w:rsidR="00464DCF">
        <w:t xml:space="preserve">. </w:t>
      </w:r>
      <w:r w:rsidR="00221FFD">
        <w:t>Remote-sensing driven AGB e</w:t>
      </w:r>
      <w:r w:rsidR="00464DCF">
        <w:t>stimates (</w:t>
      </w:r>
      <w:r w:rsidR="00221FFD">
        <w:t xml:space="preserve">e.g. </w:t>
      </w:r>
      <w:r w:rsidR="00464DCF">
        <w:t xml:space="preserve">Saatchi et al. 2011 </w:t>
      </w:r>
      <w:hyperlink r:id="rId13" w:history="1">
        <w:r w:rsidR="00464DCF" w:rsidRPr="00664140">
          <w:rPr>
            <w:rStyle w:val="Hyperlink"/>
          </w:rPr>
          <w:t>http://dx.doi.org/10.1073/pnas.1019576108</w:t>
        </w:r>
      </w:hyperlink>
      <w:r w:rsidR="00464DCF">
        <w:t>)</w:t>
      </w:r>
      <w:r w:rsidR="00221FFD">
        <w:t xml:space="preserve">, calibrated </w:t>
      </w:r>
      <w:r w:rsidR="00F10F39">
        <w:t xml:space="preserve">based on high-quality ground-based data (Schepaschenko </w:t>
      </w:r>
      <w:r w:rsidR="00F10F39">
        <w:rPr>
          <w:i/>
        </w:rPr>
        <w:t>et al</w:t>
      </w:r>
      <w:r w:rsidR="00F10F39">
        <w:t xml:space="preserve"> 2019, Chave </w:t>
      </w:r>
      <w:r w:rsidR="00F10F39">
        <w:rPr>
          <w:i/>
        </w:rPr>
        <w:t>et al</w:t>
      </w:r>
      <w:r w:rsidR="00F10F39">
        <w:t xml:space="preserve"> 2019), </w:t>
      </w:r>
      <w:r w:rsidR="00221FFD">
        <w:t>are well suited for this task</w:t>
      </w:r>
      <w:r w:rsidR="00F10F39">
        <w:t xml:space="preserve">. </w:t>
      </w:r>
      <w:r w:rsidR="00221FFD">
        <w:t xml:space="preserve">Note however that factors such as </w:t>
      </w:r>
      <w:r w:rsidR="00F10F39">
        <w:t>stand age and disturbance history</w:t>
      </w:r>
      <w:r w:rsidR="00221FFD">
        <w:t xml:space="preserve"> (</w:t>
      </w:r>
      <w:r w:rsidR="00F10F39">
        <w:t xml:space="preserve">except in </w:t>
      </w:r>
      <w:r w:rsidR="00221FFD">
        <w:t xml:space="preserve">very </w:t>
      </w:r>
      <w:r w:rsidR="00F10F39">
        <w:t xml:space="preserve">recent decades </w:t>
      </w:r>
      <w:r w:rsidR="00221FFD">
        <w:t xml:space="preserve">are important but difficult to detect this way </w:t>
      </w:r>
      <w:r w:rsidR="00F10F39">
        <w:t xml:space="preserve">(Hansen </w:t>
      </w:r>
      <w:r w:rsidR="00F10F39">
        <w:rPr>
          <w:i/>
        </w:rPr>
        <w:t>et al</w:t>
      </w:r>
      <w:r w:rsidR="00F10F39">
        <w:t xml:space="preserve"> 2013, Song </w:t>
      </w:r>
      <w:r w:rsidR="00F10F39">
        <w:rPr>
          <w:i/>
        </w:rPr>
        <w:t>et al</w:t>
      </w:r>
      <w:r w:rsidR="00F10F39">
        <w:t xml:space="preserve"> 2018, Curtis </w:t>
      </w:r>
      <w:r w:rsidR="00F10F39">
        <w:rPr>
          <w:i/>
        </w:rPr>
        <w:t>et al</w:t>
      </w:r>
      <w:r w:rsidR="00F10F39">
        <w:t xml:space="preserve"> </w:t>
      </w:r>
      <w:r w:rsidR="00F10F39">
        <w:t xml:space="preserve">2018). </w:t>
      </w:r>
      <w:r w:rsidR="00221FFD">
        <w:t xml:space="preserve">Ground-based data such as </w:t>
      </w:r>
      <w:proofErr w:type="spellStart"/>
      <w:r w:rsidR="00F10F39">
        <w:rPr>
          <w:i/>
        </w:rPr>
        <w:t>ForC</w:t>
      </w:r>
      <w:proofErr w:type="spellEnd"/>
      <w:r w:rsidR="00F10F39">
        <w:t xml:space="preserve"> </w:t>
      </w:r>
      <w:r w:rsidR="00221FFD">
        <w:t>Are</w:t>
      </w:r>
      <w:r w:rsidR="00F10F39">
        <w:t xml:space="preserve"> therefore valuable in defining age-</w:t>
      </w:r>
      <w:r w:rsidR="00F10F39">
        <w:lastRenderedPageBreak/>
        <w:t xml:space="preserve">based trajectories in biomass, as in Cook-Patton </w:t>
      </w:r>
      <w:r w:rsidR="00F10F39">
        <w:rPr>
          <w:i/>
        </w:rPr>
        <w:t>et al</w:t>
      </w:r>
      <w:r w:rsidR="00F10F39">
        <w:t xml:space="preserve"> (2020)</w:t>
      </w:r>
      <w:r w:rsidR="00135545">
        <w:t>, and thus constraining variables such as carbon sink potential (</w:t>
      </w:r>
      <w:proofErr w:type="spellStart"/>
      <w:r w:rsidR="00135545">
        <w:t>Luyssaert</w:t>
      </w:r>
      <w:proofErr w:type="spellEnd"/>
      <w:r w:rsidR="00135545">
        <w:t xml:space="preserve"> et al. 2007 </w:t>
      </w:r>
      <w:r w:rsidR="00135545" w:rsidRPr="00135545">
        <w:t>http://dx.doi.org/10.1038/nature07276</w:t>
      </w:r>
      <w:r w:rsidR="00135545">
        <w:t>)</w:t>
      </w:r>
      <w:r w:rsidR="00F10F39">
        <w:t>.</w:t>
      </w:r>
    </w:p>
    <w:p w14:paraId="2E2F57D5" w14:textId="028F2172" w:rsidR="00885CBB" w:rsidRDefault="00BE4D0E">
      <w:pPr>
        <w:pStyle w:val="BodyText"/>
      </w:pPr>
      <w:r>
        <w:rPr>
          <w:i/>
        </w:rPr>
        <w:t>In contrast,</w:t>
      </w:r>
      <w:r w:rsidR="00F10F39">
        <w:t xml:space="preserve"> respiration fluxes</w:t>
      </w:r>
      <w:r w:rsidR="00F10F39">
        <w:t xml:space="preserve"> cannot be remo</w:t>
      </w:r>
      <w:r w:rsidR="00F10F39">
        <w:t>tely sensed</w:t>
      </w:r>
      <w:r>
        <w:t>. E</w:t>
      </w:r>
      <w:r w:rsidR="00F10F39">
        <w:t>fforts such as the Global Carbon Project (</w:t>
      </w:r>
      <w:r w:rsidR="00F10F39">
        <w:rPr>
          <w:b/>
        </w:rPr>
        <w:t xml:space="preserve">le </w:t>
      </w:r>
      <w:proofErr w:type="spellStart"/>
      <w:r w:rsidR="00F10F39">
        <w:rPr>
          <w:b/>
        </w:rPr>
        <w:t>quere</w:t>
      </w:r>
      <w:proofErr w:type="spellEnd"/>
      <w:r w:rsidR="00F10F39">
        <w:rPr>
          <w:b/>
        </w:rPr>
        <w:t xml:space="preserve"> </w:t>
      </w:r>
      <w:r w:rsidRPr="00BE4D0E">
        <w:rPr>
          <w:b/>
        </w:rPr>
        <w:t>http://dx.doi.org/10.5194/essd-11-1783-2019</w:t>
      </w:r>
      <w:r w:rsidR="00F10F39">
        <w:t>) and NASA</w:t>
      </w:r>
      <w:r>
        <w:t>’s</w:t>
      </w:r>
      <w:r w:rsidR="00F10F39">
        <w:t xml:space="preserve"> </w:t>
      </w:r>
      <w:r>
        <w:t xml:space="preserve">Carbon Monitoring System </w:t>
      </w:r>
      <w:r w:rsidR="00F10F39">
        <w:t>(</w:t>
      </w:r>
      <w:r>
        <w:rPr>
          <w:bCs/>
        </w:rPr>
        <w:t xml:space="preserve">Liu et al. 2018 </w:t>
      </w:r>
      <w:r w:rsidRPr="00464DCF">
        <w:rPr>
          <w:bCs/>
        </w:rPr>
        <w:t>10.1088/1748-9326/aad5ef</w:t>
      </w:r>
      <w:r w:rsidR="00F10F39">
        <w:t xml:space="preserve">) typically compute </w:t>
      </w:r>
      <w:r>
        <w:t>respiration</w:t>
      </w:r>
      <w:r w:rsidR="00F10F39">
        <w:t xml:space="preserve"> as residuals </w:t>
      </w:r>
      <w:r>
        <w:t>of all other terms (</w:t>
      </w:r>
      <w:r>
        <w:rPr>
          <w:bCs/>
        </w:rPr>
        <w:t>Bond-</w:t>
      </w:r>
      <w:proofErr w:type="spellStart"/>
      <w:r>
        <w:rPr>
          <w:bCs/>
        </w:rPr>
        <w:t>Lamberty</w:t>
      </w:r>
      <w:proofErr w:type="spellEnd"/>
      <w:r>
        <w:rPr>
          <w:bCs/>
        </w:rPr>
        <w:t xml:space="preserve"> et al. 2016</w:t>
      </w:r>
      <w:r>
        <w:rPr>
          <w:bCs/>
        </w:rPr>
        <w:t xml:space="preserve"> </w:t>
      </w:r>
      <w:hyperlink r:id="rId14" w:history="1">
        <w:r w:rsidRPr="00664140">
          <w:rPr>
            <w:rStyle w:val="Hyperlink"/>
            <w:bCs/>
          </w:rPr>
          <w:t>http://dx.doi.org/10.1002/ecs2.1380</w:t>
        </w:r>
      </w:hyperlink>
      <w:r>
        <w:rPr>
          <w:bCs/>
        </w:rPr>
        <w:t xml:space="preserve">, Harmon et al. 2011 </w:t>
      </w:r>
      <w:hyperlink r:id="rId15" w:history="1">
        <w:r w:rsidRPr="00664140">
          <w:rPr>
            <w:rStyle w:val="Hyperlink"/>
            <w:bCs/>
          </w:rPr>
          <w:t>http://dx.doi.org/10.1029/2010JG001495</w:t>
        </w:r>
      </w:hyperlink>
      <w:r>
        <w:t xml:space="preserve">). This means that the errors on respiration outputs are likely to be large and certainly poorly constrained, offering a unique opportunity for databases such as </w:t>
      </w:r>
      <w:proofErr w:type="spellStart"/>
      <w:r>
        <w:t>ForC</w:t>
      </w:r>
      <w:proofErr w:type="spellEnd"/>
      <w:r>
        <w:t xml:space="preserve"> and SRDB (Jian et al. 2020) to provide observational benchmarks.</w:t>
      </w:r>
      <w:r w:rsidR="005942A5">
        <w:t xml:space="preserve"> For example, </w:t>
      </w:r>
      <w:proofErr w:type="spellStart"/>
      <w:r w:rsidR="005942A5">
        <w:t>Konings</w:t>
      </w:r>
      <w:proofErr w:type="spellEnd"/>
      <w:r w:rsidR="005942A5">
        <w:t xml:space="preserve"> et al. (2019 </w:t>
      </w:r>
      <w:r w:rsidR="005942A5" w:rsidRPr="005942A5">
        <w:t>http://dx.doi.org/10.5194/bg-16-2269-2019</w:t>
      </w:r>
      <w:r w:rsidR="005942A5">
        <w:t>) produced a unique top-down estimate of global heterotrophic respiration that can both be compared with extant bottom-up estimates (Bond-</w:t>
      </w:r>
      <w:proofErr w:type="spellStart"/>
      <w:r w:rsidR="005942A5">
        <w:t>Lamberty</w:t>
      </w:r>
      <w:proofErr w:type="spellEnd"/>
      <w:r w:rsidR="005942A5">
        <w:t xml:space="preserve"> et al. 2018 </w:t>
      </w:r>
      <w:hyperlink r:id="rId16" w:history="1">
        <w:r w:rsidR="005942A5" w:rsidRPr="00664140">
          <w:rPr>
            <w:rStyle w:val="Hyperlink"/>
          </w:rPr>
          <w:t>http://dx.doi.org/10.1029/2018EF000866</w:t>
        </w:r>
      </w:hyperlink>
      <w:r w:rsidR="005942A5">
        <w:t>) and used as an internal consistency check on other parts of the carbon cycle (Phillips et al. 2016).</w:t>
      </w:r>
    </w:p>
    <w:p w14:paraId="694948B0" w14:textId="77777777" w:rsidR="00885CBB" w:rsidRDefault="00F10F39">
      <w:pPr>
        <w:pStyle w:val="BodyText"/>
      </w:pPr>
      <w:commentRangeStart w:id="3"/>
      <w:r>
        <w:t xml:space="preserve">In terms of C stocks, there is a paucity of data on dead wood and organic layer (Pan </w:t>
      </w:r>
      <w:proofErr w:type="gramStart"/>
      <w:r>
        <w:t>et al. ?</w:t>
      </w:r>
      <w:proofErr w:type="gramEnd"/>
      <w:r>
        <w:t>). These can be significant. (</w:t>
      </w:r>
      <w:r>
        <w:rPr>
          <w:b/>
        </w:rPr>
        <w:t xml:space="preserve">Note that we’ve given a lot of emphasis to dead wood </w:t>
      </w:r>
      <w:r>
        <w:rPr>
          <w:b/>
        </w:rPr>
        <w:t>(work by Abby), and as a result this work really advances knowledge of dead wood. We’ll want to highlight that here.</w:t>
      </w:r>
      <w:r>
        <w:t xml:space="preserve">) </w:t>
      </w:r>
      <w:r>
        <w:rPr>
          <w:i/>
        </w:rPr>
        <w:t>(give some stats/ cite figures)</w:t>
      </w:r>
      <w:r>
        <w:t>.</w:t>
      </w:r>
      <w:commentRangeEnd w:id="3"/>
      <w:r w:rsidR="005942A5">
        <w:rPr>
          <w:rStyle w:val="CommentReference"/>
        </w:rPr>
        <w:commentReference w:id="3"/>
      </w:r>
    </w:p>
    <w:p w14:paraId="3B767EA0" w14:textId="77777777" w:rsidR="00885CBB" w:rsidRDefault="00F10F39">
      <w:pPr>
        <w:pStyle w:val="BodyText"/>
      </w:pPr>
      <w:commentRangeStart w:id="4"/>
      <w:r>
        <w:rPr>
          <w:b/>
        </w:rPr>
        <w:t>Move to data availability statement, or methods?</w:t>
      </w:r>
      <w:r>
        <w:t xml:space="preserve">: We recommend that use of </w:t>
      </w:r>
      <w:r>
        <w:rPr>
          <w:i/>
        </w:rPr>
        <w:t>ForC</w:t>
      </w:r>
      <w:r>
        <w:t xml:space="preserve"> data go to the original d</w:t>
      </w:r>
      <w:r>
        <w:t xml:space="preserve">atabase, as opposed to using “off-the-shelf” values from this publication. This is because (1) </w:t>
      </w:r>
      <w:r>
        <w:rPr>
          <w:i/>
        </w:rPr>
        <w:t>ForC</w:t>
      </w:r>
      <w:r>
        <w:t xml:space="preserve"> is constantly being updated, (2) analyses should be designed to match the application, (3) age equations presented here all fit a single functional form tha</w:t>
      </w:r>
      <w:r>
        <w:t>t is not necessarily the best possible for all the variables.</w:t>
      </w:r>
    </w:p>
    <w:p w14:paraId="4BE48F2D" w14:textId="10EA37E9" w:rsidR="00541BB0" w:rsidRDefault="00F10F39" w:rsidP="00541BB0">
      <w:pPr>
        <w:pStyle w:val="BodyText"/>
      </w:pPr>
      <w:r>
        <w:t>As climate change accelerates, understanding and managing the carbon dynamics of forests will be critical to forecasting, mitigation, and adaptation. The C data in ForC, as summarized here, will</w:t>
      </w:r>
      <w:r>
        <w:t xml:space="preserve"> be valuable to these efforts.</w:t>
      </w:r>
      <w:bookmarkStart w:id="5" w:name="refs"/>
      <w:bookmarkStart w:id="6" w:name="ref-xu_contribution_2016"/>
      <w:r w:rsidR="00541BB0">
        <w:t xml:space="preserve"> </w:t>
      </w:r>
      <w:commentRangeEnd w:id="4"/>
      <w:r w:rsidR="00BE4D0E">
        <w:rPr>
          <w:rStyle w:val="CommentReference"/>
        </w:rPr>
        <w:commentReference w:id="4"/>
      </w:r>
    </w:p>
    <w:bookmarkEnd w:id="5"/>
    <w:bookmarkEnd w:id="6"/>
    <w:p w14:paraId="1A565CD8" w14:textId="123F65FC" w:rsidR="00885CBB" w:rsidRDefault="00885CBB">
      <w:pPr>
        <w:pStyle w:val="Bibliography"/>
      </w:pPr>
    </w:p>
    <w:sectPr w:rsidR="00885CB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Bond-Lamberty, Benjamin" w:date="2020-09-29T21:14:00Z" w:initials="BLB">
    <w:p w14:paraId="2FEB4DC8" w14:textId="77777777" w:rsidR="00812B8C" w:rsidRDefault="00812B8C">
      <w:pPr>
        <w:pStyle w:val="CommentText"/>
      </w:pPr>
      <w:r>
        <w:rPr>
          <w:rStyle w:val="CommentReference"/>
        </w:rPr>
        <w:annotationRef/>
      </w:r>
      <w:r>
        <w:t>E.g.:</w:t>
      </w:r>
    </w:p>
    <w:p w14:paraId="1C5EFC3F" w14:textId="77777777" w:rsidR="00812B8C" w:rsidRDefault="00812B8C">
      <w:pPr>
        <w:pStyle w:val="CommentText"/>
      </w:pPr>
    </w:p>
    <w:p w14:paraId="406E20F1" w14:textId="77777777" w:rsidR="00812B8C" w:rsidRDefault="00812B8C" w:rsidP="00812B8C">
      <w:hyperlink r:id="rId1" w:tgtFrame="_blank" w:tooltip="Persistent link using digital object identifier" w:history="1">
        <w:r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https://doi.org/10.1016/j.tree.2017.10.002</w:t>
        </w:r>
      </w:hyperlink>
    </w:p>
    <w:p w14:paraId="09B6F446" w14:textId="2D2F84A8" w:rsidR="00812B8C" w:rsidRDefault="00812B8C" w:rsidP="00812B8C">
      <w:pPr>
        <w:pStyle w:val="CommentText"/>
      </w:pPr>
      <w:hyperlink r:id="rId2" w:history="1">
        <w:r w:rsidRPr="00664140">
          <w:rPr>
            <w:rStyle w:val="Hyperlink"/>
          </w:rPr>
          <w:t>https://doi.org/</w:t>
        </w:r>
        <w:r w:rsidRPr="00812B8C">
          <w:rPr>
            <w:rStyle w:val="Hyperlink"/>
          </w:rPr>
          <w:t>10.1126/science.aam8328</w:t>
        </w:r>
      </w:hyperlink>
    </w:p>
    <w:p w14:paraId="447483BE" w14:textId="6312C797" w:rsidR="00812B8C" w:rsidRDefault="00812B8C" w:rsidP="00812B8C">
      <w:pPr>
        <w:pStyle w:val="CommentText"/>
      </w:pPr>
      <w:hyperlink r:id="rId3" w:history="1">
        <w:r w:rsidRPr="00664140">
          <w:rPr>
            <w:rStyle w:val="Hyperlink"/>
          </w:rPr>
          <w:t>https://link.springer.com/article/10.1186/s13717-018-0142-8</w:t>
        </w:r>
      </w:hyperlink>
    </w:p>
    <w:p w14:paraId="115D5BC6" w14:textId="14940B34" w:rsidR="00812B8C" w:rsidRDefault="00812B8C">
      <w:pPr>
        <w:pStyle w:val="CommentText"/>
      </w:pPr>
    </w:p>
  </w:comment>
  <w:comment w:id="2" w:author="Bond-Lamberty, Benjamin" w:date="2020-09-29T21:19:00Z" w:initials="BLB">
    <w:p w14:paraId="0A06F8C4" w14:textId="031B4981" w:rsidR="003E1C86" w:rsidRDefault="003E1C86">
      <w:pPr>
        <w:pStyle w:val="CommentText"/>
      </w:pPr>
      <w:r>
        <w:rPr>
          <w:rStyle w:val="CommentReference"/>
        </w:rPr>
        <w:annotationRef/>
      </w:r>
      <w:r>
        <w:t xml:space="preserve">I’ve </w:t>
      </w:r>
      <w:proofErr w:type="gramStart"/>
      <w:r>
        <w:t>tightened, but</w:t>
      </w:r>
      <w:proofErr w:type="gramEnd"/>
      <w:r>
        <w:t xml:space="preserve"> would probably remove this paragraph.</w:t>
      </w:r>
    </w:p>
  </w:comment>
  <w:comment w:id="3" w:author="Bond-Lamberty, Benjamin" w:date="2020-09-29T21:39:00Z" w:initials="BLB">
    <w:p w14:paraId="4802C60A" w14:textId="7D8212C0" w:rsidR="005942A5" w:rsidRDefault="005942A5">
      <w:pPr>
        <w:pStyle w:val="CommentText"/>
      </w:pPr>
      <w:r>
        <w:rPr>
          <w:rStyle w:val="CommentReference"/>
        </w:rPr>
        <w:annotationRef/>
      </w:r>
      <w:r>
        <w:t>Not sure how relevant here</w:t>
      </w:r>
    </w:p>
  </w:comment>
  <w:comment w:id="4" w:author="Bond-Lamberty, Benjamin" w:date="2020-09-29T21:37:00Z" w:initials="BLB">
    <w:p w14:paraId="26394C71" w14:textId="4A5DE673" w:rsidR="00BE4D0E" w:rsidRDefault="00BE4D0E">
      <w:pPr>
        <w:pStyle w:val="CommentText"/>
      </w:pPr>
      <w:r>
        <w:rPr>
          <w:rStyle w:val="CommentReference"/>
        </w:rPr>
        <w:annotationRef/>
      </w:r>
      <w:r>
        <w:t>Not relevant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5D5BC6" w15:done="0"/>
  <w15:commentEx w15:paraId="0A06F8C4" w15:done="0"/>
  <w15:commentEx w15:paraId="4802C60A" w15:done="0"/>
  <w15:commentEx w15:paraId="26394C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E222B" w16cex:dateUtc="2020-09-30T01:14:00Z"/>
  <w16cex:commentExtensible w16cex:durableId="231E237D" w16cex:dateUtc="2020-09-30T01:19:00Z"/>
  <w16cex:commentExtensible w16cex:durableId="231E2826" w16cex:dateUtc="2020-09-30T01:39:00Z"/>
  <w16cex:commentExtensible w16cex:durableId="231E27A9" w16cex:dateUtc="2020-09-30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5D5BC6" w16cid:durableId="231E222B"/>
  <w16cid:commentId w16cid:paraId="0A06F8C4" w16cid:durableId="231E237D"/>
  <w16cid:commentId w16cid:paraId="4802C60A" w16cid:durableId="231E2826"/>
  <w16cid:commentId w16cid:paraId="26394C71" w16cid:durableId="231E27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538E1" w14:textId="77777777" w:rsidR="00F10F39" w:rsidRDefault="00F10F39">
      <w:pPr>
        <w:spacing w:after="0"/>
      </w:pPr>
      <w:r>
        <w:separator/>
      </w:r>
    </w:p>
  </w:endnote>
  <w:endnote w:type="continuationSeparator" w:id="0">
    <w:p w14:paraId="5740B0DA" w14:textId="77777777" w:rsidR="00F10F39" w:rsidRDefault="00F10F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B711A" w14:textId="77777777" w:rsidR="00F10F39" w:rsidRDefault="00F10F39">
      <w:r>
        <w:separator/>
      </w:r>
    </w:p>
  </w:footnote>
  <w:footnote w:type="continuationSeparator" w:id="0">
    <w:p w14:paraId="1926B7CD" w14:textId="77777777" w:rsidR="00F10F39" w:rsidRDefault="00F10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C1E93E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ABA50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4A6C65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nd-Lamberty, Benjamin">
    <w15:presenceInfo w15:providerId="AD" w15:userId="S::bondlamberty@pnnl.gov::0128aa04-419f-40b3-921d-949bb470cb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5545"/>
    <w:rsid w:val="00221FFD"/>
    <w:rsid w:val="003E1C86"/>
    <w:rsid w:val="00464DCF"/>
    <w:rsid w:val="004E29B3"/>
    <w:rsid w:val="00541BB0"/>
    <w:rsid w:val="00590D07"/>
    <w:rsid w:val="005942A5"/>
    <w:rsid w:val="005C1541"/>
    <w:rsid w:val="00784D58"/>
    <w:rsid w:val="00812B8C"/>
    <w:rsid w:val="00885CBB"/>
    <w:rsid w:val="008D6863"/>
    <w:rsid w:val="00B227A6"/>
    <w:rsid w:val="00B86B75"/>
    <w:rsid w:val="00BC48D5"/>
    <w:rsid w:val="00BE4D0E"/>
    <w:rsid w:val="00C36279"/>
    <w:rsid w:val="00CF33EC"/>
    <w:rsid w:val="00E315A3"/>
    <w:rsid w:val="00ED3D04"/>
    <w:rsid w:val="00ED5163"/>
    <w:rsid w:val="00F10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48616"/>
  <w15:docId w15:val="{5D09960A-F183-F448-A0D3-3E7FF6E2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ED516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D516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812B8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2B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2B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2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2B8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2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link.springer.com/article/10.1186/s13717-018-0142-8" TargetMode="External"/><Relationship Id="rId2" Type="http://schemas.openxmlformats.org/officeDocument/2006/relationships/hyperlink" Target="https://doi.org/10.1126/science.aam8328" TargetMode="External"/><Relationship Id="rId1" Type="http://schemas.openxmlformats.org/officeDocument/2006/relationships/hyperlink" Target="https://doi.org/10.1016/j.tree.2017.10.002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dx.doi.org/10.1073/pnas.1019576108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dx.doi.org/10.1002/2015RG00048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x.doi.org/10.1029/2018EF0008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02/ecs2.138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029/2010JG001495" TargetMode="Externa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://dx.doi.org/10.1002/ecs2.13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Bond-Lamberty, Benjamin</cp:lastModifiedBy>
  <cp:revision>18</cp:revision>
  <dcterms:created xsi:type="dcterms:W3CDTF">2020-09-29T22:40:00Z</dcterms:created>
  <dcterms:modified xsi:type="dcterms:W3CDTF">2020-09-30T01:41:00Z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environmental-research-letters.csl</vt:lpwstr>
  </property>
  <property fmtid="{D5CDD505-2E9C-101B-9397-08002B2CF9AE}" pid="4" name="header-includes">
    <vt:lpwstr>   </vt:lpwstr>
  </property>
  <property fmtid="{D5CDD505-2E9C-101B-9397-08002B2CF9AE}" pid="5" name="output">
    <vt:lpwstr/>
  </property>
</Properties>
</file>