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27" w:rsidRPr="00012127" w:rsidRDefault="00012127" w:rsidP="00012127">
      <w:pPr>
        <w:pStyle w:val="Caption"/>
        <w:keepNext/>
        <w:rPr>
          <w:rFonts w:ascii="Arial" w:hAnsi="Arial" w:cs="Arial"/>
          <w:i w:val="0"/>
          <w:color w:val="000000" w:themeColor="text1"/>
        </w:rPr>
      </w:pPr>
      <w:r w:rsidRPr="00012127">
        <w:rPr>
          <w:rFonts w:ascii="Arial" w:hAnsi="Arial" w:cs="Arial"/>
          <w:i w:val="0"/>
          <w:color w:val="000000" w:themeColor="text1"/>
        </w:rPr>
        <w:t>Table 1: Summary of review questions, corresponding expectations based on previous studies (when applicable), and results. Statistically sign</w:t>
      </w:r>
      <w:r>
        <w:rPr>
          <w:rFonts w:ascii="Arial" w:hAnsi="Arial" w:cs="Arial"/>
          <w:i w:val="0"/>
          <w:color w:val="000000" w:themeColor="text1"/>
        </w:rPr>
        <w:t>i</w:t>
      </w:r>
      <w:r w:rsidRPr="00012127">
        <w:rPr>
          <w:rFonts w:ascii="Arial" w:hAnsi="Arial" w:cs="Arial"/>
          <w:i w:val="0"/>
          <w:color w:val="000000" w:themeColor="text1"/>
        </w:rPr>
        <w:t>ficant support for/ rejection of hypotheses is indicated by checkmarks/ X's, whereas '-' indicates no significant relationship. Parentheses indicate partial overall support or rejection of hypotheses across all fluxes considered. Flux variables are defined in Table 2.</w:t>
      </w:r>
    </w:p>
    <w:tbl>
      <w:tblPr>
        <w:tblW w:w="15973" w:type="dxa"/>
        <w:tblInd w:w="-1031" w:type="dxa"/>
        <w:tblLook w:val="04A0" w:firstRow="1" w:lastRow="0" w:firstColumn="1" w:lastColumn="0" w:noHBand="0" w:noVBand="1"/>
      </w:tblPr>
      <w:tblGrid>
        <w:gridCol w:w="238"/>
        <w:gridCol w:w="4962"/>
        <w:gridCol w:w="850"/>
        <w:gridCol w:w="697"/>
        <w:gridCol w:w="685"/>
        <w:gridCol w:w="831"/>
        <w:gridCol w:w="1139"/>
        <w:gridCol w:w="1250"/>
        <w:gridCol w:w="831"/>
        <w:gridCol w:w="1345"/>
        <w:gridCol w:w="713"/>
        <w:gridCol w:w="638"/>
        <w:gridCol w:w="1794"/>
      </w:tblGrid>
      <w:tr w:rsidR="00217835" w:rsidRPr="002D398F" w:rsidTr="00400FD5">
        <w:trPr>
          <w:trHeight w:val="316"/>
        </w:trPr>
        <w:tc>
          <w:tcPr>
            <w:tcW w:w="238" w:type="dxa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77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Forest autotrophic carbon flu</w:t>
            </w:r>
            <w:r w:rsidR="00400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es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Review questions and hypothesized relationships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Overall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B379BA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GPP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B379BA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NPP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ANPP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ANPP</w:t>
            </w: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stem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ANPP</w:t>
            </w: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foliage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BNPP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BNPP</w:t>
            </w: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fine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.root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R</w:t>
            </w: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auto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R</w:t>
            </w:r>
            <w:r w:rsidRPr="00B379B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root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Q1. How do C fluxes vary with latitude?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decreasing latitude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1, 2, 3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sign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ficantly decelerating increase with decreasing latitude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Q2. How do C fluxes vary with mean annual temperature (MAT) and precipitation (MAP)?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MAT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1, 5, 6, 7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3,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MAP up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≥ 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2000 mm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1, 4, 7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MAP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8, 9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3, Table S3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Q3. How are C fluxes related to other climate variables?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VPD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solar radiation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11, 12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Q4. How does seasonality influence annual C fluxes?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temperature seasonality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precipitation seasonality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13, 14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length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15, 16, 17, 18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stronger relationship to growing season length than MAT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16, 17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72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Table S4</w:t>
            </w:r>
          </w:p>
        </w:tc>
      </w:tr>
      <w:tr w:rsidR="00400FD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400FD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Q5. When standardised by growing season length, how do annual C fluxes vary with climate?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temperature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precipitation</w:t>
            </w:r>
            <w:r w:rsidR="00154DF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en-GB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solar radiation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</w:tbl>
    <w:p w:rsidR="00154DFF" w:rsidRDefault="00154DFF" w:rsidP="00154DFF">
      <w:pPr>
        <w:tabs>
          <w:tab w:val="left" w:pos="4065"/>
        </w:tabs>
        <w:rPr>
          <w:rFonts w:ascii="Arial" w:hAnsi="Arial" w:cs="Arial"/>
          <w:sz w:val="18"/>
          <w:szCs w:val="18"/>
        </w:rPr>
      </w:pPr>
    </w:p>
    <w:p w:rsidR="002D398F" w:rsidRPr="00154DFF" w:rsidRDefault="007F2C4A" w:rsidP="00154DFF">
      <w:pPr>
        <w:tabs>
          <w:tab w:val="left" w:pos="406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t>1</w:t>
      </w:r>
      <w:r w:rsidR="00154DFF">
        <w:rPr>
          <w:rFonts w:ascii="Arial" w:hAnsi="Arial" w:cs="Arial"/>
          <w:sz w:val="18"/>
          <w:szCs w:val="18"/>
        </w:rPr>
        <w:t xml:space="preserve">Luyssaert et al. (2007)    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 w:rsidR="00154DFF" w:rsidRPr="00154DFF">
        <w:rPr>
          <w:rFonts w:ascii="Arial" w:hAnsi="Arial" w:cs="Arial"/>
          <w:sz w:val="18"/>
          <w:szCs w:val="18"/>
        </w:rPr>
        <w:t>Gillman et al. (2015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3</w:t>
      </w:r>
      <w:r w:rsidR="00154DFF" w:rsidRPr="00154DFF">
        <w:rPr>
          <w:rFonts w:ascii="Arial" w:hAnsi="Arial" w:cs="Arial"/>
          <w:sz w:val="18"/>
          <w:szCs w:val="18"/>
        </w:rPr>
        <w:t xml:space="preserve">Simova and </w:t>
      </w:r>
      <w:proofErr w:type="spellStart"/>
      <w:r w:rsidR="00154DFF" w:rsidRPr="00154DFF">
        <w:rPr>
          <w:rFonts w:ascii="Arial" w:hAnsi="Arial" w:cs="Arial"/>
          <w:sz w:val="18"/>
          <w:szCs w:val="18"/>
        </w:rPr>
        <w:t>Storch</w:t>
      </w:r>
      <w:proofErr w:type="spellEnd"/>
      <w:r w:rsidR="00154DFF" w:rsidRPr="00154DFF">
        <w:rPr>
          <w:rFonts w:ascii="Arial" w:hAnsi="Arial" w:cs="Arial"/>
          <w:sz w:val="18"/>
          <w:szCs w:val="18"/>
        </w:rPr>
        <w:t xml:space="preserve">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4</w:t>
      </w:r>
      <w:r w:rsidR="00154DFF" w:rsidRPr="00154DFF">
        <w:rPr>
          <w:rFonts w:ascii="Arial" w:hAnsi="Arial" w:cs="Arial"/>
          <w:sz w:val="18"/>
          <w:szCs w:val="18"/>
        </w:rPr>
        <w:t xml:space="preserve">Huston &amp; </w:t>
      </w:r>
      <w:proofErr w:type="spellStart"/>
      <w:r w:rsidR="00154DFF" w:rsidRPr="00154DFF">
        <w:rPr>
          <w:rFonts w:ascii="Arial" w:hAnsi="Arial" w:cs="Arial"/>
          <w:sz w:val="18"/>
          <w:szCs w:val="18"/>
        </w:rPr>
        <w:t>Wolverton</w:t>
      </w:r>
      <w:proofErr w:type="spellEnd"/>
      <w:r w:rsidR="00154DFF" w:rsidRPr="00154DFF">
        <w:rPr>
          <w:rFonts w:ascii="Arial" w:hAnsi="Arial" w:cs="Arial"/>
          <w:sz w:val="18"/>
          <w:szCs w:val="18"/>
        </w:rPr>
        <w:t xml:space="preserve"> (2009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5</w:t>
      </w:r>
      <w:r w:rsidR="00154DFF" w:rsidRPr="00154DFF">
        <w:rPr>
          <w:rFonts w:ascii="Arial" w:hAnsi="Arial" w:cs="Arial"/>
          <w:sz w:val="18"/>
          <w:szCs w:val="18"/>
        </w:rPr>
        <w:t>Schuur (2003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6</w:t>
      </w:r>
      <w:r w:rsidR="00154DFF" w:rsidRPr="00154DFF">
        <w:rPr>
          <w:rFonts w:ascii="Arial" w:hAnsi="Arial" w:cs="Arial"/>
          <w:sz w:val="18"/>
          <w:szCs w:val="18"/>
        </w:rPr>
        <w:t>Piao et al. (2010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7</w:t>
      </w:r>
      <w:r w:rsidR="00154DFF" w:rsidRPr="00154DFF">
        <w:rPr>
          <w:rFonts w:ascii="Arial" w:hAnsi="Arial" w:cs="Arial"/>
          <w:sz w:val="18"/>
          <w:szCs w:val="18"/>
        </w:rPr>
        <w:t>Wei et al. (2010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8</w:t>
      </w:r>
      <w:r w:rsidR="00154DFF" w:rsidRPr="00154DFF">
        <w:rPr>
          <w:rFonts w:ascii="Arial" w:hAnsi="Arial" w:cs="Arial"/>
          <w:sz w:val="18"/>
          <w:szCs w:val="18"/>
        </w:rPr>
        <w:t>Taylor et al.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9</w:t>
      </w:r>
      <w:r w:rsidR="00154DFF" w:rsidRPr="00154DFF">
        <w:rPr>
          <w:rFonts w:ascii="Arial" w:hAnsi="Arial" w:cs="Arial"/>
          <w:sz w:val="18"/>
          <w:szCs w:val="18"/>
        </w:rPr>
        <w:t>Muller-Landau et al. (2020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10</w:t>
      </w:r>
      <w:r w:rsidR="00154DFF" w:rsidRPr="00154DFF">
        <w:rPr>
          <w:rFonts w:ascii="Arial" w:hAnsi="Arial" w:cs="Arial"/>
          <w:sz w:val="18"/>
          <w:szCs w:val="18"/>
        </w:rPr>
        <w:t>Smith et al. (2020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11</w:t>
      </w:r>
      <w:r w:rsidR="00154DFF" w:rsidRPr="00154DFF">
        <w:rPr>
          <w:rFonts w:ascii="Arial" w:hAnsi="Arial" w:cs="Arial"/>
          <w:sz w:val="18"/>
          <w:szCs w:val="18"/>
        </w:rPr>
        <w:t>Fyllas et al. (2017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12</w:t>
      </w:r>
      <w:r w:rsidR="00154DFF" w:rsidRPr="00154DFF">
        <w:rPr>
          <w:rFonts w:ascii="Arial" w:hAnsi="Arial" w:cs="Arial"/>
          <w:sz w:val="18"/>
          <w:szCs w:val="18"/>
        </w:rPr>
        <w:t>Nemani et al. (2003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13</w:t>
      </w:r>
      <w:r w:rsidR="00154DFF" w:rsidRPr="00154DFF">
        <w:rPr>
          <w:rFonts w:ascii="Arial" w:hAnsi="Arial" w:cs="Arial"/>
          <w:sz w:val="18"/>
          <w:szCs w:val="18"/>
        </w:rPr>
        <w:t>Wagner et al. (2014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14</w:t>
      </w:r>
      <w:r w:rsidR="00154DFF" w:rsidRPr="00154DFF">
        <w:rPr>
          <w:rFonts w:ascii="Arial" w:hAnsi="Arial" w:cs="Arial"/>
          <w:sz w:val="18"/>
          <w:szCs w:val="18"/>
        </w:rPr>
        <w:t>Wagner et al. (2016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15</w:t>
      </w:r>
      <w:r w:rsidR="00154DFF" w:rsidRPr="00154DFF">
        <w:rPr>
          <w:rFonts w:ascii="Arial" w:hAnsi="Arial" w:cs="Arial"/>
          <w:sz w:val="18"/>
          <w:szCs w:val="18"/>
        </w:rPr>
        <w:t>Malhi (2012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16</w:t>
      </w:r>
      <w:r w:rsidR="00154DFF" w:rsidRPr="00154DFF">
        <w:rPr>
          <w:rFonts w:ascii="Arial" w:hAnsi="Arial" w:cs="Arial"/>
          <w:sz w:val="18"/>
          <w:szCs w:val="18"/>
        </w:rPr>
        <w:t>Michaletz et al. (2</w:t>
      </w:r>
      <w:bookmarkStart w:id="0" w:name="_GoBack"/>
      <w:bookmarkEnd w:id="0"/>
      <w:r w:rsidR="00154DFF" w:rsidRPr="00154DFF">
        <w:rPr>
          <w:rFonts w:ascii="Arial" w:hAnsi="Arial" w:cs="Arial"/>
          <w:sz w:val="18"/>
          <w:szCs w:val="18"/>
        </w:rPr>
        <w:t>014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17</w:t>
      </w:r>
      <w:r w:rsidR="00154DFF" w:rsidRPr="00154DFF">
        <w:rPr>
          <w:rFonts w:ascii="Arial" w:hAnsi="Arial" w:cs="Arial"/>
          <w:sz w:val="18"/>
          <w:szCs w:val="18"/>
        </w:rPr>
        <w:t>Chu et al. (2016</w:t>
      </w:r>
      <w:r w:rsidR="00154DFF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  <w:vertAlign w:val="superscript"/>
        </w:rPr>
        <w:t>18</w:t>
      </w:r>
      <w:r w:rsidR="00154DFF" w:rsidRPr="00154DFF">
        <w:rPr>
          <w:rFonts w:ascii="Arial" w:hAnsi="Arial" w:cs="Arial"/>
          <w:sz w:val="18"/>
          <w:szCs w:val="18"/>
        </w:rPr>
        <w:t>F</w:t>
      </w:r>
      <w:r w:rsidR="00154DFF">
        <w:rPr>
          <w:rFonts w:ascii="Arial" w:hAnsi="Arial" w:cs="Arial"/>
          <w:sz w:val="18"/>
          <w:szCs w:val="18"/>
        </w:rPr>
        <w:t>ernandez-Martinez et al. (2014)</w:t>
      </w:r>
      <w:r w:rsidR="00154DFF" w:rsidRPr="00154DFF">
        <w:rPr>
          <w:rFonts w:ascii="Arial" w:hAnsi="Arial" w:cs="Arial"/>
          <w:sz w:val="18"/>
          <w:szCs w:val="18"/>
        </w:rPr>
        <w:tab/>
      </w:r>
    </w:p>
    <w:sectPr w:rsidR="002D398F" w:rsidRPr="00154DFF" w:rsidSect="00012127"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8F"/>
    <w:rsid w:val="00012127"/>
    <w:rsid w:val="00154DFF"/>
    <w:rsid w:val="00217835"/>
    <w:rsid w:val="002D398F"/>
    <w:rsid w:val="00400FD5"/>
    <w:rsid w:val="004C2B20"/>
    <w:rsid w:val="004E55D2"/>
    <w:rsid w:val="0051274E"/>
    <w:rsid w:val="005555CF"/>
    <w:rsid w:val="007F2C4A"/>
    <w:rsid w:val="00B3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652AA-1C31-4584-8909-4107898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21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061BE-2523-4A6B-95ED-640E0A7D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Rebecca Banbury Morgan</cp:lastModifiedBy>
  <cp:revision>5</cp:revision>
  <dcterms:created xsi:type="dcterms:W3CDTF">2021-02-26T10:04:00Z</dcterms:created>
  <dcterms:modified xsi:type="dcterms:W3CDTF">2021-02-26T11:23:00Z</dcterms:modified>
</cp:coreProperties>
</file>