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19" w:rsidRPr="00D62A62" w:rsidRDefault="00850919" w:rsidP="00850919">
      <w:pPr>
        <w:pStyle w:val="Caption"/>
        <w:keepNext/>
        <w:rPr>
          <w:rFonts w:ascii="Arial" w:hAnsi="Arial" w:cs="Arial"/>
          <w:i w:val="0"/>
          <w:color w:val="000000" w:themeColor="text1"/>
          <w:vertAlign w:val="superscript"/>
        </w:rPr>
      </w:pPr>
      <w:r w:rsidRPr="00850919">
        <w:rPr>
          <w:rFonts w:ascii="Arial" w:hAnsi="Arial" w:cs="Arial"/>
          <w:i w:val="0"/>
          <w:color w:val="000000" w:themeColor="text1"/>
        </w:rPr>
        <w:t>Table 2: Definitions and sample sizes of carbon flux variables used in analysis. All variable</w:t>
      </w:r>
      <w:r w:rsidR="00D62A62">
        <w:rPr>
          <w:rFonts w:ascii="Arial" w:hAnsi="Arial" w:cs="Arial"/>
          <w:i w:val="0"/>
          <w:color w:val="000000" w:themeColor="text1"/>
        </w:rPr>
        <w:t>s are measured in units of Mg C ha</w:t>
      </w:r>
      <w:r w:rsidR="00D62A62">
        <w:rPr>
          <w:rFonts w:ascii="Arial" w:hAnsi="Arial" w:cs="Arial"/>
          <w:i w:val="0"/>
          <w:color w:val="000000" w:themeColor="text1"/>
          <w:vertAlign w:val="superscript"/>
        </w:rPr>
        <w:t>-1</w:t>
      </w:r>
      <w:r w:rsidRPr="00850919">
        <w:rPr>
          <w:rFonts w:ascii="Arial" w:hAnsi="Arial" w:cs="Arial"/>
          <w:i w:val="0"/>
          <w:color w:val="000000" w:themeColor="text1"/>
        </w:rPr>
        <w:t xml:space="preserve"> yr</w:t>
      </w:r>
      <w:r w:rsidR="00D62A62">
        <w:rPr>
          <w:rFonts w:ascii="Arial" w:hAnsi="Arial" w:cs="Arial"/>
          <w:i w:val="0"/>
          <w:color w:val="000000" w:themeColor="text1"/>
          <w:vertAlign w:val="superscript"/>
        </w:rPr>
        <w:t>-1.</w:t>
      </w:r>
    </w:p>
    <w:tbl>
      <w:tblPr>
        <w:tblW w:w="14369" w:type="dxa"/>
        <w:jc w:val="center"/>
        <w:tblLook w:val="04A0" w:firstRow="1" w:lastRow="0" w:firstColumn="1" w:lastColumn="0" w:noHBand="0" w:noVBand="1"/>
      </w:tblPr>
      <w:tblGrid>
        <w:gridCol w:w="1276"/>
        <w:gridCol w:w="1911"/>
        <w:gridCol w:w="3018"/>
        <w:gridCol w:w="5640"/>
        <w:gridCol w:w="1067"/>
        <w:gridCol w:w="1457"/>
      </w:tblGrid>
      <w:tr w:rsidR="00850919" w:rsidRPr="00850919" w:rsidTr="00850919">
        <w:trPr>
          <w:trHeight w:val="416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0919" w:rsidRPr="00850919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0919" w:rsidRPr="00850919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0919" w:rsidRPr="00850919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0919" w:rsidRPr="00850919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50919" w:rsidRPr="00850919" w:rsidRDefault="00850919" w:rsidP="00850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Sample size</w:t>
            </w:r>
          </w:p>
        </w:tc>
      </w:tr>
      <w:tr w:rsidR="00850919" w:rsidRPr="00850919" w:rsidTr="00850919">
        <w:trPr>
          <w:trHeight w:val="564"/>
          <w:jc w:val="center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Variable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Definition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Components included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Methodologies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records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geographic areas</w:t>
            </w:r>
            <w:r w:rsidR="00850919"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*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GPP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Gross Primary Production 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full ecosystem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flux pa</w:t>
            </w:r>
            <w:r w:rsidR="00850919"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rtitioning of eddy-covariance; 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NPP </w:t>
            </w:r>
            <w:r w:rsidR="00850919"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+ 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auto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243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49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NPP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Net Primary Production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stem, foliage, coarse root, fine root, optionally others (e.g., branch, reproductive, understory)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ANPP </w:t>
            </w: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+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BNPP</w:t>
            </w: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(majority);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GPP </w:t>
            </w: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–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auto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161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56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Aboveground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NPP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stem, foliage, optionally others (e.g., branch, reproductive, understory)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stem</w:t>
            </w: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+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foliage</w:t>
            </w:r>
            <w:r w:rsidR="00F44520"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(+ others) 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278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86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stem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Stem growth component of 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woody stems down to DBH </w:t>
            </w:r>
            <w:r w:rsidR="00850919"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≤</w:t>
            </w: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10cm (no branch turnover)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stem growth measurements scaled to biomass using </w:t>
            </w:r>
            <w:proofErr w:type="spellStart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allometries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264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96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F44520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foliage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Foliage component of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ANPP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foliage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litterfall</w:t>
            </w:r>
            <w:proofErr w:type="spellEnd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collection, with separation into components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49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BNPP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850919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Belowground 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NPP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coarse and fine roots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919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coarse roots estimated indirectly using </w:t>
            </w:r>
            <w:proofErr w:type="spellStart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allometries</w:t>
            </w:r>
            <w:proofErr w:type="spellEnd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based on aboveground stem increment measures ; fine roots as below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101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48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F44520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BNPP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fine.root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Fine root component of 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BNPP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fine roots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measurements combined one or more of the following: soil cores, </w:t>
            </w:r>
            <w:proofErr w:type="spellStart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minirhizotrons</w:t>
            </w:r>
            <w:proofErr w:type="spellEnd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 turnover estimates,  root ingrowth cores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88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41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auto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Autotrophic respiration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foliage, stem, and root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chamber measurements of fo</w:t>
            </w:r>
            <w:r w:rsid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liage and stem gas exchange +</w:t>
            </w:r>
            <w:r w:rsidR="00850919" w:rsidRPr="0085091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</w:t>
            </w:r>
            <w:r w:rsidR="00850919"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root</w:t>
            </w: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(as below)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13</w:t>
            </w:r>
          </w:p>
        </w:tc>
      </w:tr>
      <w:tr w:rsidR="00850919" w:rsidRPr="00850919" w:rsidTr="00850919">
        <w:trPr>
          <w:trHeight w:val="680"/>
          <w:jc w:val="center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</w:pPr>
            <w:r w:rsidRPr="00F44520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</w:t>
            </w:r>
            <w:r w:rsidRPr="00850919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bscript"/>
                <w:lang w:eastAsia="en-GB"/>
              </w:rPr>
              <w:t>root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Root respiration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(coarse and) fine roots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partitioning of total soil respiration (e.g., through root exclusion), scaling of root gas exchange; excluded alkali </w:t>
            </w:r>
            <w:proofErr w:type="spellStart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absoption</w:t>
            </w:r>
            <w:proofErr w:type="spellEnd"/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and soda lime methods for measuring soil respiration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4520" w:rsidRPr="00F44520" w:rsidRDefault="00F44520" w:rsidP="00850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F4452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26</w:t>
            </w:r>
          </w:p>
        </w:tc>
      </w:tr>
    </w:tbl>
    <w:p w:rsidR="00D62A62" w:rsidRDefault="00D62A62">
      <w:pPr>
        <w:rPr>
          <w:rFonts w:ascii="Arial" w:hAnsi="Arial" w:cs="Arial"/>
          <w:sz w:val="18"/>
          <w:szCs w:val="18"/>
        </w:rPr>
      </w:pPr>
    </w:p>
    <w:p w:rsidR="00B2151F" w:rsidRPr="00850919" w:rsidRDefault="00850919">
      <w:pPr>
        <w:rPr>
          <w:rFonts w:ascii="Arial" w:hAnsi="Arial" w:cs="Arial"/>
          <w:sz w:val="18"/>
          <w:szCs w:val="18"/>
        </w:rPr>
      </w:pPr>
      <w:r w:rsidRPr="00850919">
        <w:rPr>
          <w:rFonts w:ascii="Arial" w:hAnsi="Arial" w:cs="Arial"/>
          <w:sz w:val="18"/>
          <w:szCs w:val="18"/>
        </w:rPr>
        <w:t>*Geographic areas group geographically proximate sites, defined using a hierarchical cluster analysis on the distance matrix of the site</w:t>
      </w:r>
      <w:bookmarkStart w:id="0" w:name="_GoBack"/>
      <w:bookmarkEnd w:id="0"/>
      <w:r w:rsidRPr="00850919">
        <w:rPr>
          <w:rFonts w:ascii="Arial" w:hAnsi="Arial" w:cs="Arial"/>
          <w:sz w:val="18"/>
          <w:szCs w:val="18"/>
        </w:rPr>
        <w:t xml:space="preserve">s, and a </w:t>
      </w:r>
      <w:proofErr w:type="spellStart"/>
      <w:r w:rsidRPr="00850919">
        <w:rPr>
          <w:rFonts w:ascii="Arial" w:hAnsi="Arial" w:cs="Arial"/>
          <w:sz w:val="18"/>
          <w:szCs w:val="18"/>
        </w:rPr>
        <w:t>cutoff</w:t>
      </w:r>
      <w:proofErr w:type="spellEnd"/>
      <w:r w:rsidRPr="00850919">
        <w:rPr>
          <w:rFonts w:ascii="Arial" w:hAnsi="Arial" w:cs="Arial"/>
          <w:sz w:val="18"/>
          <w:szCs w:val="18"/>
        </w:rPr>
        <w:t xml:space="preserve"> of 25km</w:t>
      </w:r>
    </w:p>
    <w:sectPr w:rsidR="00B2151F" w:rsidRPr="00850919" w:rsidSect="008509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20"/>
    <w:rsid w:val="004C2B20"/>
    <w:rsid w:val="0051274E"/>
    <w:rsid w:val="00850919"/>
    <w:rsid w:val="00D62A62"/>
    <w:rsid w:val="00F4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C707"/>
  <w15:chartTrackingRefBased/>
  <w15:docId w15:val="{5967E1DA-C9FF-4C00-83E4-F3EB9885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9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1</cp:revision>
  <dcterms:created xsi:type="dcterms:W3CDTF">2021-02-26T10:56:00Z</dcterms:created>
  <dcterms:modified xsi:type="dcterms:W3CDTF">2021-02-26T11:32:00Z</dcterms:modified>
</cp:coreProperties>
</file>