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3</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March 2024, ForC contained ~19316 independent records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At the same time, CO</w:t>
      </w:r>
      <w:r>
        <w:rPr>
          <w:vertAlign w:val="subscript"/>
        </w:rPr>
        <w:t xml:space="preserve">2</w:t>
      </w:r>
      <w:r>
        <w:t xml:space="preserve"> </w:t>
      </w:r>
      <w:r>
        <w:t xml:space="preserve">uptake by remaining and regrowing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that offsets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r>
        <w:t xml:space="preserve"> </w:t>
      </w:r>
    </w:p>
    <w:p>
      <w:pPr>
        <w:pStyle w:val="BodyText"/>
      </w:pPr>
      <w:r>
        <w:t xml:space="preserve">Accordingly,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2022b)</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IPCC’s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We identified ForC variables that were relevant to the IPCC methodology and EFDB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2" w:name="results"/>
    <w:p>
      <w:pPr>
        <w:pStyle w:val="Heading1"/>
      </w:pPr>
      <w:r>
        <w:t xml:space="preserve">Results</w:t>
      </w:r>
    </w:p>
    <w:p>
      <w:pPr>
        <w:pStyle w:val="FirstParagraph"/>
      </w:pPr>
      <w:r>
        <w:t xml:space="preserve">As of March 01, 2024</w:t>
      </w:r>
      <w:r>
        <w:t xml:space="preserve">, ForC (v4.0) contained 32686 independent records (39848 total), 19316 of which were for the 42 variables relevant to EFDB (Fig. 1).</w:t>
      </w:r>
      <w:r>
        <w:t xml:space="preserve"> </w:t>
      </w:r>
      <w:r>
        <w:t xml:space="preserve">We had reviewed or added 2292 records for submission to EFDB, 1438 of which met the criteria for submission, and 1068 of which had been reviewed by EFDB’s review panel, accepted, and posted (Table S3).</w:t>
      </w:r>
      <w:r>
        <w:t xml:space="preserve"> </w:t>
      </w:r>
      <w:r>
        <w:t xml:space="preserve">The 37% attenuation between records we reviewed and those submitted to EFDB was due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March 01, 2024, the 1438 ForC records posted in EFDB represented 19% of the total EFDB records for forest land.</w:t>
      </w:r>
    </w:p>
    <w:p>
      <w:pPr>
        <w:pStyle w:val="BodyText"/>
      </w:pPr>
      <w:r>
        <w:t xml:space="preserve">ForC v4.0 contained records for 29 of the 42 variables (or closely-related variable groups) relevant to EFDB (Fig. 1, Table S3).</w:t>
      </w:r>
      <w:r>
        <w:t xml:space="preserve"> </w:t>
      </w:r>
      <w:r>
        <w:t xml:space="preserve">Records were submitted for 19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(82%)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very unevenly (Figs. 2-3).</w:t>
      </w:r>
      <w:r>
        <w:t xml:space="preserve"> </w:t>
      </w:r>
      <w:r>
        <w:t xml:space="preserve">Among the records submitted to EFDB, the largest number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By far the most records came from needleleaf evergreen forests, followed by broadleaf deciduous and broadleaf evergreen (Fig. 3b).</w:t>
      </w:r>
      <w:r>
        <w:t xml:space="preserve"> </w:t>
      </w:r>
      <w:r>
        <w:t xml:space="preserve">The largest number of records came from mature forests (&gt;100 years), followed by young and intermediate-aged stands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bookmarkEnd w:id="42"/>
    <w:bookmarkStart w:id="46"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March 01,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2-3,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3"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S3). Other categories of records to prioritize include those from countries relying on existing data for their greenhouse gas inventories (Tier 1 or 2 methodology), the variables most needed by EFDB users, and the most up-to-date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3"/>
    <w:bookmarkStart w:id="44"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4"/>
    <w:bookmarkStart w:id="45" w:name="data-reporting-needs"/>
    <w:p>
      <w:pPr>
        <w:pStyle w:val="Heading3"/>
      </w:pPr>
      <w:r>
        <w:t xml:space="preserve">Data reporting needs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the current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5"/>
    <w:bookmarkEnd w:id="46"/>
    <w:bookmarkStart w:id="47"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7"/>
    <w:bookmarkStart w:id="48"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48"/>
    <w:bookmarkStart w:id="49"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49"/>
    <w:bookmarkStart w:id="51"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0">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1"/>
    <w:bookmarkStart w:id="52"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2"/>
    <w:bookmarkStart w:id="147" w:name="references"/>
    <w:p>
      <w:pPr>
        <w:pStyle w:val="Heading1"/>
      </w:pPr>
      <w:r>
        <w:t xml:space="preserve">References</w:t>
      </w:r>
    </w:p>
    <w:bookmarkStart w:id="146" w:name="refs"/>
    <w:bookmarkStart w:id="54"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3">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4"/>
    <w:bookmarkStart w:id="56"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5">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6"/>
    <w:bookmarkStart w:id="58"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7">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8"/>
    <w:bookmarkStart w:id="60"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59">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0"/>
    <w:bookmarkStart w:id="62"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1">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2"/>
    <w:bookmarkStart w:id="64"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3">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4"/>
    <w:bookmarkStart w:id="66"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5">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6"/>
    <w:bookmarkStart w:id="68"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67">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68"/>
    <w:bookmarkStart w:id="70"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69">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0"/>
    <w:bookmarkStart w:id="72"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1">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2"/>
    <w:bookmarkStart w:id="74"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3">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4"/>
    <w:bookmarkStart w:id="76"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5">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6"/>
    <w:bookmarkStart w:id="78"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77">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78"/>
    <w:bookmarkStart w:id="80"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79">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0"/>
    <w:bookmarkStart w:id="82"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1">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2"/>
    <w:bookmarkStart w:id="84"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3">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4"/>
    <w:bookmarkStart w:id="86"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5">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6"/>
    <w:bookmarkStart w:id="88"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88"/>
    <w:bookmarkStart w:id="90"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0"/>
    <w:bookmarkStart w:id="92"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1">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2"/>
    <w:bookmarkStart w:id="94"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3">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4"/>
    <w:bookmarkStart w:id="96"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5">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96"/>
    <w:bookmarkStart w:id="98"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7">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98"/>
    <w:bookmarkStart w:id="100"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99">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0"/>
    <w:bookmarkStart w:id="102"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1">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2"/>
    <w:bookmarkStart w:id="103"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03"/>
    <w:bookmarkStart w:id="104"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4"/>
    <w:bookmarkStart w:id="105"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05"/>
    <w:bookmarkStart w:id="106"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06"/>
    <w:bookmarkStart w:id="107"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07"/>
    <w:bookmarkStart w:id="109"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08">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09"/>
    <w:bookmarkStart w:id="110"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0"/>
    <w:bookmarkStart w:id="112"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1">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2"/>
    <w:bookmarkStart w:id="114"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3">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4"/>
    <w:bookmarkStart w:id="116"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5">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16"/>
    <w:bookmarkStart w:id="118"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17">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18"/>
    <w:bookmarkStart w:id="119"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19"/>
    <w:bookmarkStart w:id="121"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0">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1"/>
    <w:bookmarkStart w:id="122"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2"/>
    <w:bookmarkStart w:id="124"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3">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24"/>
    <w:bookmarkStart w:id="126"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25">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26"/>
    <w:bookmarkStart w:id="128"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7">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28"/>
    <w:bookmarkStart w:id="130"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9">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0"/>
    <w:bookmarkStart w:id="132"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1">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2"/>
    <w:bookmarkStart w:id="134"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33">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34"/>
    <w:bookmarkStart w:id="136"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35">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36"/>
    <w:bookmarkStart w:id="138"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37">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38"/>
    <w:bookmarkStart w:id="139"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39"/>
    <w:bookmarkStart w:id="141"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0">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1"/>
    <w:bookmarkStart w:id="143"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2">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3"/>
    <w:bookmarkStart w:id="145"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4">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5"/>
    <w:bookmarkEnd w:id="146"/>
    <w:bookmarkEnd w:id="14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37"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0"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3"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8" Target="https://doi.org/10.1017/9781009157926.001" TargetMode="External" /><Relationship Type="http://schemas.openxmlformats.org/officeDocument/2006/relationships/hyperlink" Id="rId135" Target="https://doi.org/10.1038/d41586-019-01720-7" TargetMode="External" /><Relationship Type="http://schemas.openxmlformats.org/officeDocument/2006/relationships/hyperlink" Id="rId99"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1"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3"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1"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2" Target="https://doi.org/10.1101/2022.01.17.476441" TargetMode="External" /><Relationship Type="http://schemas.openxmlformats.org/officeDocument/2006/relationships/hyperlink" Id="rId125" Target="https://doi.org/10.1111/2041-210X.12753" TargetMode="External" /><Relationship Type="http://schemas.openxmlformats.org/officeDocument/2006/relationships/hyperlink" Id="rId97"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7" Target="https://doi.org/10.1111/gcb.14767" TargetMode="External" /><Relationship Type="http://schemas.openxmlformats.org/officeDocument/2006/relationships/hyperlink" Id="rId129"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3" Target="https://doi.org/10.1111/gcb.16497" TargetMode="External" /><Relationship Type="http://schemas.openxmlformats.org/officeDocument/2006/relationships/hyperlink" Id="rId117"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4" Target="https://doi.org/10.1126/sciadv.abe9829" TargetMode="External" /><Relationship Type="http://schemas.openxmlformats.org/officeDocument/2006/relationships/hyperlink" Id="rId115" Target="https://doi.org/10.1126/science.aaz9463" TargetMode="External" /><Relationship Type="http://schemas.openxmlformats.org/officeDocument/2006/relationships/hyperlink" Id="rId93"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0"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1" Target="https://doi.org/10.5194/essd-13-255-2021" TargetMode="External" /><Relationship Type="http://schemas.openxmlformats.org/officeDocument/2006/relationships/hyperlink" Id="rId95"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0"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3"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8" Target="https://doi.org/10.1017/9781009157926.001" TargetMode="External" /><Relationship Type="http://schemas.openxmlformats.org/officeDocument/2006/relationships/hyperlink" Id="rId135" Target="https://doi.org/10.1038/d41586-019-01720-7" TargetMode="External" /><Relationship Type="http://schemas.openxmlformats.org/officeDocument/2006/relationships/hyperlink" Id="rId99"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1"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3"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1"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2" Target="https://doi.org/10.1101/2022.01.17.476441" TargetMode="External" /><Relationship Type="http://schemas.openxmlformats.org/officeDocument/2006/relationships/hyperlink" Id="rId125" Target="https://doi.org/10.1111/2041-210X.12753" TargetMode="External" /><Relationship Type="http://schemas.openxmlformats.org/officeDocument/2006/relationships/hyperlink" Id="rId97"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7" Target="https://doi.org/10.1111/gcb.14767" TargetMode="External" /><Relationship Type="http://schemas.openxmlformats.org/officeDocument/2006/relationships/hyperlink" Id="rId129"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3" Target="https://doi.org/10.1111/gcb.16497" TargetMode="External" /><Relationship Type="http://schemas.openxmlformats.org/officeDocument/2006/relationships/hyperlink" Id="rId117"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4" Target="https://doi.org/10.1126/sciadv.abe9829" TargetMode="External" /><Relationship Type="http://schemas.openxmlformats.org/officeDocument/2006/relationships/hyperlink" Id="rId115" Target="https://doi.org/10.1126/science.aaz9463" TargetMode="External" /><Relationship Type="http://schemas.openxmlformats.org/officeDocument/2006/relationships/hyperlink" Id="rId93"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0"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1" Target="https://doi.org/10.5194/essd-13-255-2021" TargetMode="External" /><Relationship Type="http://schemas.openxmlformats.org/officeDocument/2006/relationships/hyperlink" Id="rId95"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2024-03-01T11:53:07Z</dcterms:created>
  <dcterms:modified xsi:type="dcterms:W3CDTF">2024-03-01T11:53:07Z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