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ground-based forest monitoring data</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Rogers</w:t>
      </w:r>
      <w:r>
        <w:rPr>
          <w:vertAlign w:val="superscript"/>
        </w:rPr>
        <w:t xml:space="preserve">1</w:t>
      </w:r>
    </w:p>
    <w:p>
      <w:pPr>
        <w:pStyle w:val="BodyText"/>
      </w:pPr>
      <w:r>
        <w:t xml:space="preserve">Rebecca Banbury Morgan</w:t>
      </w:r>
      <w:r>
        <w:rPr>
          <w:vertAlign w:val="superscript"/>
        </w:rPr>
        <w:t xml:space="preserve">1,3</w:t>
      </w:r>
    </w:p>
    <w:p>
      <w:pPr>
        <w:pStyle w:val="BodyText"/>
      </w:pPr>
      <w:r>
        <w:t xml:space="preserve">Ben Bond-Lamberty</w:t>
      </w:r>
      <w:r>
        <w:rPr>
          <w:vertAlign w:val="superscript"/>
        </w:rPr>
        <w:t xml:space="preserve">4</w:t>
      </w:r>
    </w:p>
    <w:p>
      <w:pPr>
        <w:pStyle w:val="BodyText"/>
      </w:pPr>
      <w:r>
        <w:t xml:space="preserve">Susan Cook-Patton</w:t>
      </w:r>
      <w:r>
        <w:rPr>
          <w:vertAlign w:val="superscript"/>
        </w:rPr>
        <w:t xml:space="preserve">5</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School of Geography, University of Leeds, Leeds, UK</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USA</w:t>
      </w:r>
    </w:p>
    <w:p>
      <w:pPr>
        <w:pStyle w:val="FirstParagraph"/>
      </w:pPr>
      <w:r>
        <w:t xml:space="preserve">*corresponding author:</w:t>
      </w:r>
      <w:r>
        <w:t xml:space="preserve"> </w:t>
      </w:r>
      <w:hyperlink r:id="rId20">
        <w:r>
          <w:rPr>
            <w:rStyle w:val="Hyperlink"/>
          </w:rPr>
          <w:t xml:space="preserve">teixeirak@si.edu</w:t>
        </w:r>
      </w:hyperlink>
    </w:p>
    <w:p>
      <w:r>
        <w:br w:type="page"/>
      </w:r>
    </w:p>
    <w:bookmarkStart w:id="21" w:name="summary"/>
    <w:p>
      <w:pPr>
        <w:pStyle w:val="Heading1"/>
      </w:pPr>
      <w:r>
        <w:t xml:space="preserve">Summary</w:t>
      </w:r>
    </w:p>
    <w:p>
      <w:pPr>
        <w:numPr>
          <w:ilvl w:val="0"/>
          <w:numId w:val="1002"/>
        </w:numPr>
        <w:pStyle w:val="Compact"/>
      </w:pPr>
      <w:r>
        <w:t xml:space="preserve">Humans have been influencing Earth’s climate via transformative impacts on forests for &gt;12,000 years, and forests are now recognized as critical to climate change mitigation under the Paris Agreement.</w:t>
      </w:r>
      <w:r>
        <w:t xml:space="preserve"> </w:t>
      </w:r>
      <w:r>
        <w:t xml:space="preserve">However, the efficacy of climate change mitigation planning and reporting depends on having quality data on forest carbon (C) stocks and changes.</w:t>
      </w:r>
      <w:r>
        <w:t xml:space="preserve"> </w:t>
      </w:r>
      <w:r>
        <w:t xml:space="preserve">The Emission Factor Database (EFDB) of the International Panel on Climate Change (IPCC) is intended to be a definitive source for such data, but needs comprehensive and well-documented data to be so.</w:t>
      </w:r>
      <w:r>
        <w:t xml:space="preserve"> </w:t>
      </w:r>
    </w:p>
    <w:p>
      <w:pPr>
        <w:numPr>
          <w:ilvl w:val="0"/>
          <w:numId w:val="1002"/>
        </w:numPr>
        <w:pStyle w:val="Compact"/>
      </w:pPr>
      <w:r>
        <w:t xml:space="preserve">To facilitate submission of forest C estimates from scientific studies to EFDB, we develop and document a process for semi-automated data submission from the Global Forest C database (ForC v4.0), which is the largest compilation of ground-based forest C estimates.</w:t>
      </w:r>
      <w:r>
        <w:t xml:space="preserve"> </w:t>
      </w:r>
      <w:r>
        <w:t xml:space="preserve">We then assess the data currently available through ForC and provide recommendations for improving forest data collection, analysis, and reporting.</w:t>
      </w:r>
      <w:r>
        <w:t xml:space="preserve"> </w:t>
      </w:r>
    </w:p>
    <w:p>
      <w:pPr>
        <w:numPr>
          <w:ilvl w:val="0"/>
          <w:numId w:val="1002"/>
        </w:numPr>
        <w:pStyle w:val="Compact"/>
      </w:pPr>
      <w:r>
        <w:t xml:space="preserve">As of February 2024, ForC contained ~19316 independent records relevant to EFDB, 1068 of which had been submitted and posted to EFDB. These represent 19% of the total EFDB records for forest land.</w:t>
      </w:r>
      <w:r>
        <w:t xml:space="preserve"> </w:t>
      </w:r>
      <w:r>
        <w:t xml:space="preserve">Records were unevenly distributed across variables (skewed towards aboveground biomass stocks) and geographic regions (skewed towards temperate forests).</w:t>
      </w:r>
      <w:r>
        <w:t xml:space="preserve"> </w:t>
      </w:r>
      <w:r>
        <w:t xml:space="preserve">37% of ForC records reviewed could not be submitted because the original publication lacked required information.</w:t>
      </w:r>
      <w:r>
        <w:t xml:space="preserve"> </w:t>
      </w:r>
    </w:p>
    <w:p>
      <w:pPr>
        <w:numPr>
          <w:ilvl w:val="0"/>
          <w:numId w:val="1002"/>
        </w:numPr>
        <w:pStyle w:val="Compact"/>
      </w:pPr>
      <w:r>
        <w:t xml:space="preserve">In the future, ground-based forest C estimates should target gaps in the record, and studies should ensure that they report all information necessary for inclusion in EFDB.</w:t>
      </w:r>
      <w:r>
        <w:t xml:space="preserve"> </w:t>
      </w:r>
      <w:r>
        <w:t xml:space="preserve">Given that climate change is rapidly impacting the world’s forests, timely reporting of recent estimates will be critical to accurate forest C inventories.</w:t>
      </w:r>
    </w:p>
    <w:p>
      <w:pPr>
        <w:pStyle w:val="FirstParagraph"/>
      </w:pPr>
      <w:r>
        <w:rPr>
          <w:bCs/>
          <w:b/>
        </w:rPr>
        <w:t xml:space="preserve">Keywords:</w:t>
      </w:r>
      <w:r>
        <w:t xml:space="preserve"> </w:t>
      </w:r>
    </w:p>
    <w:p>
      <w:pPr>
        <w:pStyle w:val="BodyText"/>
      </w:pPr>
      <w:r>
        <w:t xml:space="preserve">climate change, database, forest carbon, greenhouse gas inventory, International Panel on Climate Change (IPCC), natural climate solutions</w:t>
      </w:r>
    </w:p>
    <w:bookmarkEnd w:id="21"/>
    <w:bookmarkStart w:id="22" w:name="societal-impact-statement"/>
    <w:p>
      <w:pPr>
        <w:pStyle w:val="Heading1"/>
      </w:pPr>
      <w:r>
        <w:t xml:space="preserve">Societal Impact Statement</w:t>
      </w:r>
    </w:p>
    <w:p>
      <w:pPr>
        <w:pStyle w:val="FirstParagraph"/>
      </w:pPr>
      <w:r>
        <w:t xml:space="preserve">Human interactions with forests have shaped Earth’s climate for millenia and will continue to do so as we target net-zero emission goals.</w:t>
      </w:r>
      <w:r>
        <w:t xml:space="preserve"> </w:t>
      </w:r>
      <w:r>
        <w:t xml:space="preserve">Accurately characterizing these climate impacts requires accurate forest carbon data available for national greenhouse gas inventories conducted under the Paris Agreement.</w:t>
      </w:r>
      <w:r>
        <w:t xml:space="preserve"> </w:t>
      </w:r>
      <w:r>
        <w:t xml:space="preserve">Here we develop a semi-automated process for submitting forest carbon measurements from the largest relevant scientific database to the International Panel on Climate Change’s Emission Factor Database, which currently has sparse forest carbon data.</w:t>
      </w:r>
      <w:r>
        <w:t xml:space="preserve"> </w:t>
      </w:r>
      <w:r>
        <w:t xml:space="preserve">Building this bridge from scientific research to international policy is an important step towards managing forests in a net-zero motivated future.</w:t>
      </w:r>
    </w:p>
    <w:p>
      <w:r>
        <w:br w:type="page"/>
      </w:r>
    </w:p>
    <w:bookmarkEnd w:id="22"/>
    <w:bookmarkStart w:id="25" w:name="introduction"/>
    <w:p>
      <w:pPr>
        <w:pStyle w:val="Heading1"/>
      </w:pPr>
      <w:r>
        <w:t xml:space="preserve">Introduction</w:t>
      </w:r>
    </w:p>
    <w:p>
      <w:pPr>
        <w:pStyle w:val="FirstParagraph"/>
      </w:pPr>
      <w:r>
        <w:t xml:space="preserve">Humans have been influencing Earth’s climate via ecologically transformative land use practices for &gt;12,000 years</w:t>
      </w:r>
      <w:r>
        <w:t xml:space="preserve"> </w:t>
      </w:r>
      <w:r>
        <w:t xml:space="preserve">(Bonan, 2016; Sanderman</w:t>
      </w:r>
      <w:r>
        <w:t xml:space="preserve"> </w:t>
      </w:r>
      <w:r>
        <w:rPr>
          <w:iCs/>
          <w:i/>
        </w:rPr>
        <w:t xml:space="preserve">et al.</w:t>
      </w:r>
      <w:r>
        <w:t xml:space="preserve">, 2017; Ellis</w:t>
      </w:r>
      <w:r>
        <w:t xml:space="preserve"> </w:t>
      </w:r>
      <w:r>
        <w:rPr>
          <w:iCs/>
          <w:i/>
        </w:rPr>
        <w:t xml:space="preserve">et al.</w:t>
      </w:r>
      <w:r>
        <w:t xml:space="preserve">, 2021)</w:t>
      </w:r>
      <w:r>
        <w:t xml:space="preserve">.</w:t>
      </w:r>
      <w:r>
        <w:t xml:space="preserve"> </w:t>
      </w:r>
      <w:r>
        <w:t xml:space="preserve">In recent decades, as both anthropogenic land transformation and climate change have accelerated, this relationship has come into increasing focus</w:t>
      </w:r>
      <w:r>
        <w:t xml:space="preserve"> </w:t>
      </w:r>
      <w:r>
        <w:t xml:space="preserve">(IPCC, 2019a)</w:t>
      </w:r>
      <w:r>
        <w:t xml:space="preserve">.</w:t>
      </w:r>
      <w:r>
        <w:t xml:space="preserve"> </w:t>
      </w:r>
      <w:r>
        <w:t xml:space="preserve">Deforestation and forest degradation are substantial sources of the greenhouse gas carbon dioxide (CO</w:t>
      </w:r>
      <w:r>
        <w:rPr>
          <w:vertAlign w:val="subscript"/>
        </w:rPr>
        <w:t xml:space="preserve">2</w:t>
      </w:r>
      <w:r>
        <w:t xml:space="preserve">), currently accounting for &gt;10% of anthropogenic emissions</w:t>
      </w:r>
      <w:r>
        <w:t xml:space="preserve"> </w:t>
      </w:r>
      <w:r>
        <w:t xml:space="preserve">(Friedlingstein</w:t>
      </w:r>
      <w:r>
        <w:t xml:space="preserve"> </w:t>
      </w:r>
      <w:r>
        <w:rPr>
          <w:iCs/>
          <w:i/>
        </w:rPr>
        <w:t xml:space="preserve">et al.</w:t>
      </w:r>
      <w:r>
        <w:t xml:space="preserve">, 2022)</w:t>
      </w:r>
      <w:r>
        <w:t xml:space="preserve">.</w:t>
      </w:r>
      <w:r>
        <w:t xml:space="preserve"> </w:t>
      </w:r>
      <w:r>
        <w:t xml:space="preserve">At the same time, CO</w:t>
      </w:r>
      <w:r>
        <w:rPr>
          <w:vertAlign w:val="subscript"/>
        </w:rPr>
        <w:t xml:space="preserve">2</w:t>
      </w:r>
      <w:r>
        <w:t xml:space="preserve"> </w:t>
      </w:r>
      <w:r>
        <w:t xml:space="preserve">uptake by remaining and regrowing forests, woodlands, and savannas has exceeded releases from deforestation and other severe disturbances, resulting in a net carbon CO</w:t>
      </w:r>
      <w:r>
        <w:rPr>
          <w:vertAlign w:val="subscript"/>
        </w:rPr>
        <w:t xml:space="preserve">2</w:t>
      </w:r>
      <w:r>
        <w:t xml:space="preserve"> </w:t>
      </w:r>
      <w:r>
        <w:t xml:space="preserve">sink of ~0.88 - 1.6 Gt C yr</w:t>
      </w:r>
      <w:r>
        <w:rPr>
          <w:vertAlign w:val="superscript"/>
        </w:rPr>
        <w:t xml:space="preserve">-1</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 </w:t>
      </w:r>
      <w:r>
        <w:t xml:space="preserve">ofsetting an estimated 10</w:t>
      </w:r>
      <w:r>
        <w:t xml:space="preserve"> </w:t>
      </w:r>
      <w:r>
        <w:t xml:space="preserve">- 18%</w:t>
      </w:r>
      <w:r>
        <w:t xml:space="preserve"> </w:t>
      </w:r>
      <w:r>
        <w:t xml:space="preserve">of anthropogenic CO</w:t>
      </w:r>
      <w:r>
        <w:rPr>
          <w:vertAlign w:val="subscript"/>
        </w:rPr>
        <w:t xml:space="preserve">2</w:t>
      </w:r>
      <w:r>
        <w:t xml:space="preserve"> </w:t>
      </w:r>
      <w:r>
        <w:t xml:space="preserve">emissions from fossil fuels and cement</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The future of this important CO</w:t>
      </w:r>
      <w:r>
        <w:rPr>
          <w:vertAlign w:val="subscript"/>
        </w:rPr>
        <w:t xml:space="preserve">2</w:t>
      </w:r>
      <w:r>
        <w:t xml:space="preserve"> </w:t>
      </w:r>
      <w:r>
        <w:t xml:space="preserve">sink depends primarily upon future trajectories of direct human impacts on forests</w:t>
      </w:r>
      <w:r>
        <w:t xml:space="preserve"> </w:t>
      </w:r>
      <w:r>
        <w:t xml:space="preserve">(i.e., deforestation/ degradation vs. conservation/ restoration, IPCC, 2019a, 2022a)</w:t>
      </w:r>
      <w:r>
        <w:t xml:space="preserve">, and also upon forest responses to climate change, which are likely to reduce the sink strength</w:t>
      </w:r>
      <w:r>
        <w:t xml:space="preserve"> </w:t>
      </w:r>
      <w:r>
        <w:t xml:space="preserve">(McDowell</w:t>
      </w:r>
      <w:r>
        <w:t xml:space="preserve"> </w:t>
      </w:r>
      <w:r>
        <w:rPr>
          <w:iCs/>
          <w:i/>
        </w:rPr>
        <w:t xml:space="preserve">et al.</w:t>
      </w:r>
      <w:r>
        <w:t xml:space="preserve">, 2020)</w:t>
      </w:r>
      <w:r>
        <w:t xml:space="preserve">.</w:t>
      </w:r>
      <w:r>
        <w:t xml:space="preserve"> </w:t>
      </w:r>
    </w:p>
    <w:p>
      <w:pPr>
        <w:pStyle w:val="BodyText"/>
      </w:pPr>
      <w:r>
        <w:t xml:space="preserve">Accordingly, forests play a substantial role in international plans for climate change mitigation under the Paris Agreement</w:t>
      </w:r>
      <w:r>
        <w:t xml:space="preserve"> </w:t>
      </w:r>
      <w:r>
        <w:t xml:space="preserve">(UNFCCC, 2015; Grassi</w:t>
      </w:r>
      <w:r>
        <w:t xml:space="preserve"> </w:t>
      </w:r>
      <w:r>
        <w:rPr>
          <w:iCs/>
          <w:i/>
        </w:rPr>
        <w:t xml:space="preserve">et al.</w:t>
      </w:r>
      <w:r>
        <w:t xml:space="preserve">, 2017)</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 with conservation and reforestation having the fourth and fifth largest net emission reduction potentials or all mitigation options</w:t>
      </w:r>
      <w:r>
        <w:t xml:space="preserve"> </w:t>
      </w:r>
      <w:r>
        <w:t xml:space="preserve">(IPCC, 2022b)</w:t>
      </w:r>
      <w:r>
        <w:t xml:space="preserve">.</w:t>
      </w:r>
      <w:r>
        <w:t xml:space="preserve"> </w:t>
      </w:r>
      <w:r>
        <w:t xml:space="preserve">However, these envisioned forest-based climate change mitigation initiatives do not always correspond to actual emission reductions implemented on the ground</w:t>
      </w:r>
      <w:r>
        <w:t xml:space="preserve"> </w:t>
      </w:r>
      <w:r>
        <w:t xml:space="preserve">(e.g., Badgley</w:t>
      </w:r>
      <w:r>
        <w:t xml:space="preserve"> </w:t>
      </w:r>
      <w:r>
        <w:rPr>
          <w:iCs/>
          <w:i/>
        </w:rPr>
        <w:t xml:space="preserve">et al.</w:t>
      </w:r>
      <w:r>
        <w:t xml:space="preserve">, 2022)</w:t>
      </w:r>
      <w:r>
        <w:t xml:space="preserve">.</w:t>
      </w:r>
      <w:r>
        <w:t xml:space="preserve"> </w:t>
      </w:r>
      <w:r>
        <w:t xml:space="preserve">One critical need for ensuring that forest-based climate change mitigation initiatives are effective is realistic planning and reporting, underlain by solid scientific data</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To this end, the International Panel on Climate Change (IPCC) provides guidance for national greenhouse gas inventories for reporting to the United Nations Framework Convention on Climate Change (UNFCCC)</w:t>
      </w:r>
      <w:r>
        <w:t xml:space="preserve"> </w:t>
      </w:r>
      <w:r>
        <w:t xml:space="preserve">(IPCC, 2006a; IPCC, 2019b)</w:t>
      </w:r>
      <w:r>
        <w:t xml:space="preserve">.</w:t>
      </w:r>
      <w:r>
        <w:t xml:space="preserve"> </w:t>
      </w:r>
      <w:r>
        <w:t xml:space="preserve">Under this guidance, greenhouse gas emissions to, or withdrawals from, the atmosphere are quantified on an annual basis for all managed land, which includes most of the world’s forest land</w:t>
      </w:r>
      <w:r>
        <w:t xml:space="preserve"> </w:t>
      </w:r>
      <w:r>
        <w:t xml:space="preserve">(Ellis</w:t>
      </w:r>
      <w:r>
        <w:t xml:space="preserve"> </w:t>
      </w:r>
      <w:r>
        <w:rPr>
          <w:iCs/>
          <w:i/>
        </w:rPr>
        <w:t xml:space="preserve">et al.</w:t>
      </w:r>
      <w:r>
        <w:t xml:space="preserve">, 2010; 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(Notes S1, 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(FAO, 2012)</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data have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w:t>
      </w:r>
      <w:r>
        <w:t xml:space="preserve"> </w:t>
      </w:r>
      <w:r>
        <w:t xml:space="preserve">For example, following the 2019 release of the latest IPCC guidelines, it was revealed that IPCC’s Tier 1 default failed to capture eight-fold variation of C accumulation in regrowth forests within ecozones</w:t>
      </w:r>
      <w:r>
        <w:t xml:space="preserve"> </w:t>
      </w:r>
      <w:r>
        <w:t xml:space="preserve">(Cook-Patton</w:t>
      </w:r>
      <w:r>
        <w:t xml:space="preserve"> </w:t>
      </w:r>
      <w:r>
        <w:rPr>
          <w:iCs/>
          <w:i/>
        </w:rPr>
        <w:t xml:space="preserve">et al.</w:t>
      </w:r>
      <w:r>
        <w:t xml:space="preserve">, 2020)</w:t>
      </w:r>
      <w:r>
        <w:t xml:space="preserve"> </w:t>
      </w:r>
      <w:r>
        <w:t xml:space="preserve">and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means that it is crucial for practitioners to have access to locally-specific information, when available.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p>
    <w:p>
      <w:pPr>
        <w:pStyle w:val="BodyText"/>
      </w:pPr>
      <w:r>
        <w:t xml:space="preserve">To improve data accessibility for preparing greenhouse gas estimates, the IPCC created the Emission Factor Database (EFDB;</w:t>
      </w:r>
      <w:r>
        <w:t xml:space="preserve"> </w:t>
      </w:r>
      <w:hyperlink r:id="rId23">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w:t>
      </w:r>
      <w:r>
        <w:t xml:space="preserve"> </w:t>
      </w:r>
      <w:r>
        <w:t xml:space="preserve">(e.g., C stocks, net annual increments, and annual fluxes for various pools, IPCC, 2006a; IPCC, 2019b)</w:t>
      </w:r>
      <w:r>
        <w:t xml:space="preserve"> </w:t>
      </w:r>
      <w:r>
        <w:t xml:space="preserve">from peer-reviewed journal articles or other accepted sources for inclusion in the database.</w:t>
      </w:r>
      <w:r>
        <w:t xml:space="preserve"> </w:t>
      </w:r>
      <w:r>
        <w:t xml:space="preserve">Tens of thousands of relevant forest carbon estimates have been published – and continue to be published at an accelerating rate – but are not readily accessible to the practitioners assembling national greenhouse gas inventories.</w:t>
      </w:r>
      <w:r>
        <w:t xml:space="preserve"> </w:t>
      </w:r>
      <w:r>
        <w:t xml:space="preserve">To contribute to the goal of making forest C parameters available for accounting under IPCC guidelines, forest scientists need an accessible summary of EFDB’s requirements and an efficient system for submission of data to the EFDB.</w:t>
      </w:r>
    </w:p>
    <w:p>
      <w:pPr>
        <w:pStyle w:val="BodyText"/>
      </w:pPr>
      <w:r>
        <w:t xml:space="preserve">Our goal is to facilitate submission of forest C estimates from scientific studies to EFDB.</w:t>
      </w:r>
      <w:r>
        <w:t xml:space="preserve"> </w:t>
      </w:r>
      <w:r>
        <w:t xml:space="preserve">We document the process of submitting data to EFDB from the Global Forest Carbon Database, ForC (</w:t>
      </w:r>
      <w:hyperlink r:id="rId24">
        <w:r>
          <w:rPr>
            <w:rStyle w:val="Hyperlink"/>
          </w:rPr>
          <w:t xml:space="preserve">https://forc-db.github.io/</w:t>
        </w:r>
      </w:hyperlink>
      <w:r>
        <w:t xml:space="preserve">), which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 including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We (1) map common scientific forest C estimation methods and definitions to those used by the IPCC;</w:t>
      </w:r>
      <w:r>
        <w:t xml:space="preserve"> </w:t>
      </w:r>
      <w:r>
        <w:t xml:space="preserve">(2) develop a semi-automated process for preparing ForC data for submission to EFDB;</w:t>
      </w:r>
      <w:r>
        <w:t xml:space="preserve"> </w:t>
      </w:r>
      <w:r>
        <w:t xml:space="preserve">and (3) assess the data in ForC relevant to EFDB and records that have been submitted to date.</w:t>
      </w:r>
      <w:r>
        <w:t xml:space="preserve"> </w:t>
      </w:r>
      <w:r>
        <w:t xml:space="preserve">We conclude with recommendations as to how the scientific community can better provide useful data for forest C inventories under the Paris Agreement.</w:t>
      </w:r>
    </w:p>
    <w:bookmarkEnd w:id="25"/>
    <w:bookmarkStart w:id="35" w:name="materials-and-methods"/>
    <w:p>
      <w:pPr>
        <w:pStyle w:val="Heading1"/>
      </w:pPr>
      <w:r>
        <w:t xml:space="preserve">Materials and Methods</w:t>
      </w:r>
    </w:p>
    <w:p>
      <w:pPr>
        <w:pStyle w:val="FirstParagraph"/>
      </w:pPr>
      <w:r>
        <w:t xml:space="preserve">Major steps for submission of data from ForC to EFDB included</w:t>
      </w:r>
      <w:r>
        <w:t xml:space="preserve"> </w:t>
      </w:r>
      <w:r>
        <w:t xml:space="preserve">(1) mapping ForC into EFDB, including aligning ForC terms and concepts with those defined by IPCC guidelines (summarized in Notes S1),</w:t>
      </w:r>
      <w:r>
        <w:t xml:space="preserve"> </w:t>
      </w:r>
      <w:r>
        <w:t xml:space="preserve">(2) revising ForC v3.0 to support semi-automated submissions to EFDB, yielding ForC v4.0 (detailed in Methods S1), and</w:t>
      </w:r>
      <w:r>
        <w:t xml:space="preserve"> </w:t>
      </w:r>
      <w:r>
        <w:t xml:space="preserve">(3) submitting data to EFDB.</w:t>
      </w:r>
    </w:p>
    <w:bookmarkStart w:id="32" w:name="mapping-forc-to-efdb"/>
    <w:p>
      <w:pPr>
        <w:pStyle w:val="Heading2"/>
      </w:pPr>
      <w:r>
        <w:t xml:space="preserve">1. Mapping ForC to EFDB</w:t>
      </w:r>
    </w:p>
    <w:p>
      <w:pPr>
        <w:pStyle w:val="FirstParagraph"/>
      </w:pPr>
      <w:r>
        <w:t xml:space="preserve">With input from the IPCC’s Technical Support Unit and referencing IPCC guidance</w:t>
      </w:r>
      <w:r>
        <w:t xml:space="preserve"> </w:t>
      </w:r>
      <w:r>
        <w:t xml:space="preserve">(IPCC, 2003, 2019b; IPCC, 2006a)</w:t>
      </w:r>
      <w:r>
        <w:t xml:space="preserve">, we determined how EFDB fields should be populated using ForC fields (summarized in Table S2).</w:t>
      </w:r>
      <w:r>
        <w:t xml:space="preserve"> </w:t>
      </w:r>
      <w:r>
        <w:t xml:space="preserve">Fields in EFDB included several fields describing how the record fits within IPCC’s framework (source/sink category, greenhouse gas type, C pool, relevant equations), several describing the C estimate itself (variable, value, units, 95% confidence limits), a few composite fields describing biotic and abiotic conditions (e.g., vegetation type, minimum diameter included, site location, climate, edaphic properties, notable disturbances, stand age, plot information), and a few describing the source (e.g., type, citation, data provider).</w:t>
      </w:r>
      <w:r>
        <w:t xml:space="preserve"> </w:t>
      </w:r>
      <w:r>
        <w:t xml:space="preserve">Most relevant ForC fields mapped directly into an EFDB field, either as the only contents of that field or as part of a composite record.</w:t>
      </w:r>
      <w:r>
        <w:t xml:space="preserve"> </w:t>
      </w:r>
      <w:r>
        <w:t xml:space="preserve"> </w:t>
      </w:r>
      <w:r>
        <w:t xml:space="preserve">For some fields, simple conditional logic was used to populate EFDB fields based on ForC records.</w:t>
      </w:r>
      <w:r>
        <w:t xml:space="preserve"> </w:t>
      </w:r>
      <w:r>
        <w:t xml:space="preserve">For example, in cases where original studies did not present 95% confidence intervals (required by IPCC when available) but did present standard error or n and standard deviation, we calculated the 95% confidence intervals.</w:t>
      </w:r>
      <w:r>
        <w:t xml:space="preserve"> </w:t>
      </w:r>
      <w:r>
        <w:t xml:space="preserve">There were two cases in which more complex mapping was required: (1) mapping of C cycle variables and (2) land classification.</w:t>
      </w:r>
    </w:p>
    <w:bookmarkStart w:id="30" w:name="carbon-cycle-variables"/>
    <w:p>
      <w:pPr>
        <w:pStyle w:val="Heading3"/>
      </w:pPr>
      <w:r>
        <w:t xml:space="preserve">Carbon cycle variables</w:t>
      </w:r>
    </w:p>
    <w:p>
      <w:pPr>
        <w:pStyle w:val="FirstParagraph"/>
      </w:pPr>
      <w:r>
        <w:t xml:space="preserve">We identified ForC variables that were relevant to the IPCC methodology and to EFDB (Notes S1).</w:t>
      </w:r>
      <w:r>
        <w:t xml:space="preserve"> </w:t>
      </w:r>
      <w:r>
        <w:t xml:space="preserve">These included organic matter or C stocks, net annual increments, influxes (a.k.a.</w:t>
      </w:r>
      <w:r>
        <w:t xml:space="preserve"> </w:t>
      </w:r>
      <w:r>
        <w:t xml:space="preserve">“</w:t>
      </w:r>
      <w:r>
        <w:t xml:space="preserve">gross annual increments</w:t>
      </w:r>
      <w:r>
        <w:t xml:space="preserve">”</w:t>
      </w:r>
      <w:r>
        <w:t xml:space="preserve"> </w:t>
      </w:r>
      <w:r>
        <w:t xml:space="preserve">by IPCC), and outfluxes for each IPCC-defied C pool (Table 1, Fig. 1).</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were mapped into EFDB (Table S2).</w:t>
      </w:r>
      <w:r>
        <w:t xml:space="preserve"> </w:t>
      </w:r>
      <w:r>
        <w:t xml:space="preserve">Details on the mapping of ForC variables to EFDB are documented in the GitHub repository associated with this publication (</w:t>
      </w:r>
      <w:hyperlink r:id="rId26">
        <w:r>
          <w:rPr>
            <w:rStyle w:val="Hyperlink"/>
          </w:rPr>
          <w:t xml:space="preserve">https://github.com/forc-db/IPCC-EFDB-integration</w:t>
        </w:r>
      </w:hyperlink>
      <w:r>
        <w:t xml:space="preserve">).</w:t>
      </w:r>
    </w:p>
    <w:p>
      <w:r>
        <w:br w:type="page"/>
      </w:r>
    </w:p>
    <w:p>
      <w:pPr>
        <w:pStyle w:val="BodyText"/>
      </w:pPr>
      <w:r>
        <w:rPr>
          <w:bCs/>
          <w:b/>
        </w:rPr>
        <w:t xml:space="preserve">Table 1. IPCC-defined forest carbon pools with definitions and measurement methods.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880"/>
        <w:gridCol w:w="2880"/>
        <w:gridCol w:w="2880"/>
      </w:tblGrid>
      <w:tr>
        <w:trPr>
          <w:trHeight w:val="561"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pool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important sources of estimate variation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IPCC guidance</w:t>
            </w:r>
          </w:p>
        </w:tc>
      </w:tr>
      <w:tr>
        <w:trPr>
          <w:trHeight w:val="561"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aboveground biomass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living vegetation</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censused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understory if minor component</w:t>
            </w:r>
          </w:p>
        </w:tc>
      </w:tr>
      <w:tr>
        <w:trPr>
          <w:trHeight w:val="5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non-dicot trees?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dead 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w:t>
            </w:r>
          </w:p>
        </w:tc>
      </w:tr>
      <w:tr>
        <w:trPr>
          <w:trHeight w:val="56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 allometry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Tier 1 defaults draw on a variety of allometric models</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live roots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factors relevant to 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see above</w:t>
            </w:r>
          </w:p>
        </w:tc>
      </w:tr>
      <w:tr>
        <w:trPr>
          <w:trHeight w:val="56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allometry or assumed ratio of below- to above-ground biomass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can estimate based on R</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root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fine roots; suggested diameter cutoff of 2 mm for fine roots</w:t>
            </w:r>
          </w:p>
        </w:tc>
      </w:tr>
      <w:tr>
        <w:trPr>
          <w:trHeight w:val="56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wood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woody biomass above a specified diameter, aboveground or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biomass smaller than dead wood but larger than soil organic matter, in various states of decomposition both above or within the mineral or organic 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maximum diameter (= minimum diameter for 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 size limit for 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suggested 2 mm</w:t>
            </w:r>
          </w:p>
        </w:tc>
      </w:tr>
      <w:tr>
        <w:trPr>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layers included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entire O horizon: litter (OL),  fumic (OF),  and  humic (OH) layers</w:t>
            </w:r>
          </w:p>
        </w:tc>
      </w:tr>
      <w:tr>
        <w:trPr>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soil organic matter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organic carbon in mineral soils to a specified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sampling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 cm default, but may be chosen by country</w:t>
            </w:r>
          </w:p>
        </w:tc>
      </w:tr>
    </w:tbl>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t xml:space="preserve">Land classification</w:t>
      </w:r>
    </w:p>
    <w:p>
      <w:pPr>
        <w:pStyle w:val="FirstParagraph"/>
      </w:pPr>
      <w:r>
        <w:t xml:space="preserve">Determination of the IPCC land-use category (i.e., Forest Land, Grassland, Wetlands, Cropland, Settlements, or Other Land; Notes S1) was made based on the dominant life form recorded in ForC.</w:t>
      </w:r>
      <w:r>
        <w:t xml:space="preserve"> </w:t>
      </w:r>
      <w:r>
        <w:t xml:space="preserve">Woody vegetation – including early seral vegetation – was classified as forest, consistent with the IPCC definition that Forest Land includes land expected to succeed to forest.</w:t>
      </w:r>
      <w:r>
        <w:t xml:space="preserve"> </w:t>
      </w:r>
      <w:r>
        <w:t xml:space="preserve">Mixtures of woody vegetation and grasses (i.e., anything from a shrub-encroached grassland to a tree-dominated savanna) were given dual classification of Forest Land and Grassland, indicating that records may be relevant to either category depending on the definition of forest applied (varies by country).</w:t>
      </w:r>
      <w:r>
        <w:t xml:space="preserve"> </w:t>
      </w:r>
      <w:r>
        <w:t xml:space="preserve">Grass- or crop-dominated ecosystems (included in ForC as controls for studies of forest regrowth following agricultural abandonment) were classified as Grassland and Cropland, respectively.</w:t>
      </w:r>
    </w:p>
    <w:p>
      <w:pPr>
        <w:pStyle w:val="BodyText"/>
      </w:pPr>
      <w:r>
        <w:t xml:space="preserve">Classification into EFDB sub-categories was dependent upon stand age and site history.</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t xml:space="preserve">2. 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&gt;1963 records to obtain additional required information, and added 329 new records.</w:t>
      </w:r>
      <w:r>
        <w:t xml:space="preserve"> </w:t>
      </w:r>
      <w:r>
        <w:t xml:space="preserve">Having implemented these changes to ForC v3.0</w:t>
      </w:r>
      <w:r>
        <w:t xml:space="preserve"> </w:t>
      </w:r>
      <w:r>
        <w:t xml:space="preserve">(Anderson-Teixeira</w:t>
      </w:r>
      <w:r>
        <w:t xml:space="preserve"> </w:t>
      </w:r>
      <w:r>
        <w:rPr>
          <w:iCs/>
          <w:i/>
        </w:rPr>
        <w:t xml:space="preserve">et al.</w:t>
      </w:r>
      <w:r>
        <w:t xml:space="preserve">, 2021)</w:t>
      </w:r>
      <w:r>
        <w:t xml:space="preserve">, which are described in detail in Methods S1, we released a new major version: ForC v4.0.</w:t>
      </w:r>
    </w:p>
    <w:bookmarkEnd w:id="33"/>
    <w:bookmarkStart w:id="34" w:name="submission-of-forc-data-to-efdb"/>
    <w:p>
      <w:pPr>
        <w:pStyle w:val="Heading2"/>
      </w:pPr>
      <w:r>
        <w:t xml:space="preserve">3. Submission of ForC data to EFDB</w:t>
      </w:r>
    </w:p>
    <w:p>
      <w:pPr>
        <w:pStyle w:val="FirstParagraph"/>
      </w:pPr>
      <w:r>
        <w:t xml:space="preserve">To submit complete, reviewed ForC records into EFDB, we created R scripts to restructure ForC records and populate EFDB’s bulk import form.</w:t>
      </w:r>
      <w:r>
        <w:t xml:space="preserve"> </w:t>
      </w:r>
      <w:r>
        <w:t xml:space="preserve">Criteria for data submission were that</w:t>
      </w:r>
      <w:r>
        <w:t xml:space="preserve"> </w:t>
      </w:r>
      <w:r>
        <w:t xml:space="preserve">(1) records had been checked against the original study and determined to be complete and correct, and as originally presented,</w:t>
      </w:r>
      <w:r>
        <w:t xml:space="preserve"> </w:t>
      </w:r>
      <w:r>
        <w:t xml:space="preserve">(2) all relevant records within the publication were included in ForC,</w:t>
      </w:r>
      <w:r>
        <w:t xml:space="preserve"> </w:t>
      </w:r>
      <w:r>
        <w:t xml:space="preserve">(3) the original study presented values in tables or text, as opposed to the values having been digitized from graphs or calculated based on related variables,</w:t>
      </w:r>
      <w:r>
        <w:t xml:space="preserve"> </w:t>
      </w:r>
      <w:r>
        <w:t xml:space="preserve">and (4) the records had not previously been submitted to EFDB.</w:t>
      </w:r>
      <w:r>
        <w:t xml:space="preserve"> </w:t>
      </w:r>
      <w:r>
        <w:t xml:space="preserve">Once converted into EFDB format, the records were reviewed and then sent to the IPCC’s Technical Support Unit for submission to EFDB.</w:t>
      </w:r>
    </w:p>
    <w:bookmarkEnd w:id="34"/>
    <w:bookmarkEnd w:id="35"/>
    <w:bookmarkStart w:id="42" w:name="results"/>
    <w:p>
      <w:pPr>
        <w:pStyle w:val="Heading1"/>
      </w:pPr>
      <w:r>
        <w:t xml:space="preserve">Results</w:t>
      </w:r>
    </w:p>
    <w:p>
      <w:pPr>
        <w:pStyle w:val="FirstParagraph"/>
      </w:pPr>
      <w:r>
        <w:t xml:space="preserve">As of February 13, 2024</w:t>
      </w:r>
      <w:r>
        <w:t xml:space="preserve">, ForC (v4.0) contained 32686 independent records (39848 total), 19316 of which were for the 42 variables relevant to EFDB (Fig. 1).</w:t>
      </w:r>
      <w:r>
        <w:t xml:space="preserve"> </w:t>
      </w:r>
      <w:r>
        <w:t xml:space="preserve">We had reviewed or added 2292 records for submission to EFDB, 1438 of which met the criteria for submission, and 1068 of which had been reviewed by EFDB’s review panel, accepted, and posted (Table S3).</w:t>
      </w:r>
      <w:r>
        <w:t xml:space="preserve"> </w:t>
      </w:r>
      <w:r>
        <w:t xml:space="preserve">The 37% attenuation between records we reviewed and those submitted to EFDB was due to the presence of digitized records and records where a variable’s value had been calculated as the sum or difference of related variables rather than presented directly in the text.</w:t>
      </w:r>
      <w:r>
        <w:t xml:space="preserve"> </w:t>
      </w:r>
      <w:r>
        <w:t xml:space="preserve">The discrepancy between the number of records sent and that posted to EFDB is because some records (26%) were deemed not applicable to EFDB by the review panel.</w:t>
      </w:r>
      <w:r>
        <w:t xml:space="preserve"> </w:t>
      </w:r>
      <w:r>
        <w:t xml:space="preserve">As of February 13, 2024, the 1438 ForC records posted in EFDB represented 19% of the total EFDB records for forest land.</w:t>
      </w:r>
    </w:p>
    <w:p>
      <w:pPr>
        <w:pStyle w:val="BodyText"/>
      </w:pPr>
      <w:r>
        <w:t xml:space="preserve">ForC v4.0 contained records for 29 of the 42 variables (or closely-related variable groups) relevant to EFDB (Fig. 1, Table S3).</w:t>
      </w:r>
      <w:r>
        <w:t xml:space="preserve"> </w:t>
      </w:r>
      <w:r>
        <w:t xml:space="preserve">Records were submitted for 19 variables (or closely-related variable groups), including variables from each C pool (Table S3).</w:t>
      </w:r>
      <w:r>
        <w:t xml:space="preserve"> </w:t>
      </w:r>
      <w:r>
        <w:t xml:space="preserve">The records available in ForC v4.0 – and the subset submitted to EFDB – were very unevenly distributed across variables (Table S3).</w:t>
      </w:r>
      <w:r>
        <w:t xml:space="preserve"> </w:t>
      </w:r>
      <w:r>
        <w:t xml:space="preserve">The majority (82%) of records submitted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4% for root biomass,</w:t>
      </w:r>
      <w:r>
        <w:t xml:space="preserve"> </w:t>
      </w:r>
      <w:r>
        <w:t xml:space="preserve">2% for components of root biomass (coarse or fine roots),</w:t>
      </w:r>
      <w:r>
        <w:t xml:space="preserve"> </w:t>
      </w:r>
      <w:r>
        <w:t xml:space="preserve">5% for dead wood,</w:t>
      </w:r>
      <w:r>
        <w:t xml:space="preserve"> </w:t>
      </w:r>
      <w:r>
        <w:t xml:space="preserve">3% for components of dead wood (standing or fallen),</w:t>
      </w:r>
      <w:r>
        <w:t xml:space="preserve"> </w:t>
      </w:r>
      <w:r>
        <w:t xml:space="preserve">4% for litter (entire O horizon or OL layer component),</w:t>
      </w:r>
      <w:r>
        <w:t xml:space="preserve"> </w:t>
      </w:r>
      <w:r>
        <w:t xml:space="preserve">and 4% for SOM/ SOC.</w:t>
      </w:r>
      <w:r>
        <w:t xml:space="preserve"> </w:t>
      </w:r>
      <w:r>
        <w:t xml:space="preserve">Increment records totaled 9% of records submitted, all but four of which described aboveground biomass.</w:t>
      </w:r>
      <w:r>
        <w:t xml:space="preserve"> </w:t>
      </w:r>
      <w:r>
        <w:t xml:space="preserve">The remaining 9% of records submitted described fluxes, all of which were either inputs or outputs to the aboveground biomass pool, a subset of which also described inputs to the dead wood or litter pool (Fig. 1,Table S3).</w:t>
      </w:r>
    </w:p>
    <w:p>
      <w:pPr>
        <w:pStyle w:val="BodyText"/>
      </w:pPr>
      <w:r>
        <w:t xml:space="preserve">ForC v4.0 records and the subset submitted to EFDB were distributed across all forested continents, biomes, and forest types, albeit very unevenly (Figs. 2-3).</w:t>
      </w:r>
      <w:r>
        <w:t xml:space="preserve"> </w:t>
      </w:r>
      <w:r>
        <w:t xml:space="preserve">Among the records submitted to EFDB, the largest number came from North America, followed by Asia, South America, and Africa (Fig. 3c), with the most represented FAO ecozones being boreal coniferous forest, temperate continental forest, and temperate mountain systems, followed by tropical rain forests and moist deciduous forests (Fig. 3b).</w:t>
      </w:r>
      <w:r>
        <w:t xml:space="preserve"> </w:t>
      </w:r>
      <w:r>
        <w:t xml:space="preserve">By far the most records came from needleleaf evergreen forests, followed by broadleaf deciduous and broadleaf evergreen (Fig. 3b).</w:t>
      </w:r>
      <w:r>
        <w:t xml:space="preserve"> </w:t>
      </w:r>
      <w:r>
        <w:t xml:space="preserve">The largest number of records came from mature forests (&gt;100 years), followed by young and intermediate-aged stands (Fig. 3d).</w:t>
      </w:r>
    </w:p>
    <w:p>
      <w:pPr>
        <w:pStyle w:val="CaptionedFigure"/>
      </w:pPr>
      <w:r>
        <w:drawing>
          <wp:inline>
            <wp:extent cx="5943600" cy="3516729"/>
            <wp:effectExtent b="0" l="0" r="0" t="0"/>
            <wp:docPr descr="Figure 2. Map of sites in ForC shaded by number of independent records relevant to (circles) and submitted to (triangles) EFDB. 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relevant to (circles) and submitted to (triangles) EFDB.</w:t>
      </w:r>
      <w:r>
        <w:t xml:space="preserve"> </w:t>
      </w:r>
      <w:r>
        <w:t xml:space="preserve">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pPr>
        <w:pStyle w:val="CaptionedFigure"/>
      </w:pPr>
      <w:r>
        <w:drawing>
          <wp:inline>
            <wp:extent cx="5943600" cy="6686549"/>
            <wp:effectExtent b="0" l="0" r="0" t="0"/>
            <wp:docPr descr="Figure 3. Histograms of number of independent records in ForC relevant to (grey) and submitted to (black) EFDB, organized by (a) dominant vegetation type, (b) FAO ecozone, (c) continent, and (d) stand age. For dominant vegetation (a), ‘Other’ includes deciduous needleleaf, mixed broadleaf- needleleaf, non-woody vegetation (e.g., early successional), and incompletely classified or mixed forest types. For FAO ecozones (b), codes are as listed in the caption of Figure 2." title="" id="40" name="Picture"/>
            <a:graphic>
              <a:graphicData uri="http://schemas.openxmlformats.org/drawingml/2006/picture">
                <pic:pic>
                  <pic:nvPicPr>
                    <pic:cNvPr descr="figures_tables/Histogram_n_Relevant_and_Transferred_Records.png" id="41" name="Picture"/>
                    <pic:cNvPicPr>
                      <a:picLocks noChangeArrowheads="1" noChangeAspect="1"/>
                    </pic:cNvPicPr>
                  </pic:nvPicPr>
                  <pic:blipFill>
                    <a:blip r:embed="rId39"/>
                    <a:stretch>
                      <a:fillRect/>
                    </a:stretch>
                  </pic:blipFill>
                  <pic:spPr bwMode="auto">
                    <a:xfrm>
                      <a:off x="0" y="0"/>
                      <a:ext cx="5943600" cy="6686549"/>
                    </a:xfrm>
                    <a:prstGeom prst="rect">
                      <a:avLst/>
                    </a:prstGeom>
                    <a:noFill/>
                    <a:ln w="9525">
                      <a:noFill/>
                      <a:headEnd/>
                      <a:tailEnd/>
                    </a:ln>
                  </pic:spPr>
                </pic:pic>
              </a:graphicData>
            </a:graphic>
          </wp:inline>
        </w:drawing>
      </w:r>
    </w:p>
    <w:p>
      <w:pPr>
        <w:pStyle w:val="ImageCaption"/>
      </w:pPr>
      <w:r>
        <w:rPr>
          <w:bCs/>
          <w:b/>
        </w:rPr>
        <w:t xml:space="preserve">Figure 3. Histograms of number of independent records in ForC relevant to (grey) and submitted to (black) EFDB,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For FAO ecozones (b), codes are as listed in the caption of Figure 2.</w:t>
      </w:r>
    </w:p>
    <w:bookmarkEnd w:id="42"/>
    <w:bookmarkStart w:id="46" w:name="discussion"/>
    <w:p>
      <w:pPr>
        <w:pStyle w:val="Heading1"/>
      </w:pPr>
      <w:r>
        <w:t xml:space="preserve">Discussion</w:t>
      </w:r>
    </w:p>
    <w:p>
      <w:pPr>
        <w:pStyle w:val="FirstParagraph"/>
      </w:pPr>
      <w:r>
        <w:t xml:space="preserve">Here we have developed a framework for submitting records from ForC v4.0, the largest compilation of ground-based forest C estimates, to the EFDB, thus making those data more accessible for reporting CO</w:t>
      </w:r>
      <w:r>
        <w:rPr>
          <w:vertAlign w:val="subscript"/>
        </w:rPr>
        <w:t xml:space="preserve">2</w:t>
      </w:r>
      <w:r>
        <w:t xml:space="preserve"> </w:t>
      </w:r>
      <w:r>
        <w:t xml:space="preserve">emissions and removals from forest land consistent with good practice in the IPCC guidelines</w:t>
      </w:r>
      <w:r>
        <w:t xml:space="preserve"> </w:t>
      </w:r>
      <w:r>
        <w:t xml:space="preserve">(IPCC, 2006a; IPCC, 2019b)</w:t>
      </w:r>
      <w:r>
        <w:t xml:space="preserve">.</w:t>
      </w:r>
      <w:r>
        <w:t xml:space="preserve"> </w:t>
      </w:r>
      <w:r>
        <w:t xml:space="preserve">As of February 13, 2024, 1068 ForC records have been posted to EFDB, which represents just 6% of potentially relevant records in ForC v4.0, but currently comprises 19% of the total EFDB records for forest land.</w:t>
      </w:r>
      <w:r>
        <w:t xml:space="preserve"> </w:t>
      </w:r>
      <w:r>
        <w:t xml:space="preserve">The records present in ForC and submitted to EFDB are very unevenly distributed across variables, regions, and forest types (Figs. 2-3, Table S3), reflecting broader patterns in allocation of research effort and pointing to scientific research and reporting needs.</w:t>
      </w:r>
    </w:p>
    <w:p>
      <w:pPr>
        <w:pStyle w:val="BodyText"/>
      </w:pPr>
      <w:r>
        <w:t xml:space="preserve">Based on our experience contributing forest C data to EFDB via ForC, we make several recommendations as to how scientists can improve forest C records in EFDB through database work, new data collection and analysis, and reporting.</w:t>
      </w:r>
    </w:p>
    <w:bookmarkStart w:id="43" w:name="database-needs"/>
    <w:p>
      <w:pPr>
        <w:pStyle w:val="Heading3"/>
      </w:pPr>
      <w:r>
        <w:t xml:space="preserve">Database needs</w:t>
      </w:r>
    </w:p>
    <w:p>
      <w:pPr>
        <w:pStyle w:val="FirstParagraph"/>
      </w:pPr>
      <w:r>
        <w:t xml:space="preserve">There is vast potential to expand forest C data in EFDB by completing the process of reviewing and submitting data that are already in ForC (Figs. 2-3).</w:t>
      </w:r>
      <w:r>
        <w:t xml:space="preserve"> </w:t>
      </w:r>
      <w:r>
        <w:t xml:space="preserve">So far, only ~7% of the EFDB-relevant data in ForC have been submitted to EFDB.</w:t>
      </w:r>
      <w:r>
        <w:t xml:space="preserve"> </w:t>
      </w:r>
      <w:r>
        <w:t xml:space="preserve">Although this process requires manual review of records, the submission of new records to EFDB is greatly facilitated by the fact that most pertinent information for each record is already entered in ForC and can be easily prepared for submission to EFDB using the system developed here.</w:t>
      </w:r>
      <w:r>
        <w:t xml:space="preserve"> </w:t>
      </w:r>
      <w:r>
        <w:t xml:space="preserve">Future efforts to review studies for submission should optimize for representation across geographic regions, forest types, and variables, giving priority to those from currently under-represented regions and forest types (Figs. 2-3, Table S3). Other categories of records to prioritize include those from countries relying on existing data for their greenhouse gas inventories (Tier 1 or 2 methodology), the variables most needed by EFDB users, and the most up-to-date records.</w:t>
      </w:r>
    </w:p>
    <w:p>
      <w:pPr>
        <w:pStyle w:val="BodyText"/>
      </w:pPr>
      <w:r>
        <w:t xml:space="preserve">In addition to the large potential to expand EFDB using records already in ForC, there are extensive EFDB-relevant forest C data that are not currently included in ForC, with more being published on a nearly daily basis.</w:t>
      </w:r>
      <w:r>
        <w:t xml:space="preserve"> </w:t>
      </w:r>
      <w:r>
        <w:t xml:space="preserve">Coverage of particular variables or regions could be vastly improved through systematic review of the literature, although this requires focused and extensive manual effort.</w:t>
      </w:r>
      <w:r>
        <w:t xml:space="preserve"> </w:t>
      </w:r>
      <w:r>
        <w:t xml:space="preserve">Recent efforts have compiled large databases of relevant data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r>
        <w:t xml:space="preserve">Beyond expanding collections of relevant forest C records, such reviews are valuable for assessing the availability of published records and identifying variables and regions that require additional data collection and analysis.</w:t>
      </w:r>
    </w:p>
    <w:bookmarkEnd w:id="43"/>
    <w:bookmarkStart w:id="44" w:name="data-collection-and-analysis-needs"/>
    <w:p>
      <w:pPr>
        <w:pStyle w:val="Heading3"/>
      </w:pPr>
      <w:r>
        <w:t xml:space="preserve">Data collection and analysis needs</w:t>
      </w:r>
    </w:p>
    <w:p>
      <w:pPr>
        <w:pStyle w:val="FirstParagraph"/>
      </w:pPr>
      <w:r>
        <w:t xml:space="preserve">New data collection and analyses are needed to fill notable knowledge gaps.</w:t>
      </w:r>
      <w:r>
        <w:t xml:space="preserve"> </w:t>
      </w:r>
      <w:r>
        <w:t xml:space="preserve">While aboveground biomass stocks in particular have received – and continue to receive – by far the most research attention</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 Table S3,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pools and variables remain poorly quantified and highly uncertain for many parts of the world</w:t>
      </w:r>
      <w:r>
        <w:t xml:space="preserve"> </w:t>
      </w:r>
      <w:r>
        <w:t xml:space="preserve">(Table S3, Tifafi</w:t>
      </w:r>
      <w:r>
        <w:t xml:space="preserve"> </w:t>
      </w:r>
      <w:r>
        <w:rPr>
          <w:iCs/>
          <w:i/>
        </w:rPr>
        <w:t xml:space="preserve">et al.</w:t>
      </w:r>
      <w:r>
        <w:t xml:space="preserve">, 2018;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very uneven across forest types and geographical regions (Figs. 2-3).</w:t>
      </w:r>
      <w:r>
        <w:t xml:space="preserve"> </w:t>
      </w:r>
      <w:r>
        <w:t xml:space="preserve">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More generally, belowground C measurements remain sparse globally.</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and aboveground biomass increment can be calculated from the same census data as aboveground woody productivity, yet the latter has received far more research attention</w:t>
      </w:r>
      <w:r>
        <w:t xml:space="preserve"> </w:t>
      </w:r>
      <w:r>
        <w:t xml:space="preserve">(Table S3, Anderson-Teixeira</w:t>
      </w:r>
      <w:r>
        <w:t xml:space="preserve"> </w:t>
      </w:r>
      <w:r>
        <w:rPr>
          <w:iCs/>
          <w:i/>
        </w:rPr>
        <w:t xml:space="preserve">et al.</w:t>
      </w:r>
      <w:r>
        <w:t xml:space="preserve">, 2021)</w:t>
      </w:r>
      <w:r>
        <w:t xml:space="preserve">.</w:t>
      </w:r>
      <w:r>
        <w:t xml:space="preserve"> </w:t>
      </w:r>
      <w:r>
        <w:t xml:space="preserve">Similarly, live coarse root biomass, total biomass, and changes therein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We recommend that, when possible, researchers calculate and report all EFDB-relevant variables.</w:t>
      </w:r>
    </w:p>
    <w:bookmarkEnd w:id="44"/>
    <w:bookmarkStart w:id="45" w:name="data-reporting-needs"/>
    <w:p>
      <w:pPr>
        <w:pStyle w:val="Heading3"/>
      </w:pPr>
      <w:r>
        <w:t xml:space="preserve">Data reporting needs</w:t>
      </w:r>
    </w:p>
    <w:p>
      <w:pPr>
        <w:pStyle w:val="FirstParagraph"/>
      </w:pPr>
      <w:r>
        <w:t xml:space="preserve">We recommend that, in order to make research most useful for estimating C stock changes following IPCC guidelines, researchers calculate and report results according to IPCC good practice (Table 2).</w:t>
      </w:r>
      <w:r>
        <w:t xml:space="preserve"> </w:t>
      </w:r>
      <w:r>
        <w:t xml:space="preserve">Importantly, simple decisions on the presentation of results will determine whether the records meet the criteria for inclusion in EFDB.</w:t>
      </w:r>
      <w:r>
        <w:t xml:space="preserve"> </w:t>
      </w:r>
      <w:r>
        <w:t xml:space="preserve">For example:</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(Stall</w:t>
      </w:r>
      <w:r>
        <w:t xml:space="preserve"> </w:t>
      </w:r>
      <w:r>
        <w:rPr>
          <w:iCs/>
          <w:i/>
        </w:rPr>
        <w:t xml:space="preserve">et al.</w:t>
      </w:r>
      <w:r>
        <w:t xml:space="preserve">, 2019)</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r>
        <w:br w:type="page"/>
      </w:r>
    </w:p>
    <w:p>
      <w:pPr>
        <w:pStyle w:val="BodyText"/>
      </w:pPr>
      <w:r>
        <w:rPr>
          <w:bCs/>
          <w:b/>
        </w:rPr>
        <w:t xml:space="preserve">Table 2. Recommended best practices for reporting forest C estimates of value to national greenhouse gas inventories under IPCC guidance.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4320"/>
        <w:gridCol w:w="4320"/>
      </w:tblGrid>
      <w:tr>
        <w:trPr>
          <w:trHeight w:val="527"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criteria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recommendation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rationale</w:t>
            </w:r>
          </w:p>
        </w:tc>
      </w:tr>
      <w:tr>
        <w:trPr>
          <w:trHeight w:val="561"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variables to include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When possible, calculate and present all relevant variables that can be readily estimated based on available data.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Estimates of relevant variables are not always calcualted.</w:t>
            </w:r>
          </w:p>
        </w:tc>
      </w:tr>
      <w:tr>
        <w:trPr>
          <w:trHeight w:val="56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forest census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guidelines (country-specific) for minimum stem size in censues in census and reporting. Ideally, census stem down to the smallest diameter feasible.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 but understory may be excluded when contribution is minor.</w:t>
            </w:r>
          </w:p>
        </w:tc>
      </w:tr>
      <w:tr>
        <w:trPr>
          <w:trHeight w:val="56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Census all taxa crontributing signficantly to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w:t>
            </w:r>
          </w:p>
        </w:tc>
      </w:tr>
      <w:tr>
        <w:trPr>
          <w:trHeight w:val="56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organic matter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recommendations for minimum diameter of deadwood (country-specific, default 10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Select and report soil sampling increments to include a cutoff at 30 cm depth (or country-specific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variables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Present each EFDB- relevant variable individually, as opposed to requiring summation of related variables.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that values in the database be presented in the original article, and cannot accept subsequent calculations.</w:t>
            </w:r>
          </w:p>
        </w:tc>
      </w:tr>
      <w:tr>
        <w:trPr>
          <w:trHeight w:val="56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all relevant values in tables, text, or supplementary tables/ data files, as opposed to in figures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does not accept values digitized from figures.</w:t>
            </w:r>
          </w:p>
        </w:tc>
      </w:tr>
      <w:tr>
        <w:trPr>
          <w:trHeight w:val="561"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confidence intervals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95% confidence intervals, standard error, or standard deviation and sample size.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confidence invervals whenever possible. </w:t>
            </w:r>
          </w:p>
        </w:tc>
      </w:tr>
    </w:tbl>
    <w:p>
      <w:pPr>
        <w:pStyle w:val="BodyText"/>
      </w:pPr>
      <w:r>
        <w:t xml:space="preserve">For those compiling published records (e.g., for meta-analyses), the data set can have added value if all information required by EFDB is extracted from original publications.</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The significant effort required to map a database into EFDB has been accomplished here (Table S2), and we hope that it will prove useful as a model for other efforts.</w:t>
      </w:r>
    </w:p>
    <w:bookmarkEnd w:id="45"/>
    <w:bookmarkEnd w:id="46"/>
    <w:bookmarkStart w:id="47" w:name="conclusions"/>
    <w:p>
      <w:pPr>
        <w:pStyle w:val="Heading1"/>
      </w:pPr>
      <w:r>
        <w:t xml:space="preserve">Conclusions</w:t>
      </w:r>
    </w:p>
    <w:p>
      <w:pPr>
        <w:pStyle w:val="FirstParagraph"/>
      </w:pPr>
      <w:r>
        <w:t xml:space="preserve">As human society strives to achieve net-zero greenhouse gas emissions, forest researchers can make their research more useful for forest C inventories under IPCC guidelines by calculating and reporting results in ways that are consistent with methodologies provided in the IPCC guidelines (Tables 1, 2).</w:t>
      </w:r>
      <w:r>
        <w:t xml:space="preserve"> </w:t>
      </w:r>
      <w:r>
        <w:t xml:space="preserve">In addition, substantial investments in research and researchers focused on ground-based measurement of forest C will be required to fill knowledge gaps and thereby increase the accuracy of forest CO</w:t>
      </w:r>
      <w:r>
        <w:rPr>
          <w:vertAlign w:val="subscript"/>
        </w:rPr>
        <w:t xml:space="preserve">2</w:t>
      </w:r>
      <w:r>
        <w:t xml:space="preserve"> </w:t>
      </w:r>
      <w:r>
        <w:t xml:space="preserve">inventories for forest lands under teh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and data collected a decade or more in the past may no longer be relevant.</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47"/>
    <w:bookmarkStart w:id="48" w:name="acknowledgements"/>
    <w:p>
      <w:pPr>
        <w:pStyle w:val="Heading1"/>
      </w:pP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 Bezos Earth Fund grant to the Nature Conservancy, with a sub-grant to NZCBI; and the Institute for Global Environmental Strategies.</w:t>
      </w:r>
    </w:p>
    <w:bookmarkEnd w:id="48"/>
    <w:bookmarkStart w:id="49" w:name="author-contribution"/>
    <w:p>
      <w:pPr>
        <w:pStyle w:val="Heading1"/>
      </w:pP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49"/>
    <w:bookmarkStart w:id="51" w:name="data-availability-statement"/>
    <w:p>
      <w:pPr>
        <w:pStyle w:val="Heading1"/>
      </w:pP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0">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1"/>
    <w:bookmarkStart w:id="52" w:name="supplementary-information"/>
    <w:p>
      <w:pPr>
        <w:pStyle w:val="Heading1"/>
      </w:pPr>
      <w:r>
        <w:rPr>
          <w:rStyle w:val="SectionNumber"/>
        </w:rPr>
        <w:t xml:space="preserve">1</w:t>
      </w:r>
      <w:r>
        <w:tab/>
      </w:r>
      <w:r>
        <w:t xml:space="preserve">Supplementary Information</w:t>
      </w:r>
    </w:p>
    <w:p>
      <w:pPr>
        <w:pStyle w:val="FirstParagraph"/>
      </w:pPr>
      <w:r>
        <w:t xml:space="preserve">Notes S1. Primer on forest land classification and carbon pools under IPCC guidelines</w:t>
      </w:r>
    </w:p>
    <w:p>
      <w:pPr>
        <w:pStyle w:val="BodyText"/>
      </w:pPr>
      <w:r>
        <w:t xml:space="preserve">Methods S1. Updates to ForC (ForC v4.0)</w:t>
      </w:r>
    </w:p>
    <w:p>
      <w:pPr>
        <w:pStyle w:val="BodyText"/>
      </w:pPr>
      <w:r>
        <w:t xml:space="preserve">Table S1. Updates to ForC field implemented between releases of v3.0 and v4.0</w:t>
      </w:r>
    </w:p>
    <w:p>
      <w:pPr>
        <w:pStyle w:val="BodyText"/>
      </w:pPr>
      <w:r>
        <w:t xml:space="preserve">Table S2. Mapping of ForC fields to EFDB</w:t>
      </w:r>
    </w:p>
    <w:p>
      <w:pPr>
        <w:pStyle w:val="BodyText"/>
      </w:pPr>
      <w:r>
        <w:t xml:space="preserve">Table S3. Numbers of ForC records and EFDB submissions by variable</w:t>
      </w:r>
    </w:p>
    <w:bookmarkEnd w:id="52"/>
    <w:bookmarkStart w:id="148" w:name="references"/>
    <w:p>
      <w:pPr>
        <w:pStyle w:val="Heading1"/>
      </w:pPr>
      <w:r>
        <w:t xml:space="preserve">References</w:t>
      </w:r>
    </w:p>
    <w:bookmarkStart w:id="147" w:name="refs"/>
    <w:bookmarkStart w:id="54"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53">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54"/>
    <w:bookmarkStart w:id="56"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5">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56"/>
    <w:bookmarkStart w:id="58"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57">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58"/>
    <w:bookmarkStart w:id="60"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59">
        <w:r>
          <w:rPr>
            <w:rStyle w:val="Hyperlink"/>
          </w:rPr>
          <w:t xml:space="preserve">ForC</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60"/>
    <w:bookmarkStart w:id="62"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61">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62"/>
    <w:bookmarkStart w:id="64"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3">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64"/>
    <w:bookmarkStart w:id="66"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65">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66"/>
    <w:bookmarkStart w:id="68" w:name="ref-bonan_forests_2016"/>
    <w:p>
      <w:pPr>
        <w:pStyle w:val="Bibliography"/>
      </w:pPr>
      <w:r>
        <w:rPr>
          <w:bCs/>
          <w:b/>
          <w:bCs/>
          <w:b/>
        </w:rPr>
        <w:t xml:space="preserve">Bonan GB</w:t>
      </w:r>
      <w:r>
        <w:t xml:space="preserve">.</w:t>
      </w:r>
      <w:r>
        <w:t xml:space="preserve"> </w:t>
      </w:r>
      <w:r>
        <w:rPr>
          <w:bCs/>
          <w:b/>
        </w:rPr>
        <w:t xml:space="preserve">2016</w:t>
      </w:r>
      <w:r>
        <w:t xml:space="preserve">.</w:t>
      </w:r>
      <w:r>
        <w:t xml:space="preserve"> </w:t>
      </w:r>
      <w:hyperlink r:id="rId67">
        <w:r>
          <w:rPr>
            <w:rStyle w:val="Hyperlink"/>
          </w:rPr>
          <w:t xml:space="preserve">Forests,</w:t>
        </w:r>
        <w:r>
          <w:rPr>
            <w:rStyle w:val="Hyperlink"/>
          </w:rPr>
          <w:t xml:space="preserve"> </w:t>
        </w:r>
        <w:r>
          <w:rPr>
            <w:rStyle w:val="Hyperlink"/>
          </w:rPr>
          <w:t xml:space="preserve">Climate</w:t>
        </w:r>
        <w:r>
          <w:rPr>
            <w:rStyle w:val="Hyperlink"/>
          </w:rPr>
          <w:t xml:space="preserve">, and</w:t>
        </w:r>
        <w:r>
          <w:rPr>
            <w:rStyle w:val="Hyperlink"/>
          </w:rPr>
          <w:t xml:space="preserve"> </w:t>
        </w:r>
        <w:r>
          <w:rPr>
            <w:rStyle w:val="Hyperlink"/>
          </w:rPr>
          <w:t xml:space="preserve">Public Policy</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500-</w:t>
        </w:r>
        <w:r>
          <w:rPr>
            <w:rStyle w:val="Hyperlink"/>
          </w:rPr>
          <w:t xml:space="preserve">Year Interdisciplinary Odyssey</w:t>
        </w:r>
      </w:hyperlink>
      <w:r>
        <w:t xml:space="preserve">.</w:t>
      </w:r>
      <w:r>
        <w:t xml:space="preserve"> </w:t>
      </w:r>
      <w:r>
        <w:rPr>
          <w:iCs/>
          <w:i/>
        </w:rPr>
        <w:t xml:space="preserve">Annual Review of Ecology, Evolution, and Systematics</w:t>
      </w:r>
      <w:r>
        <w:t xml:space="preserve"> </w:t>
      </w:r>
      <w:r>
        <w:rPr>
          <w:bCs/>
          <w:b/>
        </w:rPr>
        <w:t xml:space="preserve">47</w:t>
      </w:r>
      <w:r>
        <w:t xml:space="preserve">: 97–121.</w:t>
      </w:r>
    </w:p>
    <w:bookmarkEnd w:id="68"/>
    <w:bookmarkStart w:id="70"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69">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70"/>
    <w:bookmarkStart w:id="72"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71">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72"/>
    <w:bookmarkStart w:id="74"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73">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74"/>
    <w:bookmarkStart w:id="76"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75">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76"/>
    <w:bookmarkStart w:id="78"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77">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78"/>
    <w:bookmarkStart w:id="80"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79">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80"/>
    <w:bookmarkStart w:id="82"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1">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82"/>
    <w:bookmarkStart w:id="84"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83">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84"/>
    <w:bookmarkStart w:id="86"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5">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86"/>
    <w:bookmarkStart w:id="88"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7">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88"/>
    <w:bookmarkStart w:id="90" w:name="ref-ellis_people_2021"/>
    <w:p>
      <w:pPr>
        <w:pStyle w:val="Bibliography"/>
      </w:pPr>
      <w:r>
        <w:rPr>
          <w:bCs/>
          <w:b/>
          <w:bCs/>
          <w:b/>
        </w:rPr>
        <w:t xml:space="preserve">Ellis EC</w:t>
      </w:r>
      <w:r>
        <w:rPr>
          <w:bCs/>
          <w:b/>
        </w:rPr>
        <w:t xml:space="preserve">,</w:t>
      </w:r>
      <w:r>
        <w:rPr>
          <w:bCs/>
          <w:b/>
        </w:rPr>
        <w:t xml:space="preserve"> </w:t>
      </w:r>
      <w:r>
        <w:rPr>
          <w:bCs/>
          <w:b/>
          <w:bCs/>
          <w:b/>
        </w:rPr>
        <w:t xml:space="preserve">Gauthier N</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Bliege Bird R</w:t>
      </w:r>
      <w:r>
        <w:rPr>
          <w:bCs/>
          <w:b/>
        </w:rPr>
        <w:t xml:space="preserve">,</w:t>
      </w:r>
      <w:r>
        <w:rPr>
          <w:bCs/>
          <w:b/>
        </w:rPr>
        <w:t xml:space="preserve"> </w:t>
      </w:r>
      <w:r>
        <w:rPr>
          <w:bCs/>
          <w:b/>
          <w:bCs/>
          <w:b/>
        </w:rPr>
        <w:t xml:space="preserve">Boivin N</w:t>
      </w:r>
      <w:r>
        <w:rPr>
          <w:bCs/>
          <w:b/>
        </w:rPr>
        <w:t xml:space="preserve">,</w:t>
      </w:r>
      <w:r>
        <w:rPr>
          <w:bCs/>
          <w:b/>
        </w:rPr>
        <w:t xml:space="preserve"> </w:t>
      </w:r>
      <w:r>
        <w:rPr>
          <w:bCs/>
          <w:b/>
          <w:bCs/>
          <w:b/>
        </w:rPr>
        <w:t xml:space="preserve">Díaz S</w:t>
      </w:r>
      <w:r>
        <w:rPr>
          <w:bCs/>
          <w:b/>
        </w:rPr>
        <w:t xml:space="preserve">,</w:t>
      </w:r>
      <w:r>
        <w:rPr>
          <w:bCs/>
          <w:b/>
        </w:rPr>
        <w:t xml:space="preserve"> </w:t>
      </w:r>
      <w:r>
        <w:rPr>
          <w:bCs/>
          <w:b/>
          <w:bCs/>
          <w:b/>
        </w:rPr>
        <w:t xml:space="preserve">Fuller DQ</w:t>
      </w:r>
      <w:r>
        <w:rPr>
          <w:bCs/>
          <w:b/>
        </w:rPr>
        <w:t xml:space="preserve">,</w:t>
      </w:r>
      <w:r>
        <w:rPr>
          <w:bCs/>
          <w:b/>
        </w:rPr>
        <w:t xml:space="preserve"> </w:t>
      </w:r>
      <w:r>
        <w:rPr>
          <w:bCs/>
          <w:b/>
          <w:bCs/>
          <w:b/>
        </w:rPr>
        <w:t xml:space="preserve">Gill JL</w:t>
      </w:r>
      <w:r>
        <w:rPr>
          <w:bCs/>
          <w:b/>
        </w:rPr>
        <w:t xml:space="preserve">,</w:t>
      </w:r>
      <w:r>
        <w:rPr>
          <w:bCs/>
          <w:b/>
        </w:rPr>
        <w:t xml:space="preserve"> </w:t>
      </w:r>
      <w:r>
        <w:rPr>
          <w:bCs/>
          <w:b/>
          <w:bCs/>
          <w:b/>
        </w:rPr>
        <w:t xml:space="preserve">Kaplan JO</w:t>
      </w:r>
      <w:r>
        <w:rPr>
          <w:bCs/>
          <w:b/>
        </w:rPr>
        <w:t xml:space="preserve">,</w:t>
      </w:r>
      <w:r>
        <w:rPr>
          <w:bCs/>
          <w:b/>
        </w:rPr>
        <w:t xml:space="preserve"> </w:t>
      </w:r>
      <w:r>
        <w:rPr>
          <w:bCs/>
          <w:b/>
          <w:bCs/>
          <w:b/>
        </w:rPr>
        <w:t xml:space="preserve">Kingston N</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9">
        <w:r>
          <w:rPr>
            <w:rStyle w:val="Hyperlink"/>
          </w:rPr>
          <w:t xml:space="preserve">People have shaped most of terrestrial nature for at least 12,000 years</w:t>
        </w:r>
      </w:hyperlink>
      <w:r>
        <w:t xml:space="preserve">.</w:t>
      </w:r>
      <w:r>
        <w:t xml:space="preserve"> </w:t>
      </w:r>
      <w:r>
        <w:rPr>
          <w:iCs/>
          <w:i/>
        </w:rPr>
        <w:t xml:space="preserve">Proceedings of the National Academy of Sciences</w:t>
      </w:r>
      <w:r>
        <w:t xml:space="preserve"> </w:t>
      </w:r>
      <w:r>
        <w:rPr>
          <w:bCs/>
          <w:b/>
        </w:rPr>
        <w:t xml:space="preserve">118</w:t>
      </w:r>
      <w:r>
        <w:t xml:space="preserve">: e2023483118.</w:t>
      </w:r>
    </w:p>
    <w:bookmarkEnd w:id="90"/>
    <w:bookmarkStart w:id="92" w:name="ref-ellis_anthropogenic_2010"/>
    <w:p>
      <w:pPr>
        <w:pStyle w:val="Bibliography"/>
      </w:pPr>
      <w:r>
        <w:rPr>
          <w:bCs/>
          <w:b/>
          <w:bCs/>
          <w:b/>
        </w:rPr>
        <w:t xml:space="preserve">Ellis EC</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Siebert S</w:t>
      </w:r>
      <w:r>
        <w:rPr>
          <w:bCs/>
          <w:b/>
        </w:rPr>
        <w:t xml:space="preserve">,</w:t>
      </w:r>
      <w:r>
        <w:rPr>
          <w:bCs/>
          <w:b/>
        </w:rPr>
        <w:t xml:space="preserve"> </w:t>
      </w:r>
      <w:r>
        <w:rPr>
          <w:bCs/>
          <w:b/>
          <w:bCs/>
          <w:b/>
        </w:rPr>
        <w:t xml:space="preserve">Lightman D</w:t>
      </w:r>
      <w:r>
        <w:rPr>
          <w:bCs/>
          <w:b/>
        </w:rPr>
        <w:t xml:space="preserve">,</w:t>
      </w:r>
      <w:r>
        <w:rPr>
          <w:bCs/>
          <w:b/>
        </w:rPr>
        <w:t xml:space="preserve"> </w:t>
      </w:r>
      <w:r>
        <w:rPr>
          <w:bCs/>
          <w:b/>
          <w:bCs/>
          <w:b/>
        </w:rPr>
        <w:t xml:space="preserve">Ramankutty N</w:t>
      </w:r>
      <w:r>
        <w:t xml:space="preserve">.</w:t>
      </w:r>
      <w:r>
        <w:t xml:space="preserve"> </w:t>
      </w:r>
      <w:r>
        <w:rPr>
          <w:bCs/>
          <w:b/>
        </w:rPr>
        <w:t xml:space="preserve">2010</w:t>
      </w:r>
      <w:r>
        <w:t xml:space="preserve">.</w:t>
      </w:r>
      <w:r>
        <w:t xml:space="preserve"> </w:t>
      </w:r>
      <w:hyperlink r:id="rId91">
        <w:r>
          <w:rPr>
            <w:rStyle w:val="Hyperlink"/>
          </w:rPr>
          <w:t xml:space="preserve">Anthropogenic transformation of the biomes, 1700 to 2000</w:t>
        </w:r>
      </w:hyperlink>
      <w:r>
        <w:t xml:space="preserve">.</w:t>
      </w:r>
      <w:r>
        <w:t xml:space="preserve"> </w:t>
      </w:r>
      <w:r>
        <w:rPr>
          <w:iCs/>
          <w:i/>
        </w:rPr>
        <w:t xml:space="preserve">Global Ecology and Biogeography</w:t>
      </w:r>
      <w:r>
        <w:t xml:space="preserve"> </w:t>
      </w:r>
      <w:r>
        <w:rPr>
          <w:bCs/>
          <w:b/>
        </w:rPr>
        <w:t xml:space="preserve">19</w:t>
      </w:r>
      <w:r>
        <w:t xml:space="preserve">: 589–606.</w:t>
      </w:r>
    </w:p>
    <w:bookmarkEnd w:id="92"/>
    <w:bookmarkStart w:id="93" w:name="ref-fao_global_2012"/>
    <w:p>
      <w:pPr>
        <w:pStyle w:val="Bibliography"/>
      </w:pPr>
      <w:r>
        <w:rPr>
          <w:bCs/>
          <w:b/>
          <w:bCs/>
          <w:b/>
        </w:rPr>
        <w:t xml:space="preserve">FAO</w:t>
      </w:r>
      <w:r>
        <w:t xml:space="preserve">.</w:t>
      </w:r>
      <w:r>
        <w:t xml:space="preserve"> </w:t>
      </w:r>
      <w:r>
        <w:rPr>
          <w:bCs/>
          <w:b/>
        </w:rPr>
        <w:t xml:space="preserve">2012</w:t>
      </w:r>
      <w:r>
        <w:t xml:space="preserve">.</w:t>
      </w:r>
      <w:r>
        <w:t xml:space="preserve"> </w:t>
      </w:r>
      <w:r>
        <w:rPr>
          <w:iCs/>
          <w:i/>
        </w:rPr>
        <w:t xml:space="preserve">Global</w:t>
      </w:r>
      <w:r>
        <w:rPr>
          <w:iCs/>
          <w:i/>
        </w:rPr>
        <w:t xml:space="preserve"> </w:t>
      </w:r>
      <w:r>
        <w:rPr>
          <w:iCs/>
          <w:i/>
        </w:rPr>
        <w:t xml:space="preserve">Ecological Zones</w:t>
      </w:r>
      <w:r>
        <w:rPr>
          <w:iCs/>
          <w:i/>
        </w:rPr>
        <w:t xml:space="preserve"> </w:t>
      </w:r>
      <w:r>
        <w:rPr>
          <w:iCs/>
          <w:i/>
        </w:rPr>
        <w:t xml:space="preserve">for</w:t>
      </w:r>
      <w:r>
        <w:rPr>
          <w:iCs/>
          <w:i/>
        </w:rPr>
        <w:t xml:space="preserve"> </w:t>
      </w:r>
      <w:r>
        <w:rPr>
          <w:iCs/>
          <w:i/>
        </w:rPr>
        <w:t xml:space="preserve">FAO Forest Reporting</w:t>
      </w:r>
      <w:r>
        <w:rPr>
          <w:iCs/>
          <w:i/>
        </w:rPr>
        <w:t xml:space="preserve">: 2010 update</w:t>
      </w:r>
      <w:r>
        <w:t xml:space="preserve">.</w:t>
      </w:r>
      <w:r>
        <w:t xml:space="preserve"> </w:t>
      </w:r>
      <w:r>
        <w:t xml:space="preserve">Rome</w:t>
      </w:r>
      <w:r>
        <w:t xml:space="preserve">:</w:t>
      </w:r>
      <w:r>
        <w:t xml:space="preserve"> </w:t>
      </w:r>
      <w:r>
        <w:t xml:space="preserve">FOOD AND AGRICULTURE ORGANIZATION OF THE UNITED NATIONS</w:t>
      </w:r>
      <w:r>
        <w:t xml:space="preserve">.</w:t>
      </w:r>
    </w:p>
    <w:bookmarkEnd w:id="93"/>
    <w:bookmarkStart w:id="95"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4">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95"/>
    <w:bookmarkStart w:id="97" w:name="ref-friedlingstein_global_2022"/>
    <w:p>
      <w:pPr>
        <w:pStyle w:val="Bibliography"/>
      </w:pPr>
      <w:r>
        <w:rPr>
          <w:bCs/>
          <w:b/>
          <w:bCs/>
          <w:b/>
        </w:rPr>
        <w:t xml:space="preserve">Friedlingstein P</w:t>
      </w:r>
      <w:r>
        <w:rPr>
          <w:bCs/>
          <w:b/>
        </w:rPr>
        <w:t xml:space="preserve">,</w:t>
      </w:r>
      <w:r>
        <w:rPr>
          <w:bCs/>
          <w:b/>
        </w:rPr>
        <w:t xml:space="preserve"> </w:t>
      </w:r>
      <w:r>
        <w:rPr>
          <w:bCs/>
          <w:b/>
          <w:bCs/>
          <w:b/>
        </w:rPr>
        <w:t xml:space="preserve">O’Sullivan M</w:t>
      </w:r>
      <w:r>
        <w:rPr>
          <w:bCs/>
          <w:b/>
        </w:rPr>
        <w:t xml:space="preserve">,</w:t>
      </w:r>
      <w:r>
        <w:rPr>
          <w:bCs/>
          <w:b/>
        </w:rPr>
        <w:t xml:space="preserve"> </w:t>
      </w:r>
      <w:r>
        <w:rPr>
          <w:bCs/>
          <w:b/>
          <w:bCs/>
          <w:b/>
        </w:rPr>
        <w:t xml:space="preserve">Jones MW</w:t>
      </w:r>
      <w:r>
        <w:rPr>
          <w:bCs/>
          <w:b/>
        </w:rPr>
        <w:t xml:space="preserve">,</w:t>
      </w:r>
      <w:r>
        <w:rPr>
          <w:bCs/>
          <w:b/>
        </w:rPr>
        <w:t xml:space="preserve"> </w:t>
      </w:r>
      <w:r>
        <w:rPr>
          <w:bCs/>
          <w:b/>
          <w:bCs/>
          <w:b/>
        </w:rPr>
        <w:t xml:space="preserve">Andrew RM</w:t>
      </w:r>
      <w:r>
        <w:rPr>
          <w:bCs/>
          <w:b/>
        </w:rPr>
        <w:t xml:space="preserve">,</w:t>
      </w:r>
      <w:r>
        <w:rPr>
          <w:bCs/>
          <w:b/>
        </w:rPr>
        <w:t xml:space="preserve"> </w:t>
      </w:r>
      <w:r>
        <w:rPr>
          <w:bCs/>
          <w:b/>
          <w:bCs/>
          <w:b/>
        </w:rPr>
        <w:t xml:space="preserve">Gregor L</w:t>
      </w:r>
      <w:r>
        <w:rPr>
          <w:bCs/>
          <w:b/>
        </w:rPr>
        <w:t xml:space="preserve">,</w:t>
      </w:r>
      <w:r>
        <w:rPr>
          <w:bCs/>
          <w:b/>
        </w:rPr>
        <w:t xml:space="preserve"> </w:t>
      </w:r>
      <w:r>
        <w:rPr>
          <w:bCs/>
          <w:b/>
          <w:bCs/>
          <w:b/>
        </w:rPr>
        <w:t xml:space="preserve">Hauck J</w:t>
      </w:r>
      <w:r>
        <w:rPr>
          <w:bCs/>
          <w:b/>
        </w:rPr>
        <w:t xml:space="preserve">,</w:t>
      </w:r>
      <w:r>
        <w:rPr>
          <w:bCs/>
          <w:b/>
        </w:rPr>
        <w:t xml:space="preserve"> </w:t>
      </w:r>
      <w:r>
        <w:rPr>
          <w:bCs/>
          <w:b/>
          <w:bCs/>
          <w:b/>
        </w:rPr>
        <w:t xml:space="preserve">Le Quéré C</w:t>
      </w:r>
      <w:r>
        <w:rPr>
          <w:bCs/>
          <w:b/>
        </w:rPr>
        <w:t xml:space="preserve">,</w:t>
      </w:r>
      <w:r>
        <w:rPr>
          <w:bCs/>
          <w:b/>
        </w:rPr>
        <w:t xml:space="preserve"> </w:t>
      </w:r>
      <w:r>
        <w:rPr>
          <w:bCs/>
          <w:b/>
          <w:bCs/>
          <w:b/>
        </w:rPr>
        <w:t xml:space="preserve">Luijkx IT</w:t>
      </w:r>
      <w:r>
        <w:rPr>
          <w:bCs/>
          <w:b/>
        </w:rPr>
        <w:t xml:space="preserve">,</w:t>
      </w:r>
      <w:r>
        <w:rPr>
          <w:bCs/>
          <w:b/>
        </w:rPr>
        <w:t xml:space="preserve"> </w:t>
      </w:r>
      <w:r>
        <w:rPr>
          <w:bCs/>
          <w:b/>
          <w:bCs/>
          <w:b/>
        </w:rPr>
        <w:t xml:space="preserve">Olsen A</w:t>
      </w:r>
      <w:r>
        <w:rPr>
          <w:bCs/>
          <w:b/>
        </w:rPr>
        <w:t xml:space="preserve">,</w:t>
      </w:r>
      <w:r>
        <w:rPr>
          <w:bCs/>
          <w:b/>
        </w:rPr>
        <w:t xml:space="preserve"> </w:t>
      </w:r>
      <w:r>
        <w:rPr>
          <w:bCs/>
          <w:b/>
          <w:bCs/>
          <w:b/>
        </w:rPr>
        <w:t xml:space="preserve">Peters GP</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6">
        <w:r>
          <w:rPr>
            <w:rStyle w:val="Hyperlink"/>
          </w:rPr>
          <w:t xml:space="preserve">Global</w:t>
        </w:r>
        <w:r>
          <w:rPr>
            <w:rStyle w:val="Hyperlink"/>
          </w:rPr>
          <w:t xml:space="preserve"> </w:t>
        </w:r>
        <w:r>
          <w:rPr>
            <w:rStyle w:val="Hyperlink"/>
          </w:rPr>
          <w:t xml:space="preserve">Carbon Budget</w:t>
        </w:r>
        <w:r>
          <w:rPr>
            <w:rStyle w:val="Hyperlink"/>
          </w:rPr>
          <w:t xml:space="preserve"> </w:t>
        </w:r>
        <w:r>
          <w:rPr>
            <w:rStyle w:val="Hyperlink"/>
          </w:rPr>
          <w:t xml:space="preserve">2022</w:t>
        </w:r>
      </w:hyperlink>
      <w:r>
        <w:t xml:space="preserve">.</w:t>
      </w:r>
      <w:r>
        <w:t xml:space="preserve"> </w:t>
      </w:r>
      <w:r>
        <w:rPr>
          <w:iCs/>
          <w:i/>
        </w:rPr>
        <w:t xml:space="preserve">Earth System Science Data</w:t>
      </w:r>
      <w:r>
        <w:t xml:space="preserve"> </w:t>
      </w:r>
      <w:r>
        <w:rPr>
          <w:bCs/>
          <w:b/>
        </w:rPr>
        <w:t xml:space="preserve">14</w:t>
      </w:r>
      <w:r>
        <w:t xml:space="preserve">: 4811–4900.</w:t>
      </w:r>
    </w:p>
    <w:bookmarkEnd w:id="97"/>
    <w:bookmarkStart w:id="99"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8">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99"/>
    <w:bookmarkStart w:id="101"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100">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01"/>
    <w:bookmarkStart w:id="103"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2">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03"/>
    <w:bookmarkStart w:id="104"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w:t>
      </w:r>
      <w:r>
        <w:t xml:space="preserve"> </w:t>
      </w:r>
      <w:r>
        <w:t xml:space="preserve">Hayama, Japan</w:t>
      </w:r>
      <w:r>
        <w:t xml:space="preserve">:</w:t>
      </w:r>
      <w:r>
        <w:t xml:space="preserve"> </w:t>
      </w:r>
      <w:r>
        <w:t xml:space="preserve">Institute for Global Environmental Strategies</w:t>
      </w:r>
      <w:r>
        <w:t xml:space="preserve">.</w:t>
      </w:r>
    </w:p>
    <w:bookmarkEnd w:id="104"/>
    <w:bookmarkStart w:id="105"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w:t>
      </w:r>
      <w:r>
        <w:t xml:space="preserve">Japan</w:t>
      </w:r>
      <w:r>
        <w:t xml:space="preserve">:</w:t>
      </w:r>
      <w:r>
        <w:t xml:space="preserve"> </w:t>
      </w:r>
      <w:r>
        <w:t xml:space="preserve">IGES</w:t>
      </w:r>
      <w:r>
        <w:t xml:space="preserve">.</w:t>
      </w:r>
    </w:p>
    <w:bookmarkEnd w:id="105"/>
    <w:bookmarkStart w:id="106"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w:t>
      </w:r>
      <w:r>
        <w:t xml:space="preserve"> </w:t>
      </w:r>
      <w:r>
        <w:t xml:space="preserve">Hayama, Japan</w:t>
      </w:r>
      <w:r>
        <w:t xml:space="preserve">:</w:t>
      </w:r>
      <w:r>
        <w:t xml:space="preserve"> </w:t>
      </w:r>
      <w:r>
        <w:t xml:space="preserve">Institute for Global Environmental Strategies</w:t>
      </w:r>
      <w:r>
        <w:t xml:space="preserve">.</w:t>
      </w:r>
    </w:p>
    <w:bookmarkEnd w:id="106"/>
    <w:bookmarkStart w:id="107"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w:t>
      </w:r>
      <w:r>
        <w:t xml:space="preserve"> </w:t>
      </w:r>
      <w:r>
        <w:t xml:space="preserve">Switzerland</w:t>
      </w:r>
      <w:r>
        <w:t xml:space="preserve">:</w:t>
      </w:r>
      <w:r>
        <w:t xml:space="preserve"> </w:t>
      </w:r>
      <w:r>
        <w:t xml:space="preserve">IPCC</w:t>
      </w:r>
      <w:r>
        <w:t xml:space="preserve">.</w:t>
      </w:r>
    </w:p>
    <w:bookmarkEnd w:id="107"/>
    <w:bookmarkStart w:id="108"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w:t>
      </w:r>
      <w:r>
        <w:rPr>
          <w:iCs/>
          <w:i/>
        </w:rPr>
        <w:t xml:space="preserve">ö</w:t>
      </w:r>
      <w:r>
        <w:rPr>
          <w:iCs/>
          <w:i/>
        </w:rPr>
        <w:t xml:space="preserve">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08"/>
    <w:bookmarkStart w:id="110" w:name="ref-ipcc_climate_2022"/>
    <w:p>
      <w:pPr>
        <w:pStyle w:val="Bibliography"/>
      </w:pPr>
      <w:r>
        <w:rPr>
          <w:bCs/>
          <w:b/>
          <w:bCs/>
          <w:b/>
        </w:rPr>
        <w:t xml:space="preserve">IPCC</w:t>
      </w:r>
      <w:r>
        <w:t xml:space="preserve">.</w:t>
      </w:r>
      <w:r>
        <w:t xml:space="preserve"> </w:t>
      </w:r>
      <w:r>
        <w:rPr>
          <w:bCs/>
          <w:b/>
        </w:rPr>
        <w:t xml:space="preserve">2022a</w:t>
      </w:r>
      <w:r>
        <w:t xml:space="preserve">.</w:t>
      </w:r>
      <w:r>
        <w:t xml:space="preserve"> </w:t>
      </w:r>
      <w:hyperlink r:id="rId109">
        <w:r>
          <w:rPr>
            <w:rStyle w:val="Hyperlink"/>
          </w:rPr>
          <w:t xml:space="preserve">Climate</w:t>
        </w:r>
        <w:r>
          <w:rPr>
            <w:rStyle w:val="Hyperlink"/>
          </w:rPr>
          <w:t xml:space="preserve"> </w:t>
        </w:r>
        <w:r>
          <w:rPr>
            <w:rStyle w:val="Hyperlink"/>
          </w:rPr>
          <w:t xml:space="preserve">Change</w:t>
        </w:r>
        <w:r>
          <w:rPr>
            <w:rStyle w:val="Hyperlink"/>
          </w:rPr>
          <w:t xml:space="preserve"> </w:t>
        </w:r>
        <w:r>
          <w:rPr>
            <w:rStyle w:val="Hyperlink"/>
          </w:rPr>
          <w:t xml:space="preserve">2022:</w:t>
        </w:r>
        <w:r>
          <w:rPr>
            <w:rStyle w:val="Hyperlink"/>
          </w:rPr>
          <w:t xml:space="preserve"> </w:t>
        </w:r>
        <w:r>
          <w:rPr>
            <w:rStyle w:val="Hyperlink"/>
          </w:rPr>
          <w:t xml:space="preserve">Mitigation</w:t>
        </w:r>
        <w:r>
          <w:rPr>
            <w:rStyle w:val="Hyperlink"/>
          </w:rPr>
          <w:t xml:space="preserve"> </w:t>
        </w:r>
        <w:r>
          <w:rPr>
            <w:rStyle w:val="Hyperlink"/>
          </w:rPr>
          <w:t xml:space="preserve">of</w:t>
        </w:r>
        <w:r>
          <w:rPr>
            <w:rStyle w:val="Hyperlink"/>
          </w:rPr>
          <w:t xml:space="preserve"> </w:t>
        </w:r>
        <w:r>
          <w:rPr>
            <w:rStyle w:val="Hyperlink"/>
          </w:rPr>
          <w:t xml:space="preserve">Climate Change</w:t>
        </w:r>
        <w:r>
          <w:rPr>
            <w:rStyle w:val="Hyperlink"/>
          </w:rPr>
          <w:t xml:space="preserve">.</w:t>
        </w:r>
        <w:r>
          <w:rPr>
            <w:rStyle w:val="Hyperlink"/>
          </w:rPr>
          <w:t xml:space="preserve"> </w:t>
        </w:r>
        <w:r>
          <w:rPr>
            <w:rStyle w:val="Hyperlink"/>
          </w:rPr>
          <w:t xml:space="preserve">Contribution</w:t>
        </w:r>
        <w:r>
          <w:rPr>
            <w:rStyle w:val="Hyperlink"/>
          </w:rPr>
          <w:t xml:space="preserve"> </w:t>
        </w:r>
        <w:r>
          <w:rPr>
            <w:rStyle w:val="Hyperlink"/>
          </w:rPr>
          <w:t xml:space="preserve">of</w:t>
        </w:r>
        <w:r>
          <w:rPr>
            <w:rStyle w:val="Hyperlink"/>
          </w:rPr>
          <w:t xml:space="preserve"> </w:t>
        </w:r>
        <w:r>
          <w:rPr>
            <w:rStyle w:val="Hyperlink"/>
          </w:rPr>
          <w:t xml:space="preserve">Working Group III</w:t>
        </w:r>
        <w:r>
          <w:rPr>
            <w:rStyle w:val="Hyperlink"/>
          </w:rPr>
          <w:t xml:space="preserve"> </w:t>
        </w:r>
        <w:r>
          <w:rPr>
            <w:rStyle w:val="Hyperlink"/>
          </w:rPr>
          <w:t xml:space="preserve">to the</w:t>
        </w:r>
        <w:r>
          <w:rPr>
            <w:rStyle w:val="Hyperlink"/>
          </w:rPr>
          <w:t xml:space="preserve"> </w:t>
        </w:r>
        <w:r>
          <w:rPr>
            <w:rStyle w:val="Hyperlink"/>
          </w:rPr>
          <w:t xml:space="preserve">Sixth Assessment Report</w:t>
        </w:r>
        <w:r>
          <w:rPr>
            <w:rStyle w:val="Hyperlink"/>
          </w:rPr>
          <w:t xml:space="preserve"> </w:t>
        </w:r>
        <w:r>
          <w:rPr>
            <w:rStyle w:val="Hyperlink"/>
          </w:rPr>
          <w:t xml:space="preserve">of the</w:t>
        </w:r>
        <w:r>
          <w:rPr>
            <w:rStyle w:val="Hyperlink"/>
          </w:rPr>
          <w:t xml:space="preserve"> </w:t>
        </w:r>
        <w:r>
          <w:rPr>
            <w:rStyle w:val="Hyperlink"/>
          </w:rPr>
          <w:t xml:space="preserve">Intergovernmental Panel</w:t>
        </w:r>
        <w:r>
          <w:rPr>
            <w:rStyle w:val="Hyperlink"/>
          </w:rPr>
          <w:t xml:space="preserve"> </w:t>
        </w:r>
        <w:r>
          <w:rPr>
            <w:rStyle w:val="Hyperlink"/>
          </w:rPr>
          <w:t xml:space="preserve">on</w:t>
        </w:r>
        <w:r>
          <w:rPr>
            <w:rStyle w:val="Hyperlink"/>
          </w:rPr>
          <w:t xml:space="preserve"> </w:t>
        </w:r>
        <w:r>
          <w:rPr>
            <w:rStyle w:val="Hyperlink"/>
          </w:rPr>
          <w:t xml:space="preserve">Climate Change</w:t>
        </w:r>
        <w:r>
          <w:rPr>
            <w:rStyle w:val="Hyperlink"/>
          </w:rPr>
          <w:t xml:space="preserve"> </w:t>
        </w:r>
        <w:r>
          <w:rPr>
            <w:rStyle w:val="Hyperlink"/>
          </w:rPr>
          <w:t xml:space="preserve">[</w:t>
        </w:r>
        <w:r>
          <w:rPr>
            <w:rStyle w:val="Hyperlink"/>
          </w:rPr>
          <w:t xml:space="preserve">P</w:t>
        </w:r>
        <w:r>
          <w:rPr>
            <w:rStyle w:val="Hyperlink"/>
          </w:rPr>
          <w:t xml:space="preserve">.</w:t>
        </w:r>
        <w:r>
          <w:rPr>
            <w:rStyle w:val="Hyperlink"/>
          </w:rPr>
          <w:t xml:space="preserve">R</w:t>
        </w:r>
        <w:r>
          <w:rPr>
            <w:rStyle w:val="Hyperlink"/>
          </w:rPr>
          <w:t xml:space="preserve">.</w:t>
        </w:r>
        <w:r>
          <w:rPr>
            <w:rStyle w:val="Hyperlink"/>
          </w:rPr>
          <w:t xml:space="preserve"> </w:t>
        </w:r>
        <w:r>
          <w:rPr>
            <w:rStyle w:val="Hyperlink"/>
          </w:rPr>
          <w:t xml:space="preserve">Shukla</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Skea</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Slade</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Al Khourdajie</w:t>
        </w:r>
        <w:r>
          <w:rPr>
            <w:rStyle w:val="Hyperlink"/>
          </w:rPr>
          <w:t xml:space="preserve">,</w:t>
        </w:r>
        <w:r>
          <w:rPr>
            <w:rStyle w:val="Hyperlink"/>
          </w:rPr>
          <w:t xml:space="preserve"> </w:t>
        </w:r>
        <w:r>
          <w:rPr>
            <w:rStyle w:val="Hyperlink"/>
          </w:rPr>
          <w:t xml:space="preserve">R</w:t>
        </w:r>
        <w:r>
          <w:rPr>
            <w:rStyle w:val="Hyperlink"/>
          </w:rPr>
          <w:t xml:space="preserve">. Van</w:t>
        </w:r>
        <w:r>
          <w:rPr>
            <w:rStyle w:val="Hyperlink"/>
          </w:rPr>
          <w:t xml:space="preserve"> </w:t>
        </w:r>
        <w:r>
          <w:rPr>
            <w:rStyle w:val="Hyperlink"/>
          </w:rPr>
          <w:t xml:space="preserve">Diemen</w:t>
        </w:r>
        <w:r>
          <w:rPr>
            <w:rStyle w:val="Hyperlink"/>
          </w:rPr>
          <w:t xml:space="preserve">,</w:t>
        </w:r>
        <w:r>
          <w:rPr>
            <w:rStyle w:val="Hyperlink"/>
          </w:rPr>
          <w:t xml:space="preserve"> </w:t>
        </w:r>
        <w:r>
          <w:rPr>
            <w:rStyle w:val="Hyperlink"/>
          </w:rPr>
          <w:t xml:space="preserve">D</w:t>
        </w:r>
        <w:r>
          <w:rPr>
            <w:rStyle w:val="Hyperlink"/>
          </w:rPr>
          <w:t xml:space="preserve">.</w:t>
        </w:r>
        <w:r>
          <w:rPr>
            <w:rStyle w:val="Hyperlink"/>
          </w:rPr>
          <w:t xml:space="preserve"> </w:t>
        </w:r>
        <w:r>
          <w:rPr>
            <w:rStyle w:val="Hyperlink"/>
          </w:rPr>
          <w:t xml:space="preserve">McCollum</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Pathak</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Some</w:t>
        </w:r>
        <w:r>
          <w:rPr>
            <w:rStyle w:val="Hyperlink"/>
          </w:rPr>
          <w:t xml:space="preserve">,</w:t>
        </w:r>
        <w:r>
          <w:rPr>
            <w:rStyle w:val="Hyperlink"/>
          </w:rPr>
          <w:t xml:space="preserve"> </w:t>
        </w:r>
        <w:r>
          <w:rPr>
            <w:rStyle w:val="Hyperlink"/>
          </w:rPr>
          <w:t xml:space="preserve">P</w:t>
        </w:r>
        <w:r>
          <w:rPr>
            <w:rStyle w:val="Hyperlink"/>
          </w:rPr>
          <w:t xml:space="preserve">.</w:t>
        </w:r>
        <w:r>
          <w:rPr>
            <w:rStyle w:val="Hyperlink"/>
          </w:rPr>
          <w:t xml:space="preserve"> </w:t>
        </w:r>
        <w:r>
          <w:rPr>
            <w:rStyle w:val="Hyperlink"/>
          </w:rPr>
          <w:t xml:space="preserve">Vyas</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Fradera</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Belkacemi</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Hasija</w:t>
        </w:r>
        <w:r>
          <w:rPr>
            <w:rStyle w:val="Hyperlink"/>
          </w:rPr>
          <w:t xml:space="preserve">,</w:t>
        </w:r>
        <w:r>
          <w:rPr>
            <w:rStyle w:val="Hyperlink"/>
          </w:rPr>
          <w:t xml:space="preserve"> </w:t>
        </w:r>
        <w:r>
          <w:rPr>
            <w:rStyle w:val="Hyperlink"/>
          </w:rPr>
          <w:t xml:space="preserve">G</w:t>
        </w:r>
        <w:r>
          <w:rPr>
            <w:rStyle w:val="Hyperlink"/>
          </w:rPr>
          <w:t xml:space="preserve">.</w:t>
        </w:r>
        <w:r>
          <w:rPr>
            <w:rStyle w:val="Hyperlink"/>
          </w:rPr>
          <w:t xml:space="preserve"> </w:t>
        </w:r>
        <w:r>
          <w:rPr>
            <w:rStyle w:val="Hyperlink"/>
          </w:rPr>
          <w:t xml:space="preserve">Lisboa</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Luz</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Malley</w:t>
        </w:r>
        <w:r>
          <w:rPr>
            <w:rStyle w:val="Hyperlink"/>
          </w:rPr>
          <w:t xml:space="preserve">, (eds.)].</w:t>
        </w:r>
        <w:r>
          <w:rPr>
            <w:rStyle w:val="Hyperlink"/>
          </w:rPr>
          <w:t xml:space="preserve"> </w:t>
        </w:r>
        <w:r>
          <w:rPr>
            <w:rStyle w:val="Hyperlink"/>
          </w:rPr>
          <w:t xml:space="preserve">Cambridge University Press</w:t>
        </w:r>
        <w:r>
          <w:rPr>
            <w:rStyle w:val="Hyperlink"/>
          </w:rPr>
          <w:t xml:space="preserve">,</w:t>
        </w:r>
        <w:r>
          <w:rPr>
            <w:rStyle w:val="Hyperlink"/>
          </w:rPr>
          <w:t xml:space="preserve"> </w:t>
        </w:r>
        <w:r>
          <w:rPr>
            <w:rStyle w:val="Hyperlink"/>
          </w:rPr>
          <w:t xml:space="preserve">Cambridge</w:t>
        </w:r>
        <w:r>
          <w:rPr>
            <w:rStyle w:val="Hyperlink"/>
          </w:rPr>
          <w:t xml:space="preserve">,</w:t>
        </w:r>
        <w:r>
          <w:rPr>
            <w:rStyle w:val="Hyperlink"/>
          </w:rPr>
          <w:t xml:space="preserve"> </w:t>
        </w:r>
        <w:r>
          <w:rPr>
            <w:rStyle w:val="Hyperlink"/>
          </w:rPr>
          <w:t xml:space="preserve">UK</w:t>
        </w:r>
        <w:r>
          <w:rPr>
            <w:rStyle w:val="Hyperlink"/>
          </w:rPr>
          <w:t xml:space="preserve"> </w:t>
        </w:r>
        <w:r>
          <w:rPr>
            <w:rStyle w:val="Hyperlink"/>
          </w:rPr>
          <w:t xml:space="preserve">and</w:t>
        </w:r>
        <w:r>
          <w:rPr>
            <w:rStyle w:val="Hyperlink"/>
          </w:rPr>
          <w:t xml:space="preserve"> </w:t>
        </w:r>
        <w:r>
          <w:rPr>
            <w:rStyle w:val="Hyperlink"/>
          </w:rPr>
          <w:t xml:space="preserve">New York</w:t>
        </w:r>
        <w:r>
          <w:rPr>
            <w:rStyle w:val="Hyperlink"/>
          </w:rPr>
          <w:t xml:space="preserve">,</w:t>
        </w:r>
        <w:r>
          <w:rPr>
            <w:rStyle w:val="Hyperlink"/>
          </w:rPr>
          <w:t xml:space="preserve"> </w:t>
        </w:r>
        <w:r>
          <w:rPr>
            <w:rStyle w:val="Hyperlink"/>
          </w:rPr>
          <w:t xml:space="preserve">NY</w:t>
        </w:r>
        <w:r>
          <w:rPr>
            <w:rStyle w:val="Hyperlink"/>
          </w:rPr>
          <w:t xml:space="preserve">,</w:t>
        </w:r>
        <w:r>
          <w:rPr>
            <w:rStyle w:val="Hyperlink"/>
          </w:rPr>
          <w:t xml:space="preserve"> </w:t>
        </w:r>
        <w:r>
          <w:rPr>
            <w:rStyle w:val="Hyperlink"/>
          </w:rPr>
          <w:t xml:space="preserve">USA</w:t>
        </w:r>
        <w:r>
          <w:rPr>
            <w:rStyle w:val="Hyperlink"/>
          </w:rPr>
          <w:t xml:space="preserve">.</w:t>
        </w:r>
      </w:hyperlink>
    </w:p>
    <w:bookmarkEnd w:id="110"/>
    <w:bookmarkStart w:id="111" w:name="ref-ipcc_summary_2022"/>
    <w:p>
      <w:pPr>
        <w:pStyle w:val="Bibliography"/>
      </w:pPr>
      <w:r>
        <w:rPr>
          <w:bCs/>
          <w:b/>
          <w:bCs/>
          <w:b/>
        </w:rPr>
        <w:t xml:space="preserve">IPCC</w:t>
      </w:r>
      <w:r>
        <w:t xml:space="preserve">.</w:t>
      </w:r>
      <w:r>
        <w:t xml:space="preserve"> </w:t>
      </w:r>
      <w:r>
        <w:rPr>
          <w:bCs/>
          <w:b/>
        </w:rPr>
        <w:t xml:space="preserve">2022b</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11"/>
    <w:bookmarkStart w:id="113"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2">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13"/>
    <w:bookmarkStart w:id="115"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14">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15"/>
    <w:bookmarkStart w:id="117"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16">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17"/>
    <w:bookmarkStart w:id="119"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18">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19"/>
    <w:bookmarkStart w:id="120"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w:t>
      </w:r>
      <w:r>
        <w:t xml:space="preserve"> </w:t>
      </w:r>
      <w:r>
        <w:t xml:space="preserve">NASA Jet Propulsion Laboratory</w:t>
      </w:r>
      <w:r>
        <w:t xml:space="preserve">.</w:t>
      </w:r>
    </w:p>
    <w:bookmarkEnd w:id="120"/>
    <w:bookmarkStart w:id="122"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21">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22"/>
    <w:bookmarkStart w:id="123"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23"/>
    <w:bookmarkStart w:id="125"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24">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25"/>
    <w:bookmarkStart w:id="127"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26">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27"/>
    <w:bookmarkStart w:id="129"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28">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29"/>
    <w:bookmarkStart w:id="131"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30">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31"/>
    <w:bookmarkStart w:id="133"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32">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33"/>
    <w:bookmarkStart w:id="135" w:name="ref-sanderman_soil_2017"/>
    <w:p>
      <w:pPr>
        <w:pStyle w:val="Bibliography"/>
      </w:pPr>
      <w:r>
        <w:rPr>
          <w:bCs/>
          <w:b/>
          <w:bCs/>
          <w:b/>
        </w:rPr>
        <w:t xml:space="preserve">Sanderman J</w:t>
      </w:r>
      <w:r>
        <w:rPr>
          <w:bCs/>
          <w:b/>
        </w:rPr>
        <w:t xml:space="preserve">,</w:t>
      </w:r>
      <w:r>
        <w:rPr>
          <w:bCs/>
          <w:b/>
        </w:rPr>
        <w:t xml:space="preserve"> </w:t>
      </w:r>
      <w:r>
        <w:rPr>
          <w:bCs/>
          <w:b/>
          <w:bCs/>
          <w:b/>
        </w:rPr>
        <w:t xml:space="preserve">Hengl T</w:t>
      </w:r>
      <w:r>
        <w:rPr>
          <w:bCs/>
          <w:b/>
        </w:rPr>
        <w:t xml:space="preserve">,</w:t>
      </w:r>
      <w:r>
        <w:rPr>
          <w:bCs/>
          <w:b/>
        </w:rPr>
        <w:t xml:space="preserve"> </w:t>
      </w:r>
      <w:r>
        <w:rPr>
          <w:bCs/>
          <w:b/>
          <w:bCs/>
          <w:b/>
        </w:rPr>
        <w:t xml:space="preserve">Fiske GJ</w:t>
      </w:r>
      <w:r>
        <w:t xml:space="preserve">.</w:t>
      </w:r>
      <w:r>
        <w:t xml:space="preserve"> </w:t>
      </w:r>
      <w:r>
        <w:rPr>
          <w:bCs/>
          <w:b/>
        </w:rPr>
        <w:t xml:space="preserve">2017</w:t>
      </w:r>
      <w:r>
        <w:t xml:space="preserve">.</w:t>
      </w:r>
      <w:r>
        <w:t xml:space="preserve"> </w:t>
      </w:r>
      <w:hyperlink r:id="rId134">
        <w:r>
          <w:rPr>
            <w:rStyle w:val="Hyperlink"/>
          </w:rPr>
          <w:t xml:space="preserve">Soil carbon debt of 12,000 years of human land use</w:t>
        </w:r>
      </w:hyperlink>
      <w:r>
        <w:t xml:space="preserve">.</w:t>
      </w:r>
      <w:r>
        <w:t xml:space="preserve"> </w:t>
      </w:r>
      <w:r>
        <w:rPr>
          <w:iCs/>
          <w:i/>
        </w:rPr>
        <w:t xml:space="preserve">Proceedings of the National Academy of Sciences</w:t>
      </w:r>
      <w:r>
        <w:t xml:space="preserve"> </w:t>
      </w:r>
      <w:r>
        <w:rPr>
          <w:bCs/>
          <w:b/>
        </w:rPr>
        <w:t xml:space="preserve">114</w:t>
      </w:r>
      <w:r>
        <w:t xml:space="preserve">: 9575–9580.</w:t>
      </w:r>
    </w:p>
    <w:bookmarkEnd w:id="135"/>
    <w:bookmarkStart w:id="137" w:name="ref-stall_make_2019"/>
    <w:p>
      <w:pPr>
        <w:pStyle w:val="Bibliography"/>
      </w:pPr>
      <w:r>
        <w:rPr>
          <w:bCs/>
          <w:b/>
          <w:bCs/>
          <w:b/>
        </w:rPr>
        <w:t xml:space="preserve">Stall S</w:t>
      </w:r>
      <w:r>
        <w:rPr>
          <w:bCs/>
          <w:b/>
        </w:rPr>
        <w:t xml:space="preserve">,</w:t>
      </w:r>
      <w:r>
        <w:rPr>
          <w:bCs/>
          <w:b/>
        </w:rPr>
        <w:t xml:space="preserve"> </w:t>
      </w:r>
      <w:r>
        <w:rPr>
          <w:bCs/>
          <w:b/>
          <w:bCs/>
          <w:b/>
        </w:rPr>
        <w:t xml:space="preserve">Yarmey L</w:t>
      </w:r>
      <w:r>
        <w:rPr>
          <w:bCs/>
          <w:b/>
        </w:rPr>
        <w:t xml:space="preserve">,</w:t>
      </w:r>
      <w:r>
        <w:rPr>
          <w:bCs/>
          <w:b/>
        </w:rPr>
        <w:t xml:space="preserve"> </w:t>
      </w:r>
      <w:r>
        <w:rPr>
          <w:bCs/>
          <w:b/>
          <w:bCs/>
          <w:b/>
        </w:rPr>
        <w:t xml:space="preserve">Cutcher-Gershenfeld J</w:t>
      </w:r>
      <w:r>
        <w:rPr>
          <w:bCs/>
          <w:b/>
        </w:rPr>
        <w:t xml:space="preserve">,</w:t>
      </w:r>
      <w:r>
        <w:rPr>
          <w:bCs/>
          <w:b/>
        </w:rPr>
        <w:t xml:space="preserve"> </w:t>
      </w:r>
      <w:r>
        <w:rPr>
          <w:bCs/>
          <w:b/>
          <w:bCs/>
          <w:b/>
        </w:rPr>
        <w:t xml:space="preserve">Hanson B</w:t>
      </w:r>
      <w:r>
        <w:rPr>
          <w:bCs/>
          <w:b/>
        </w:rPr>
        <w:t xml:space="preserve">,</w:t>
      </w:r>
      <w:r>
        <w:rPr>
          <w:bCs/>
          <w:b/>
        </w:rPr>
        <w:t xml:space="preserve"> </w:t>
      </w:r>
      <w:r>
        <w:rPr>
          <w:bCs/>
          <w:b/>
          <w:bCs/>
          <w:b/>
        </w:rPr>
        <w:t xml:space="preserve">Lehnert K</w:t>
      </w:r>
      <w:r>
        <w:rPr>
          <w:bCs/>
          <w:b/>
        </w:rPr>
        <w:t xml:space="preserve">,</w:t>
      </w:r>
      <w:r>
        <w:rPr>
          <w:bCs/>
          <w:b/>
        </w:rPr>
        <w:t xml:space="preserve"> </w:t>
      </w:r>
      <w:r>
        <w:rPr>
          <w:bCs/>
          <w:b/>
          <w:bCs/>
          <w:b/>
        </w:rPr>
        <w:t xml:space="preserve">Nosek B</w:t>
      </w:r>
      <w:r>
        <w:rPr>
          <w:bCs/>
          <w:b/>
        </w:rPr>
        <w:t xml:space="preserve">,</w:t>
      </w:r>
      <w:r>
        <w:rPr>
          <w:bCs/>
          <w:b/>
        </w:rPr>
        <w:t xml:space="preserve"> </w:t>
      </w:r>
      <w:r>
        <w:rPr>
          <w:bCs/>
          <w:b/>
          <w:bCs/>
          <w:b/>
        </w:rPr>
        <w:t xml:space="preserve">Parsons M</w:t>
      </w:r>
      <w:r>
        <w:rPr>
          <w:bCs/>
          <w:b/>
        </w:rPr>
        <w:t xml:space="preserve">,</w:t>
      </w:r>
      <w:r>
        <w:rPr>
          <w:bCs/>
          <w:b/>
        </w:rPr>
        <w:t xml:space="preserve"> </w:t>
      </w:r>
      <w:r>
        <w:rPr>
          <w:bCs/>
          <w:b/>
          <w:bCs/>
          <w:b/>
        </w:rPr>
        <w:t xml:space="preserve">Robinson E</w:t>
      </w:r>
      <w:r>
        <w:rPr>
          <w:bCs/>
          <w:b/>
        </w:rPr>
        <w:t xml:space="preserve">,</w:t>
      </w:r>
      <w:r>
        <w:rPr>
          <w:bCs/>
          <w:b/>
        </w:rPr>
        <w:t xml:space="preserve"> </w:t>
      </w:r>
      <w:r>
        <w:rPr>
          <w:bCs/>
          <w:b/>
          <w:bCs/>
          <w:b/>
        </w:rPr>
        <w:t xml:space="preserve">Wyborn L</w:t>
      </w:r>
      <w:r>
        <w:t xml:space="preserve">.</w:t>
      </w:r>
      <w:r>
        <w:t xml:space="preserve"> </w:t>
      </w:r>
      <w:r>
        <w:rPr>
          <w:bCs/>
          <w:b/>
        </w:rPr>
        <w:t xml:space="preserve">2019</w:t>
      </w:r>
      <w:r>
        <w:t xml:space="preserve">.</w:t>
      </w:r>
      <w:r>
        <w:t xml:space="preserve"> </w:t>
      </w:r>
      <w:hyperlink r:id="rId136">
        <w:r>
          <w:rPr>
            <w:rStyle w:val="Hyperlink"/>
          </w:rPr>
          <w:t xml:space="preserve">Make scientific data</w:t>
        </w:r>
        <w:r>
          <w:rPr>
            <w:rStyle w:val="Hyperlink"/>
          </w:rPr>
          <w:t xml:space="preserve"> </w:t>
        </w:r>
        <w:r>
          <w:rPr>
            <w:rStyle w:val="Hyperlink"/>
          </w:rPr>
          <w:t xml:space="preserve">FAIR</w:t>
        </w:r>
      </w:hyperlink>
      <w:r>
        <w:t xml:space="preserve">.</w:t>
      </w:r>
      <w:r>
        <w:t xml:space="preserve"> </w:t>
      </w:r>
      <w:r>
        <w:rPr>
          <w:iCs/>
          <w:i/>
        </w:rPr>
        <w:t xml:space="preserve">Nature</w:t>
      </w:r>
      <w:r>
        <w:t xml:space="preserve"> </w:t>
      </w:r>
      <w:r>
        <w:rPr>
          <w:bCs/>
          <w:b/>
        </w:rPr>
        <w:t xml:space="preserve">570</w:t>
      </w:r>
      <w:r>
        <w:t xml:space="preserve">: 27–29.</w:t>
      </w:r>
    </w:p>
    <w:bookmarkEnd w:id="137"/>
    <w:bookmarkStart w:id="139"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38">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39"/>
    <w:bookmarkStart w:id="140"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40"/>
    <w:bookmarkStart w:id="142"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41">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42"/>
    <w:bookmarkStart w:id="144"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43">
        <w:r>
          <w:rPr>
            <w:rStyle w:val="Hyperlink"/>
          </w:rPr>
          <w:t xml:space="preserve">Higher aboveground carbon stocks in mixed-species planted forests than monocultures</w:t>
        </w:r>
        <w:r>
          <w:rPr>
            <w:rStyle w:val="Hyperlink"/>
          </w:rPr>
          <w:t xml:space="preserve"> </w:t>
        </w:r>
        <w:r>
          <w:rPr>
            <w:rStyle w:val="Hyperlink"/>
          </w:rPr>
          <w:t xml:space="preserve"> </w:t>
        </w:r>
        <w:r>
          <w:rPr>
            <w:rStyle w:val="Hyperlink"/>
          </w:rPr>
          <w:t xml:space="preserve">a meta-analysis</w:t>
        </w:r>
      </w:hyperlink>
      <w:r>
        <w:t xml:space="preserve">. : 2022.01.17.476441.</w:t>
      </w:r>
    </w:p>
    <w:bookmarkEnd w:id="144"/>
    <w:bookmarkStart w:id="146" w:name="ref-xu_changes_2021"/>
    <w:p>
      <w:pPr>
        <w:pStyle w:val="Bibliography"/>
      </w:pPr>
      <w:r>
        <w:rPr>
          <w:bCs/>
          <w:b/>
          <w:bCs/>
          <w:b/>
        </w:rPr>
        <w:t xml:space="preserve">Xu L</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Yang Y</w:t>
      </w:r>
      <w:r>
        <w:rPr>
          <w:bCs/>
          <w:b/>
        </w:rPr>
        <w:t xml:space="preserve">,</w:t>
      </w:r>
      <w:r>
        <w:rPr>
          <w:bCs/>
          <w:b/>
        </w:rPr>
        <w:t xml:space="preserve"> </w:t>
      </w:r>
      <w:r>
        <w:rPr>
          <w:bCs/>
          <w:b/>
          <w:bCs/>
          <w:b/>
        </w:rPr>
        <w:t xml:space="preserve">Yu Y</w:t>
      </w:r>
      <w:r>
        <w:rPr>
          <w:bCs/>
          <w:b/>
        </w:rPr>
        <w:t xml:space="preserve">,</w:t>
      </w:r>
      <w:r>
        <w:rPr>
          <w:bCs/>
          <w:b/>
        </w:rPr>
        <w:t xml:space="preserve"> </w:t>
      </w:r>
      <w:r>
        <w:rPr>
          <w:bCs/>
          <w:b/>
          <w:bCs/>
          <w:b/>
        </w:rPr>
        <w:t xml:space="preserve">Pongratz J</w:t>
      </w:r>
      <w:r>
        <w:rPr>
          <w:bCs/>
          <w:b/>
        </w:rPr>
        <w:t xml:space="preserve">,</w:t>
      </w:r>
      <w:r>
        <w:rPr>
          <w:bCs/>
          <w:b/>
        </w:rPr>
        <w:t xml:space="preserve"> </w:t>
      </w:r>
      <w:r>
        <w:rPr>
          <w:bCs/>
          <w:b/>
          <w:bCs/>
          <w:b/>
        </w:rPr>
        <w:t xml:space="preserve">Bloom AA</w:t>
      </w:r>
      <w:r>
        <w:rPr>
          <w:bCs/>
          <w:b/>
        </w:rPr>
        <w:t xml:space="preserve">,</w:t>
      </w:r>
      <w:r>
        <w:rPr>
          <w:bCs/>
          <w:b/>
        </w:rPr>
        <w:t xml:space="preserve"> </w:t>
      </w:r>
      <w:r>
        <w:rPr>
          <w:bCs/>
          <w:b/>
          <w:bCs/>
          <w:b/>
        </w:rPr>
        <w:t xml:space="preserve">Bowman K</w:t>
      </w:r>
      <w:r>
        <w:rPr>
          <w:bCs/>
          <w:b/>
        </w:rPr>
        <w:t xml:space="preserve">,</w:t>
      </w:r>
      <w:r>
        <w:rPr>
          <w:bCs/>
          <w:b/>
        </w:rPr>
        <w:t xml:space="preserve"> </w:t>
      </w:r>
      <w:r>
        <w:rPr>
          <w:bCs/>
          <w:b/>
          <w:bCs/>
          <w:b/>
        </w:rPr>
        <w:t xml:space="preserve">Worden J</w:t>
      </w:r>
      <w:r>
        <w:rPr>
          <w:bCs/>
          <w:b/>
        </w:rPr>
        <w:t xml:space="preserve">,</w:t>
      </w:r>
      <w:r>
        <w:rPr>
          <w:bCs/>
          <w:b/>
        </w:rPr>
        <w:t xml:space="preserve"> </w:t>
      </w:r>
      <w:r>
        <w:rPr>
          <w:bCs/>
          <w:b/>
          <w:bCs/>
          <w:b/>
        </w:rPr>
        <w:t xml:space="preserve">Liu J</w:t>
      </w:r>
      <w:r>
        <w:rPr>
          <w:bCs/>
          <w:b/>
        </w:rPr>
        <w:t xml:space="preserve">,</w:t>
      </w:r>
      <w:r>
        <w:rPr>
          <w:bCs/>
          <w:b/>
        </w:rPr>
        <w:t xml:space="preserve"> </w:t>
      </w:r>
      <w:r>
        <w:rPr>
          <w:bCs/>
          <w:b/>
          <w:bCs/>
          <w:b/>
        </w:rPr>
        <w:t xml:space="preserve">Yin Y</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45">
        <w:r>
          <w:rPr>
            <w:rStyle w:val="Hyperlink"/>
          </w:rPr>
          <w:t xml:space="preserve">Changes in global terrestrial live biomass over the 21st century</w:t>
        </w:r>
      </w:hyperlink>
      <w:r>
        <w:t xml:space="preserve">.</w:t>
      </w:r>
      <w:r>
        <w:t xml:space="preserve"> </w:t>
      </w:r>
      <w:r>
        <w:rPr>
          <w:iCs/>
          <w:i/>
        </w:rPr>
        <w:t xml:space="preserve">Science Advances</w:t>
      </w:r>
      <w:r>
        <w:t xml:space="preserve"> </w:t>
      </w:r>
      <w:r>
        <w:rPr>
          <w:bCs/>
          <w:b/>
        </w:rPr>
        <w:t xml:space="preserve">7</w:t>
      </w:r>
      <w:r>
        <w:t xml:space="preserve">: eabe9829.</w:t>
      </w:r>
    </w:p>
    <w:bookmarkEnd w:id="146"/>
    <w:bookmarkEnd w:id="147"/>
    <w:bookmarkEnd w:id="148"/>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138" Target="https://doi.org/10.1002/2017GB005678" TargetMode="External" /><Relationship Type="http://schemas.openxmlformats.org/officeDocument/2006/relationships/hyperlink" Id="rId59" Target="https://doi.org/10.1002/ecy.2229" TargetMode="External" /><Relationship Type="http://schemas.openxmlformats.org/officeDocument/2006/relationships/hyperlink" Id="rId71" Target="https://doi.org/10.1016/j.biombioe.2011.06.045" TargetMode="External" /><Relationship Type="http://schemas.openxmlformats.org/officeDocument/2006/relationships/hyperlink" Id="rId141" Target="https://doi.org/10.1016/j.foreco.2016.11.007" TargetMode="External" /><Relationship Type="http://schemas.openxmlformats.org/officeDocument/2006/relationships/hyperlink" Id="rId63" Target="https://doi.org/10.1016/j.jag.2023.103274" TargetMode="External" /><Relationship Type="http://schemas.openxmlformats.org/officeDocument/2006/relationships/hyperlink" Id="rId124" Target="https://doi.org/10.1016/j.rse.2019.03.032" TargetMode="External" /><Relationship Type="http://schemas.openxmlformats.org/officeDocument/2006/relationships/hyperlink" Id="rId87" Target="https://doi.org/10.1016/j.srs.2020.100002" TargetMode="External" /><Relationship Type="http://schemas.openxmlformats.org/officeDocument/2006/relationships/hyperlink" Id="rId109" Target="https://doi.org/10.1017/9781009157926.001" TargetMode="External" /><Relationship Type="http://schemas.openxmlformats.org/officeDocument/2006/relationships/hyperlink" Id="rId136" Target="https://doi.org/10.1038/d41586-019-01720-7" TargetMode="External" /><Relationship Type="http://schemas.openxmlformats.org/officeDocument/2006/relationships/hyperlink" Id="rId100" Target="https://doi.org/10.1038/nclimate3227" TargetMode="External" /><Relationship Type="http://schemas.openxmlformats.org/officeDocument/2006/relationships/hyperlink" Id="rId73" Target="https://doi.org/10.1038/s41467-022-31380-7" TargetMode="External" /><Relationship Type="http://schemas.openxmlformats.org/officeDocument/2006/relationships/hyperlink" Id="rId102" Target="https://doi.org/10.1038/s41558-020-00976-6" TargetMode="External" /><Relationship Type="http://schemas.openxmlformats.org/officeDocument/2006/relationships/hyperlink" Id="rId83" Target="https://doi.org/10.1038/s41559-022-01738-7" TargetMode="External" /><Relationship Type="http://schemas.openxmlformats.org/officeDocument/2006/relationships/hyperlink" Id="rId79" Target="https://doi.org/10.1038/s41586-020-2686-x" TargetMode="External" /><Relationship Type="http://schemas.openxmlformats.org/officeDocument/2006/relationships/hyperlink" Id="rId81" Target="https://doi.org/10.1038/s41586-021-03728-4" TargetMode="External" /><Relationship Type="http://schemas.openxmlformats.org/officeDocument/2006/relationships/hyperlink" Id="rId134" Target="https://doi.org/10.1073/pnas.1706103114" TargetMode="External" /><Relationship Type="http://schemas.openxmlformats.org/officeDocument/2006/relationships/hyperlink" Id="rId89" Target="https://doi.org/10.1073/pnas.2023483118" TargetMode="External" /><Relationship Type="http://schemas.openxmlformats.org/officeDocument/2006/relationships/hyperlink" Id="rId57" Target="https://doi.org/10.1088/1748-9326/abed01" TargetMode="External" /><Relationship Type="http://schemas.openxmlformats.org/officeDocument/2006/relationships/hyperlink" Id="rId132" Target="https://doi.org/10.1088/1748-9326/ac45b3" TargetMode="External" /><Relationship Type="http://schemas.openxmlformats.org/officeDocument/2006/relationships/hyperlink" Id="rId77" Target="https://doi.org/10.1093/forestry/cpt053" TargetMode="External" /><Relationship Type="http://schemas.openxmlformats.org/officeDocument/2006/relationships/hyperlink" Id="rId143" Target="https://doi.org/10.1101/2022.01.17.476441" TargetMode="External" /><Relationship Type="http://schemas.openxmlformats.org/officeDocument/2006/relationships/hyperlink" Id="rId126" Target="https://doi.org/10.1111/2041-210X.12753" TargetMode="External" /><Relationship Type="http://schemas.openxmlformats.org/officeDocument/2006/relationships/hyperlink" Id="rId98" Target="https://doi.org/10.1111/2041-210X.13756" TargetMode="External" /><Relationship Type="http://schemas.openxmlformats.org/officeDocument/2006/relationships/hyperlink" Id="rId75" Target="https://doi.org/10.1111/gcb.12629" TargetMode="External" /><Relationship Type="http://schemas.openxmlformats.org/officeDocument/2006/relationships/hyperlink" Id="rId61" Target="https://doi.org/10.1111/gcb.13226" TargetMode="External" /><Relationship Type="http://schemas.openxmlformats.org/officeDocument/2006/relationships/hyperlink" Id="rId128" Target="https://doi.org/10.1111/gcb.14767" TargetMode="External" /><Relationship Type="http://schemas.openxmlformats.org/officeDocument/2006/relationships/hyperlink" Id="rId130" Target="https://doi.org/10.1111/gcb.15873" TargetMode="External" /><Relationship Type="http://schemas.openxmlformats.org/officeDocument/2006/relationships/hyperlink" Id="rId65" Target="https://doi.org/10.1111/gcb.15943" TargetMode="External" /><Relationship Type="http://schemas.openxmlformats.org/officeDocument/2006/relationships/hyperlink" Id="rId53" Target="https://doi.org/10.1111/gcb.16008" TargetMode="External" /><Relationship Type="http://schemas.openxmlformats.org/officeDocument/2006/relationships/hyperlink" Id="rId114" Target="https://doi.org/10.1111/gcb.16497" TargetMode="External" /><Relationship Type="http://schemas.openxmlformats.org/officeDocument/2006/relationships/hyperlink" Id="rId118" Target="https://doi.org/10.1111/j.1365-2486.2005.001043.x" TargetMode="External" /><Relationship Type="http://schemas.openxmlformats.org/officeDocument/2006/relationships/hyperlink" Id="rId91" Target="https://doi.org/10.1111/j.1466-8238.2010.00540.x" TargetMode="External" /><Relationship Type="http://schemas.openxmlformats.org/officeDocument/2006/relationships/hyperlink" Id="rId145" Target="https://doi.org/10.1126/sciadv.abe9829" TargetMode="External" /><Relationship Type="http://schemas.openxmlformats.org/officeDocument/2006/relationships/hyperlink" Id="rId116" Target="https://doi.org/10.1126/science.aaz9463" TargetMode="External" /><Relationship Type="http://schemas.openxmlformats.org/officeDocument/2006/relationships/hyperlink" Id="rId94" Target="https://doi.org/10.1126/science.abm6363" TargetMode="External" /><Relationship Type="http://schemas.openxmlformats.org/officeDocument/2006/relationships/hyperlink" Id="rId67" Target="https://doi.org/10.1146/annurev-ecolsys-121415-032359" TargetMode="External" /><Relationship Type="http://schemas.openxmlformats.org/officeDocument/2006/relationships/hyperlink" Id="rId121" Target="https://doi.org/10.1186/s13021-018-0095-3" TargetMode="External" /><Relationship Type="http://schemas.openxmlformats.org/officeDocument/2006/relationships/hyperlink" Id="rId69" Target="https://doi.org/10.5194/bg-7-1915-2010" TargetMode="External" /><Relationship Type="http://schemas.openxmlformats.org/officeDocument/2006/relationships/hyperlink" Id="rId112" Target="https://doi.org/10.5194/essd-13-255-2021" TargetMode="External" /><Relationship Type="http://schemas.openxmlformats.org/officeDocument/2006/relationships/hyperlink" Id="rId96" Target="https://doi.org/10.5194/essd-14-4811-2022" TargetMode="External" /><Relationship Type="http://schemas.openxmlformats.org/officeDocument/2006/relationships/hyperlink" Id="rId85" Target="https://doi.org/10.5194/essd-2021-235" TargetMode="External" /><Relationship Type="http://schemas.openxmlformats.org/officeDocument/2006/relationships/hyperlink" Id="rId55"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0"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138" Target="https://doi.org/10.1002/2017GB005678" TargetMode="External" /><Relationship Type="http://schemas.openxmlformats.org/officeDocument/2006/relationships/hyperlink" Id="rId59" Target="https://doi.org/10.1002/ecy.2229" TargetMode="External" /><Relationship Type="http://schemas.openxmlformats.org/officeDocument/2006/relationships/hyperlink" Id="rId71" Target="https://doi.org/10.1016/j.biombioe.2011.06.045" TargetMode="External" /><Relationship Type="http://schemas.openxmlformats.org/officeDocument/2006/relationships/hyperlink" Id="rId141" Target="https://doi.org/10.1016/j.foreco.2016.11.007" TargetMode="External" /><Relationship Type="http://schemas.openxmlformats.org/officeDocument/2006/relationships/hyperlink" Id="rId63" Target="https://doi.org/10.1016/j.jag.2023.103274" TargetMode="External" /><Relationship Type="http://schemas.openxmlformats.org/officeDocument/2006/relationships/hyperlink" Id="rId124" Target="https://doi.org/10.1016/j.rse.2019.03.032" TargetMode="External" /><Relationship Type="http://schemas.openxmlformats.org/officeDocument/2006/relationships/hyperlink" Id="rId87" Target="https://doi.org/10.1016/j.srs.2020.100002" TargetMode="External" /><Relationship Type="http://schemas.openxmlformats.org/officeDocument/2006/relationships/hyperlink" Id="rId109" Target="https://doi.org/10.1017/9781009157926.001" TargetMode="External" /><Relationship Type="http://schemas.openxmlformats.org/officeDocument/2006/relationships/hyperlink" Id="rId136" Target="https://doi.org/10.1038/d41586-019-01720-7" TargetMode="External" /><Relationship Type="http://schemas.openxmlformats.org/officeDocument/2006/relationships/hyperlink" Id="rId100" Target="https://doi.org/10.1038/nclimate3227" TargetMode="External" /><Relationship Type="http://schemas.openxmlformats.org/officeDocument/2006/relationships/hyperlink" Id="rId73" Target="https://doi.org/10.1038/s41467-022-31380-7" TargetMode="External" /><Relationship Type="http://schemas.openxmlformats.org/officeDocument/2006/relationships/hyperlink" Id="rId102" Target="https://doi.org/10.1038/s41558-020-00976-6" TargetMode="External" /><Relationship Type="http://schemas.openxmlformats.org/officeDocument/2006/relationships/hyperlink" Id="rId83" Target="https://doi.org/10.1038/s41559-022-01738-7" TargetMode="External" /><Relationship Type="http://schemas.openxmlformats.org/officeDocument/2006/relationships/hyperlink" Id="rId79" Target="https://doi.org/10.1038/s41586-020-2686-x" TargetMode="External" /><Relationship Type="http://schemas.openxmlformats.org/officeDocument/2006/relationships/hyperlink" Id="rId81" Target="https://doi.org/10.1038/s41586-021-03728-4" TargetMode="External" /><Relationship Type="http://schemas.openxmlformats.org/officeDocument/2006/relationships/hyperlink" Id="rId134" Target="https://doi.org/10.1073/pnas.1706103114" TargetMode="External" /><Relationship Type="http://schemas.openxmlformats.org/officeDocument/2006/relationships/hyperlink" Id="rId89" Target="https://doi.org/10.1073/pnas.2023483118" TargetMode="External" /><Relationship Type="http://schemas.openxmlformats.org/officeDocument/2006/relationships/hyperlink" Id="rId57" Target="https://doi.org/10.1088/1748-9326/abed01" TargetMode="External" /><Relationship Type="http://schemas.openxmlformats.org/officeDocument/2006/relationships/hyperlink" Id="rId132" Target="https://doi.org/10.1088/1748-9326/ac45b3" TargetMode="External" /><Relationship Type="http://schemas.openxmlformats.org/officeDocument/2006/relationships/hyperlink" Id="rId77" Target="https://doi.org/10.1093/forestry/cpt053" TargetMode="External" /><Relationship Type="http://schemas.openxmlformats.org/officeDocument/2006/relationships/hyperlink" Id="rId143" Target="https://doi.org/10.1101/2022.01.17.476441" TargetMode="External" /><Relationship Type="http://schemas.openxmlformats.org/officeDocument/2006/relationships/hyperlink" Id="rId126" Target="https://doi.org/10.1111/2041-210X.12753" TargetMode="External" /><Relationship Type="http://schemas.openxmlformats.org/officeDocument/2006/relationships/hyperlink" Id="rId98" Target="https://doi.org/10.1111/2041-210X.13756" TargetMode="External" /><Relationship Type="http://schemas.openxmlformats.org/officeDocument/2006/relationships/hyperlink" Id="rId75" Target="https://doi.org/10.1111/gcb.12629" TargetMode="External" /><Relationship Type="http://schemas.openxmlformats.org/officeDocument/2006/relationships/hyperlink" Id="rId61" Target="https://doi.org/10.1111/gcb.13226" TargetMode="External" /><Relationship Type="http://schemas.openxmlformats.org/officeDocument/2006/relationships/hyperlink" Id="rId128" Target="https://doi.org/10.1111/gcb.14767" TargetMode="External" /><Relationship Type="http://schemas.openxmlformats.org/officeDocument/2006/relationships/hyperlink" Id="rId130" Target="https://doi.org/10.1111/gcb.15873" TargetMode="External" /><Relationship Type="http://schemas.openxmlformats.org/officeDocument/2006/relationships/hyperlink" Id="rId65" Target="https://doi.org/10.1111/gcb.15943" TargetMode="External" /><Relationship Type="http://schemas.openxmlformats.org/officeDocument/2006/relationships/hyperlink" Id="rId53" Target="https://doi.org/10.1111/gcb.16008" TargetMode="External" /><Relationship Type="http://schemas.openxmlformats.org/officeDocument/2006/relationships/hyperlink" Id="rId114" Target="https://doi.org/10.1111/gcb.16497" TargetMode="External" /><Relationship Type="http://schemas.openxmlformats.org/officeDocument/2006/relationships/hyperlink" Id="rId118" Target="https://doi.org/10.1111/j.1365-2486.2005.001043.x" TargetMode="External" /><Relationship Type="http://schemas.openxmlformats.org/officeDocument/2006/relationships/hyperlink" Id="rId91" Target="https://doi.org/10.1111/j.1466-8238.2010.00540.x" TargetMode="External" /><Relationship Type="http://schemas.openxmlformats.org/officeDocument/2006/relationships/hyperlink" Id="rId145" Target="https://doi.org/10.1126/sciadv.abe9829" TargetMode="External" /><Relationship Type="http://schemas.openxmlformats.org/officeDocument/2006/relationships/hyperlink" Id="rId116" Target="https://doi.org/10.1126/science.aaz9463" TargetMode="External" /><Relationship Type="http://schemas.openxmlformats.org/officeDocument/2006/relationships/hyperlink" Id="rId94" Target="https://doi.org/10.1126/science.abm6363" TargetMode="External" /><Relationship Type="http://schemas.openxmlformats.org/officeDocument/2006/relationships/hyperlink" Id="rId67" Target="https://doi.org/10.1146/annurev-ecolsys-121415-032359" TargetMode="External" /><Relationship Type="http://schemas.openxmlformats.org/officeDocument/2006/relationships/hyperlink" Id="rId121" Target="https://doi.org/10.1186/s13021-018-0095-3" TargetMode="External" /><Relationship Type="http://schemas.openxmlformats.org/officeDocument/2006/relationships/hyperlink" Id="rId69" Target="https://doi.org/10.5194/bg-7-1915-2010" TargetMode="External" /><Relationship Type="http://schemas.openxmlformats.org/officeDocument/2006/relationships/hyperlink" Id="rId112" Target="https://doi.org/10.5194/essd-13-255-2021" TargetMode="External" /><Relationship Type="http://schemas.openxmlformats.org/officeDocument/2006/relationships/hyperlink" Id="rId96" Target="https://doi.org/10.5194/essd-14-4811-2022" TargetMode="External" /><Relationship Type="http://schemas.openxmlformats.org/officeDocument/2006/relationships/hyperlink" Id="rId85" Target="https://doi.org/10.5194/essd-2021-235" TargetMode="External" /><Relationship Type="http://schemas.openxmlformats.org/officeDocument/2006/relationships/hyperlink" Id="rId55"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0"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2024-02-13T12:47:09Z</dcterms:created>
  <dcterms:modified xsi:type="dcterms:W3CDTF">2024-02-13T12:47:09Z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
  </property>
</Properties>
</file>