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ethods-s1.-updates-to-forc-forc-v4.0"/>
    <w:p>
      <w:pPr>
        <w:pStyle w:val="Heading1"/>
      </w:pPr>
      <w:r>
        <w:t xml:space="preserve">Methods S1. Updates to ForC (ForC v4.0)</w:t>
      </w:r>
    </w:p>
    <w:p>
      <w:pPr>
        <w:pStyle w:val="FirstParagraph"/>
      </w:pPr>
      <w:r>
        <w:t xml:space="preserve">Here, we describe changes relative to ForC v3.0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were implemented prior to the release of ForC v4.0.</w:t>
      </w:r>
    </w:p>
    <w:bookmarkStart w:id="20" w:name="new-or-modified-fields"/>
    <w:p>
      <w:pPr>
        <w:pStyle w:val="Heading2"/>
      </w:pPr>
      <w:r>
        <w:t xml:space="preserve">New or modified fields</w:t>
      </w:r>
    </w:p>
    <w:p>
      <w:pPr>
        <w:pStyle w:val="FirstParagraph"/>
      </w:pPr>
      <w:r>
        <w:t xml:space="preserve">We added or modified a total of 18 fields (Table S1).</w:t>
      </w:r>
      <w:r>
        <w:t xml:space="preserve"> </w:t>
      </w:r>
      <w:r>
        <w:t xml:space="preserve">Most notably, these included improvement of the representation of uncertainty, recording of original units and organic matter to C conversion factors, and expanding the information recorded in the citations table.</w:t>
      </w:r>
      <w:r>
        <w:t xml:space="preserve"> </w:t>
      </w:r>
      <w:r>
        <w:t xml:space="preserve">For the latter, we used an R script to automatically harvest (scrape) the URL, citation, abstract and language of the publications, based on their DOI, using R package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(Wickham &amp; RStudio, 2022)</w:t>
      </w:r>
      <w:r>
        <w:t xml:space="preserve">.</w:t>
      </w:r>
      <w:r>
        <w:t xml:space="preserve"> </w:t>
      </w:r>
      <w:r>
        <w:t xml:space="preserve">That information was manually retrieved when the web scraping failed.</w:t>
      </w:r>
    </w:p>
    <w:bookmarkEnd w:id="20"/>
    <w:bookmarkStart w:id="21" w:name="new-variables"/>
    <w:p>
      <w:pPr>
        <w:pStyle w:val="Heading2"/>
      </w:pPr>
      <w:r>
        <w:t xml:space="preserve">New variables</w:t>
      </w:r>
    </w:p>
    <w:p>
      <w:pPr>
        <w:pStyle w:val="FirstParagraph"/>
      </w:pPr>
      <w:r>
        <w:t xml:space="preserve">To create structure for EFDB-relevant records, we added a total of 15 new variables to the set of named and defined variables, counting each pair of variables with units in C (ending in</w:t>
      </w:r>
      <w:r>
        <w:t xml:space="preserve"> </w:t>
      </w:r>
      <w:r>
        <w:rPr>
          <w:rStyle w:val="VerbatimChar"/>
        </w:rPr>
        <w:t xml:space="preserve">_C</w:t>
      </w:r>
      <w:r>
        <w:t xml:space="preserve">) or organic matter (ending in</w:t>
      </w:r>
      <w:r>
        <w:t xml:space="preserve"> </w:t>
      </w:r>
      <w:r>
        <w:rPr>
          <w:rStyle w:val="VerbatimChar"/>
        </w:rPr>
        <w:t xml:space="preserve">_OM</w:t>
      </w:r>
      <w:r>
        <w:t xml:space="preserve">) as one.</w:t>
      </w:r>
      <w:r>
        <w:t xml:space="preserve"> </w:t>
      </w:r>
      <w:r>
        <w:t xml:space="preserve">The majority of these were increment variables (n=11), adding to only one previously defined increment variable (aboveground biomass increment,</w:t>
      </w:r>
      <w:r>
        <w:t xml:space="preserve"> </w:t>
      </w:r>
      <w:r>
        <w:rPr>
          <w:iCs/>
          <w:i/>
        </w:rPr>
        <w:t xml:space="preserve">delta.agb</w:t>
      </w:r>
      <w:r>
        <w:t xml:space="preserve">).</w:t>
      </w:r>
      <w:r>
        <w:t xml:space="preserve"> </w:t>
      </w:r>
      <w:r>
        <w:t xml:space="preserve">These are directly related to C stocks as previously defined in ForC, with</w:t>
      </w:r>
      <w:r>
        <w:t xml:space="preserve"> </w:t>
      </w:r>
      <w:r>
        <w:t xml:space="preserve">“</w:t>
      </w:r>
      <w:r>
        <w:rPr>
          <w:iCs/>
          <w:i/>
        </w:rPr>
        <w:t xml:space="preserve">delta.</w:t>
      </w:r>
      <w:r>
        <w:t xml:space="preserve">”</w:t>
      </w:r>
      <w:r>
        <w:t xml:space="preserve"> </w:t>
      </w:r>
      <w:r>
        <w:t xml:space="preserve">added in front of the variable name.</w:t>
      </w:r>
      <w:r>
        <w:t xml:space="preserve"> </w:t>
      </w:r>
      <w:r>
        <w:t xml:space="preserve">Further, we added variables capturing the belowground component of woody mortality (</w:t>
      </w:r>
      <w:r>
        <w:rPr>
          <w:iCs/>
          <w:i/>
        </w:rPr>
        <w:t xml:space="preserve">woody.mortality_root</w:t>
      </w:r>
      <w:r>
        <w:t xml:space="preserve">) and the combined aboveground and belowground components of woody mortality (</w:t>
      </w:r>
      <w:r>
        <w:rPr>
          <w:iCs/>
          <w:i/>
        </w:rPr>
        <w:t xml:space="preserve">woody.mortality</w:t>
      </w:r>
      <w:r>
        <w:t xml:space="preserve">).</w:t>
      </w:r>
      <w:r>
        <w:t xml:space="preserve"> </w:t>
      </w:r>
      <w:r>
        <w:t xml:space="preserve">Although most of these variables lacked records in ForC as of August 16, 2024, their addition gave the structure such that records can be populated over time.</w:t>
      </w:r>
      <w:r>
        <w:t xml:space="preserve"> </w:t>
      </w:r>
      <w:r>
        <w:t xml:space="preserve">Finally, to provide better definition of the previously existing variable</w:t>
      </w:r>
      <w:r>
        <w:t xml:space="preserve"> </w:t>
      </w:r>
      <w:r>
        <w:rPr>
          <w:iCs/>
          <w:i/>
        </w:rPr>
        <w:t xml:space="preserve">organic.layer</w:t>
      </w:r>
      <w:r>
        <w:t xml:space="preserve">, which has a nebulous definition that reflects the varied definitions adopted by original studies, we added two clearly defined variables:</w:t>
      </w:r>
      <w:r>
        <w:t xml:space="preserve"> </w:t>
      </w:r>
      <w:r>
        <w:rPr>
          <w:iCs/>
          <w:i/>
        </w:rPr>
        <w:t xml:space="preserve">litter</w:t>
      </w:r>
      <w:r>
        <w:t xml:space="preserve"> </w:t>
      </w:r>
      <w:r>
        <w:t xml:space="preserve">(relatively undecomposed plant material/ OL horizon), and</w:t>
      </w:r>
      <w:r>
        <w:t xml:space="preserve"> </w:t>
      </w:r>
      <w:r>
        <w:rPr>
          <w:iCs/>
          <w:i/>
        </w:rPr>
        <w:t xml:space="preserve">O.horizon</w:t>
      </w:r>
      <w:r>
        <w:t xml:space="preserve"> </w:t>
      </w:r>
      <w:r>
        <w:t xml:space="preserve">(entire O-horizon, including OL).</w:t>
      </w:r>
    </w:p>
    <w:bookmarkEnd w:id="21"/>
    <w:bookmarkStart w:id="22" w:name="quality-control-measures"/>
    <w:p>
      <w:pPr>
        <w:pStyle w:val="Heading2"/>
      </w:pPr>
      <w:r>
        <w:t xml:space="preserve">Quality control measures</w:t>
      </w:r>
    </w:p>
    <w:p>
      <w:pPr>
        <w:pStyle w:val="FirstParagraph"/>
      </w:pPr>
      <w:r>
        <w:t xml:space="preserve">Prior to releasing ForC v4.0, we executed several quality control measures.</w:t>
      </w:r>
      <w:r>
        <w:t xml:space="preserve"> </w:t>
      </w:r>
      <w:r>
        <w:t xml:space="preserve">First, we implemented a system of continuous integration using GitHub Actions</w:t>
      </w:r>
      <w:r>
        <w:t xml:space="preserve"> </w:t>
      </w:r>
      <w:r>
        <w:t xml:space="preserve">(</w:t>
      </w:r>
      <w:r>
        <w:rPr>
          <w:iCs/>
          <w:i/>
        </w:rPr>
        <w:t xml:space="preserve">sensu</w:t>
      </w:r>
      <w:r>
        <w:t xml:space="preserve"> </w:t>
      </w:r>
      <w:r>
        <w:t xml:space="preserve">Kim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to run some automatic checks any time the master data files are updated, including outlier tests and checks for completeness and naming consistency of records across data files.</w:t>
      </w:r>
      <w:r>
        <w:t xml:space="preserve"> </w:t>
      </w:r>
      <w:r>
        <w:t xml:space="preserve">Second, to improve information on geographic coordinates, we created a field to record coordinate precision (Table S1), and flagged and reviewed records with suspected low precision.</w:t>
      </w:r>
      <w:r>
        <w:t xml:space="preserve"> </w:t>
      </w:r>
      <w:r>
        <w:t xml:space="preserve">Third, to identify erroneous climate data, we compared ForC climate values to those extracted from WorldClim version 2.1</w:t>
      </w:r>
      <w:r>
        <w:t xml:space="preserve"> </w:t>
      </w:r>
      <w:r>
        <w:t xml:space="preserve">(van de Pol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Bailey &amp; Pol, 2016)</w:t>
      </w:r>
      <w:r>
        <w:t xml:space="preserve"> </w:t>
      </w:r>
      <w:r>
        <w:t xml:space="preserve">based on site coordinates.</w:t>
      </w:r>
      <w:r>
        <w:t xml:space="preserve"> </w:t>
      </w:r>
      <w:r>
        <w:t xml:space="preserve">Records deviating from WorldClim values by more variable-specific thresholds (&gt;5°C for mean annual temperature, &gt;7.5°C for mean temperatures of the warmest and coldest months, or &gt;1 for log(mean annual precipitation in mm)) were flagged as requiring review prior to use in analysis or submission to EFDB.</w:t>
      </w:r>
    </w:p>
    <w:p>
      <w:pPr>
        <w:pStyle w:val="BodyText"/>
      </w:pPr>
      <w:r>
        <w:t xml:space="preserve">Because ForC v4.0 contained known duplicate records, we used R scripts to identify likely duplicates, as detailed in</w:t>
      </w:r>
      <w:r>
        <w:t xml:space="preserve"> </w:t>
      </w:r>
      <w:r>
        <w:t xml:space="preserve">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(2021)</w:t>
      </w:r>
      <w:r>
        <w:t xml:space="preserve">.</w:t>
      </w:r>
      <w:r>
        <w:t xml:space="preserve"> </w:t>
      </w:r>
      <w:r>
        <w:t xml:space="preserve">Henceforth, we refer to the set of records with likely duplicates removed as</w:t>
      </w:r>
      <w:r>
        <w:t xml:space="preserve"> </w:t>
      </w:r>
      <w:r>
        <w:t xml:space="preserve">“</w:t>
      </w:r>
      <w:r>
        <w:t xml:space="preserve">independent records</w:t>
      </w:r>
      <w:r>
        <w:t xml:space="preserve">”</w:t>
      </w:r>
      <w:r>
        <w:t xml:space="preserve">.</w:t>
      </w:r>
      <w:r>
        <w:t xml:space="preserve"> </w:t>
      </w:r>
      <w:r>
        <w:t xml:space="preserve">All records sent to EFDB were ensured to be independent and original through manual review, as detailed below.</w:t>
      </w:r>
    </w:p>
    <w:bookmarkEnd w:id="22"/>
    <w:bookmarkStart w:id="23" w:name="X25d78ff5596b8a712e055a2d8babb0ccc23d20b"/>
    <w:p>
      <w:pPr>
        <w:pStyle w:val="Heading2"/>
      </w:pPr>
      <w:r>
        <w:t xml:space="preserve">Manual review of records to be sent to EFDB</w:t>
      </w:r>
    </w:p>
    <w:p>
      <w:pPr>
        <w:pStyle w:val="FirstParagraph"/>
      </w:pPr>
      <w:r>
        <w:t xml:space="preserve">EFDB data submissions required information that was not recorded in previous versions of ForC, but for which new fields were created for EFDB compatibility (Table S1).</w:t>
      </w:r>
      <w:r>
        <w:t xml:space="preserve"> </w:t>
      </w:r>
      <w:r>
        <w:t xml:space="preserve">It was therefore necessary to return to original publications to retrieve relevant information, including</w:t>
      </w:r>
      <w:r>
        <w:t xml:space="preserve"> </w:t>
      </w:r>
      <w:r>
        <w:t xml:space="preserve">(1) estimates in original units,</w:t>
      </w:r>
      <w:r>
        <w:t xml:space="preserve"> </w:t>
      </w:r>
      <w:r>
        <w:t xml:space="preserve">(2) confidence intervals (when not already in ForC),</w:t>
      </w:r>
      <w:r>
        <w:t xml:space="preserve"> </w:t>
      </w:r>
      <w:r>
        <w:t xml:space="preserve">(3) whether records of interest were presented in tables or text or digitized from figures (EFDB will not accept digitized data),</w:t>
      </w:r>
      <w:r>
        <w:t xml:space="preserve"> </w:t>
      </w:r>
      <w:r>
        <w:t xml:space="preserve">and (4) whether records of interest were presented directly, as opposed to having been calculated from related variables (for example, if a study presents aboveground biomass and root biomass but not total biomass, EFDB would not accept the sum of these as a valid record of total biomass).</w:t>
      </w:r>
      <w:r>
        <w:t xml:space="preserve"> </w:t>
      </w:r>
      <w:r>
        <w:t xml:space="preserve">We also checked that existing ForC records were complete and correct.</w:t>
      </w:r>
    </w:p>
    <w:p>
      <w:pPr>
        <w:pStyle w:val="BodyText"/>
      </w:pPr>
      <w:r>
        <w:t xml:space="preserve">Manual review of records was the limiting step for data submission to EFDB.</w:t>
      </w:r>
      <w:r>
        <w:t xml:space="preserve"> </w:t>
      </w:r>
      <w:r>
        <w:t xml:space="preserve">We prioritized review of</w:t>
      </w:r>
      <w:r>
        <w:t xml:space="preserve"> </w:t>
      </w:r>
      <w:r>
        <w:t xml:space="preserve">(1) records from the Forest Global Earth Observatory</w:t>
      </w:r>
      <w:r>
        <w:t xml:space="preserve"> </w:t>
      </w:r>
      <w:r>
        <w:t xml:space="preserve">(ForestGEO, 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2015; Davies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are familiar to our team and generally high quality,</w:t>
      </w:r>
      <w:r>
        <w:t xml:space="preserve"> </w:t>
      </w:r>
      <w:r>
        <w:t xml:space="preserve">(2) studies with confidence intervals recorded in ForC (because uncertainty estimates are important to the IPCC),</w:t>
      </w:r>
      <w:r>
        <w:t xml:space="preserve"> </w:t>
      </w:r>
      <w:r>
        <w:t xml:space="preserve">(3) original publications containing large numbers of EFDB-relevant records,</w:t>
      </w:r>
      <w:r>
        <w:t xml:space="preserve"> </w:t>
      </w:r>
      <w:r>
        <w:t xml:space="preserve">and (4) records from tropical regions.</w:t>
      </w:r>
      <w:r>
        <w:t xml:space="preserve"> </w:t>
      </w:r>
      <w:r>
        <w:t xml:space="preserve">The latter criteria was motivated by the fact that although tropical forest is the single most important biome for climate change mitigation</w:t>
      </w:r>
      <w:r>
        <w:t xml:space="preserve"> </w:t>
      </w:r>
      <w:r>
        <w:t xml:space="preserve">(Griscom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ground-based data on tropical forest C cycling tends to be more scarce due to a variety of challenges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de Lima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, and tropical countries are more likely to apply Tier 1 methodology that bases forest C budgets on internationally defined IPCC default values</w:t>
      </w:r>
      <w:r>
        <w:t xml:space="preserve"> </w:t>
      </w:r>
      <w:r>
        <w:t xml:space="preserve">(Romijn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2015)</w:t>
      </w:r>
      <w:r>
        <w:t xml:space="preserve">.</w:t>
      </w:r>
    </w:p>
    <w:bookmarkEnd w:id="23"/>
    <w:bookmarkStart w:id="24" w:name="addition-of-new-records"/>
    <w:p>
      <w:pPr>
        <w:pStyle w:val="Heading2"/>
      </w:pPr>
      <w:r>
        <w:t xml:space="preserve">Addition of new records</w:t>
      </w:r>
    </w:p>
    <w:p>
      <w:pPr>
        <w:pStyle w:val="FirstParagraph"/>
      </w:pPr>
      <w:r>
        <w:t xml:space="preserve">In addition to reviewing existing records, we added a total of 329 new records to ForC.</w:t>
      </w:r>
      <w:r>
        <w:t xml:space="preserve"> </w:t>
      </w:r>
      <w:r>
        <w:t xml:space="preserve">These included 104 records</w:t>
      </w:r>
      <w:r>
        <w:t xml:space="preserve"> </w:t>
      </w:r>
      <w:r>
        <w:t xml:space="preserve">from two studies</w:t>
      </w:r>
      <w:r>
        <w:t xml:space="preserve"> </w:t>
      </w:r>
      <w:r>
        <w:t xml:space="preserve">(Lutz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Piponiot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that were not previously included in ForC.</w:t>
      </w:r>
      <w:r>
        <w:t xml:space="preserve"> </w:t>
      </w:r>
      <w:r>
        <w:t xml:space="preserve">In addition, we created new records for 225 EFDB-relevant estimates presented in the original publication that were not yet present in ForC.</w:t>
      </w:r>
    </w:p>
    <w:bookmarkEnd w:id="24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26" w:name="ref-anderson-teixeira_ctfsforestgeo_2015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Bennett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Joseph Wright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Almeyda Zambrano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Baltzer JL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CTFS-ForestGEO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 A worldwide network monitoring forests in an era of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528–549.</w:t>
      </w:r>
    </w:p>
    <w:bookmarkEnd w:id="26"/>
    <w:bookmarkStart w:id="28" w:name="ref-anderson-teixeira_carbon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Morgan RB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Ferson AE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Wang MMH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Carbon cycling in mature and regrowth forests globally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16</w:t>
      </w:r>
      <w:r>
        <w:t xml:space="preserve">: 053009.</w:t>
      </w:r>
    </w:p>
    <w:bookmarkEnd w:id="28"/>
    <w:bookmarkStart w:id="30" w:name="ref-bailey_climwin_2016"/>
    <w:p>
      <w:pPr>
        <w:pStyle w:val="Bibliography"/>
      </w:pP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Pol M van de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Climwin: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R Toolbox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Window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11</w:t>
      </w:r>
      <w:r>
        <w:t xml:space="preserve">: e0167980.</w:t>
      </w:r>
    </w:p>
    <w:bookmarkEnd w:id="30"/>
    <w:bookmarkStart w:id="32" w:name="ref-davies_forestgeo_2021"/>
    <w:p>
      <w:pPr>
        <w:pStyle w:val="Bibliography"/>
      </w:pP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Abiem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Aguilar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Andrade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Arellano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Ashton PS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ForestGEO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Understanding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diversity and dynamics through a global observatory network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 </w:t>
      </w:r>
      <w:r>
        <w:rPr>
          <w:bCs/>
          <w:b/>
        </w:rPr>
        <w:t xml:space="preserve">253</w:t>
      </w:r>
      <w:r>
        <w:t xml:space="preserve">: 108907.</w:t>
      </w:r>
    </w:p>
    <w:bookmarkEnd w:id="32"/>
    <w:bookmarkStart w:id="34" w:name="ref-delima_making_2022"/>
    <w:p>
      <w:pPr>
        <w:pStyle w:val="Bibliography"/>
      </w:pPr>
      <w:r>
        <w:rPr>
          <w:bCs/>
          <w:b/>
          <w:bCs/>
          <w:b/>
        </w:rPr>
        <w:t xml:space="preserve">de Lima RAF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Phillips OL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Duque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Tello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 Oliveira AA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Honorio Coronado EN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Vilanova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Cuni-Sanchez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Making forest data fair and open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.</w:t>
      </w:r>
    </w:p>
    <w:bookmarkEnd w:id="34"/>
    <w:bookmarkStart w:id="36" w:name="ref-griscom_natural_2017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Adams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Miteva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Schlesinger WH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Shoch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Siikamäki JV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Natural climate solutions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114</w:t>
      </w:r>
      <w:r>
        <w:t xml:space="preserve">: 11645–11650.</w:t>
      </w:r>
    </w:p>
    <w:bookmarkEnd w:id="36"/>
    <w:bookmarkStart w:id="38" w:name="ref-griscom_national_2020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Busch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Funk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Leavitt SM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Turner WR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Chapman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Engelmann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National mitigation potential from natural climate solutions in the tropics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rPr>
          <w:bCs/>
          <w:b/>
        </w:rPr>
        <w:t xml:space="preserve">375</w:t>
      </w:r>
      <w:r>
        <w:t xml:space="preserve">: 20190126.</w:t>
      </w:r>
    </w:p>
    <w:bookmarkEnd w:id="38"/>
    <w:bookmarkStart w:id="40" w:name="ref-kim_implementing_2022"/>
    <w:p>
      <w:pPr>
        <w:pStyle w:val="Bibliography"/>
      </w:pPr>
      <w:r>
        <w:rPr>
          <w:bCs/>
          <w:b/>
          <w:bCs/>
          <w:b/>
        </w:rPr>
        <w:t xml:space="preserve">Kim AY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Bareto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Calkins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Johnson DJ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Jordan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Magee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Montero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Implementing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continuous integration to reduce error rates in ecological data collection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13</w:t>
      </w:r>
      <w:r>
        <w:t xml:space="preserve">: 2572–2585.</w:t>
      </w:r>
    </w:p>
    <w:bookmarkEnd w:id="40"/>
    <w:bookmarkStart w:id="42" w:name="ref-lutz_largediameter_2021"/>
    <w:p>
      <w:pPr>
        <w:pStyle w:val="Bibliography"/>
      </w:pPr>
      <w:r>
        <w:rPr>
          <w:bCs/>
          <w:b/>
          <w:bCs/>
          <w:b/>
        </w:rPr>
        <w:t xml:space="preserve">Lutz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Struckman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Furniss TJ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Birch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Yocom LL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McAvoy DJ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Large-diameter trees, snags, and deadwood in southern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Utah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Processes</w:t>
      </w:r>
      <w:r>
        <w:t xml:space="preserve"> </w:t>
      </w:r>
      <w:r>
        <w:rPr>
          <w:bCs/>
          <w:b/>
        </w:rPr>
        <w:t xml:space="preserve">10</w:t>
      </w:r>
      <w:r>
        <w:t xml:space="preserve">: 9.</w:t>
      </w:r>
    </w:p>
    <w:bookmarkEnd w:id="42"/>
    <w:bookmarkStart w:id="44" w:name="ref-piponiot_distribution_2022"/>
    <w:p>
      <w:pPr>
        <w:pStyle w:val="Bibliography"/>
      </w:pPr>
      <w:r>
        <w:rPr>
          <w:bCs/>
          <w:b/>
          <w:bCs/>
          <w:b/>
        </w:rPr>
        <w:t xml:space="preserve">Piponiot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Burslem DFRP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Cárdenas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Chang-Yang C-H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Chuyong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Cordell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Distribution of biomass dynamics in relation to tree size in forests across the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44"/>
    <w:bookmarkStart w:id="46" w:name="ref-romijn_assessing_2015"/>
    <w:p>
      <w:pPr>
        <w:pStyle w:val="Bibliography"/>
      </w:pPr>
      <w:r>
        <w:rPr>
          <w:bCs/>
          <w:b/>
          <w:bCs/>
          <w:b/>
        </w:rPr>
        <w:t xml:space="preserve">Romijn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Lantican CB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Lindquist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Ochieng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Wijaya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Murdiyarso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Verchot L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Assessing change in national forest monitoring capacities of 99 tropical countries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352</w:t>
      </w:r>
      <w:r>
        <w:t xml:space="preserve">: 109–123.</w:t>
      </w:r>
    </w:p>
    <w:bookmarkEnd w:id="46"/>
    <w:bookmarkStart w:id="48" w:name="ref-vandepol_identifying_2016"/>
    <w:p>
      <w:pPr>
        <w:pStyle w:val="Bibliography"/>
      </w:pPr>
      <w:r>
        <w:rPr>
          <w:bCs/>
          <w:b/>
          <w:bCs/>
          <w:b/>
        </w:rPr>
        <w:t xml:space="preserve">van de Pol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McLean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Rijsdijk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Lawson CR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Brouwer L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Identifying the best climatic predictors in ecology and evolution</w:t>
        </w:r>
      </w:hyperlink>
      <w:r>
        <w:t xml:space="preserve"> </w:t>
      </w:r>
      <w:r>
        <w:t xml:space="preserve">(O Gimenez, Ed.).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7</w:t>
      </w:r>
      <w:r>
        <w:t xml:space="preserve">: 1246–1257.</w:t>
      </w:r>
    </w:p>
    <w:bookmarkEnd w:id="48"/>
    <w:bookmarkStart w:id="49" w:name="ref-wickham_rvest_2022"/>
    <w:p>
      <w:pPr>
        <w:pStyle w:val="Bibliography"/>
      </w:pPr>
      <w:r>
        <w:rPr>
          <w:bCs/>
          <w:b/>
          <w:bCs/>
          <w:b/>
        </w:rPr>
        <w:t xml:space="preserve">Wickham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RStudio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Rvest:</w:t>
      </w:r>
      <w:r>
        <w:t xml:space="preserve"> </w:t>
      </w:r>
      <w:r>
        <w:t xml:space="preserve">Easily Harvest</w:t>
      </w:r>
      <w:r>
        <w:t xml:space="preserve"> </w:t>
      </w:r>
      <w:r>
        <w:t xml:space="preserve">(</w:t>
      </w:r>
      <w:r>
        <w:t xml:space="preserve">Scrape</w:t>
      </w:r>
      <w:r>
        <w:t xml:space="preserve">)</w:t>
      </w:r>
      <w:r>
        <w:t xml:space="preserve"> </w:t>
      </w:r>
      <w:r>
        <w:t xml:space="preserve">Web Pages</w:t>
      </w:r>
      <w:r>
        <w:t xml:space="preserve">.</w:t>
      </w:r>
    </w:p>
    <w:bookmarkEnd w:id="49"/>
    <w:bookmarkEnd w:id="50"/>
    <w:bookmarkEnd w:id="51"/>
    <w:bookmarkEnd w:id="5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2024-08-16T17:28:38Z</dcterms:created>
  <dcterms:modified xsi:type="dcterms:W3CDTF">2024-08-16T17:28:38Z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