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X83ccda0c0ec1f6eb4bb5a88418c96dd78e52433"/>
    <w:p>
      <w:pPr>
        <w:pStyle w:val="Heading1"/>
      </w:pPr>
      <w:r>
        <w:t xml:space="preserve">Notes S1. Primer on forest land classification and carbon pools under IPCC guidelines</w:t>
      </w:r>
    </w:p>
    <w:bookmarkStart w:id="20" w:name="land-classification"/>
    <w:p>
      <w:pPr>
        <w:pStyle w:val="Heading2"/>
      </w:pP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20"/>
    <w:bookmarkStart w:id="24" w:name="carbon-pools"/>
    <w:p>
      <w:pPr>
        <w:pStyle w:val="Heading2"/>
      </w:pPr>
      <w:r>
        <w:t xml:space="preserve">Carbon pools</w:t>
      </w:r>
    </w:p>
    <w:p>
      <w:pPr>
        <w:pStyle w:val="FirstParagraph"/>
      </w:pPr>
      <w:r>
        <w:t xml:space="preserve">For each stratum of subdivision within a land-use category, annual stock changes (</w:t>
      </w:r>
      <m:oMath>
        <m:r>
          <m:t>Δ</m:t>
        </m:r>
        <m:r>
          <m:t>C</m:t>
        </m:r>
      </m:oMath>
      <w:r>
        <w:t xml:space="preserve">; t C yr</w:t>
      </w:r>
      <w:r>
        <w:rPr>
          <w:vertAlign w:val="superscript"/>
        </w:rPr>
        <w:t xml:space="preserve">-1</w:t>
      </w:r>
      <w:r>
        <w:t xml:space="preserve">) are calculated as the sum of changes in various pools, plus any harvested wood products.</w:t>
      </w:r>
      <w:r>
        <w:t xml:space="preserve"> </w:t>
      </w:r>
      <w:r>
        <w:t xml:space="preserve">Thus, C cycle variables relevant to the IPCC methodology and to EFDB include C stocks, net annual increments, and fluxes in the IPCC-defined pools.</w:t>
      </w:r>
    </w:p>
    <w:p>
      <w:pPr>
        <w:pStyle w:val="BodyText"/>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21" w:name="biomass"/>
    <w:p>
      <w:pPr>
        <w:pStyle w:val="Heading3"/>
      </w:pP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 IPCC, 2019)</w:t>
      </w:r>
      <w:r>
        <w:t xml:space="preserve">.</w:t>
      </w:r>
    </w:p>
    <w:bookmarkEnd w:id="21"/>
    <w:bookmarkStart w:id="22" w:name="dead-organic-matter"/>
    <w:p>
      <w:pPr>
        <w:pStyle w:val="Heading3"/>
      </w:pP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but is required for land that has transitioned to or from forest within the past 20 years</w:t>
      </w:r>
      <w:r>
        <w:t xml:space="preserve"> </w:t>
      </w:r>
      <w:r>
        <w:t xml:space="preserve">(IPCC, 2006)</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w:t>
      </w:r>
      <w:r>
        <w:t xml:space="preserve">.</w:t>
      </w:r>
    </w:p>
    <w:bookmarkEnd w:id="22"/>
    <w:bookmarkStart w:id="23" w:name="soil-organic-matter-carbon"/>
    <w:p>
      <w:pPr>
        <w:pStyle w:val="Heading3"/>
      </w:pP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23"/>
    <w:bookmarkEnd w:id="24"/>
    <w:bookmarkStart w:id="70" w:name="references"/>
    <w:p>
      <w:pPr>
        <w:pStyle w:val="Heading2"/>
      </w:pPr>
      <w:r>
        <w:t xml:space="preserve">References</w:t>
      </w:r>
    </w:p>
    <w:bookmarkStart w:id="69" w:name="refs"/>
    <w:bookmarkStart w:id="26"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2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26"/>
    <w:bookmarkStart w:id="28"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27">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28"/>
    <w:bookmarkStart w:id="30"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29">
        <w:r>
          <w:rPr>
            <w:rStyle w:val="Hyperlink"/>
          </w:rPr>
          <w:t xml:space="preserve">Coarse woody debris biomass in successional and primary temperate forests in</w:t>
        </w:r>
        <w:r>
          <w:rPr>
            <w:rStyle w:val="Hyperlink"/>
          </w:rPr>
          <w:t xml:space="preserve"> </w:t>
        </w:r>
        <w:r>
          <w:rPr>
            <w:rStyle w:val="Hyperlink"/>
          </w:rPr>
          <w:t xml:space="preserve">Chilo</w:t>
        </w:r>
        <w:r>
          <w:rPr>
            <w:rStyle w:val="Hyperlink"/>
          </w:rPr>
          <w:t xml:space="preserve">é</w:t>
        </w:r>
        <w:r>
          <w:rPr>
            <w:rStyle w:val="Hyperlink"/>
          </w:rPr>
          <w:t xml:space="preserve"> </w:t>
        </w:r>
        <w:r>
          <w:rPr>
            <w:rStyle w:val="Hyperlink"/>
          </w:rPr>
          <w:t xml:space="preserve">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30"/>
    <w:bookmarkStart w:id="32"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31">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32"/>
    <w:bookmarkStart w:id="33"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33"/>
    <w:bookmarkStart w:id="35"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34">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35"/>
    <w:bookmarkStart w:id="37"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6">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37"/>
    <w:bookmarkStart w:id="39"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38">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39"/>
    <w:bookmarkStart w:id="41"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0">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41"/>
    <w:bookmarkStart w:id="42"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42"/>
    <w:bookmarkStart w:id="4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4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44"/>
    <w:bookmarkStart w:id="46"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45">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46"/>
    <w:bookmarkStart w:id="47"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47"/>
    <w:bookmarkStart w:id="48"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48"/>
    <w:bookmarkStart w:id="49" w:name="ref-ipcc_2006_2006"/>
    <w:p>
      <w:pPr>
        <w:pStyle w:val="Bibliography"/>
      </w:pPr>
      <w:r>
        <w:rPr>
          <w:bCs/>
          <w:b/>
          <w:bCs/>
          <w:b/>
        </w:rPr>
        <w:t xml:space="preserve">IPCC</w:t>
      </w:r>
      <w:r>
        <w:t xml:space="preserve">.</w:t>
      </w:r>
      <w:r>
        <w:t xml:space="preserve"> </w:t>
      </w:r>
      <w:r>
        <w:rPr>
          <w:bCs/>
          <w:b/>
        </w:rPr>
        <w:t xml:space="preserve">2006</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49"/>
    <w:bookmarkStart w:id="50" w:name="ref-ipcc_2019_2019"/>
    <w:p>
      <w:pPr>
        <w:pStyle w:val="Bibliography"/>
      </w:pPr>
      <w:r>
        <w:rPr>
          <w:bCs/>
          <w:b/>
          <w:bCs/>
          <w:b/>
        </w:rPr>
        <w:t xml:space="preserve">IPCC</w:t>
      </w:r>
      <w:r>
        <w:t xml:space="preserve">.</w:t>
      </w:r>
      <w:r>
        <w:t xml:space="preserve"> </w:t>
      </w:r>
      <w:r>
        <w:rPr>
          <w:bCs/>
          <w:b/>
        </w:rPr>
        <w:t xml:space="preserve">2019</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50"/>
    <w:bookmarkStart w:id="52"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51">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52"/>
    <w:bookmarkStart w:id="54"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53">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54"/>
    <w:bookmarkStart w:id="55"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55"/>
    <w:bookmarkStart w:id="57"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56">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57"/>
    <w:bookmarkStart w:id="58"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58"/>
    <w:bookmarkStart w:id="60"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9">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60"/>
    <w:bookmarkStart w:id="62"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61">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62"/>
    <w:bookmarkStart w:id="64"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63">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64"/>
    <w:bookmarkStart w:id="6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6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66"/>
    <w:bookmarkStart w:id="6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6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68"/>
    <w:bookmarkEnd w:id="69"/>
    <w:bookmarkEnd w:id="70"/>
    <w:bookmarkEnd w:id="7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2688-8319.12197" TargetMode="External" /><Relationship Type="http://schemas.openxmlformats.org/officeDocument/2006/relationships/hyperlink" Id="rId51" Target="https://doi.org/10.1016/S0378-1127(01)00509-6" TargetMode="External" /><Relationship Type="http://schemas.openxmlformats.org/officeDocument/2006/relationships/hyperlink" Id="rId29" Target="https://doi.org/10.1016/S0378-1127(01)00602-8" TargetMode="External" /><Relationship Type="http://schemas.openxmlformats.org/officeDocument/2006/relationships/hyperlink" Id="rId34" Target="https://doi.org/10.1016/S0378-1127(99)00327-8" TargetMode="External" /><Relationship Type="http://schemas.openxmlformats.org/officeDocument/2006/relationships/hyperlink" Id="rId45" Target="https://doi.org/10.1038/s41558-020-00976-6" TargetMode="External" /><Relationship Type="http://schemas.openxmlformats.org/officeDocument/2006/relationships/hyperlink" Id="rId67" Target="https://doi.org/10.1073/pnas.1706103114" TargetMode="External" /><Relationship Type="http://schemas.openxmlformats.org/officeDocument/2006/relationships/hyperlink" Id="rId25" Target="https://doi.org/10.1088/1748-9326/abed01" TargetMode="External" /><Relationship Type="http://schemas.openxmlformats.org/officeDocument/2006/relationships/hyperlink" Id="rId65" Target="https://doi.org/10.1088/1748-9326/ac45b3" TargetMode="External" /><Relationship Type="http://schemas.openxmlformats.org/officeDocument/2006/relationships/hyperlink" Id="rId61" Target="https://doi.org/10.1111/2041-210X.12753" TargetMode="External" /><Relationship Type="http://schemas.openxmlformats.org/officeDocument/2006/relationships/hyperlink" Id="rId43" Target="https://doi.org/10.1111/2041-210X.13756" TargetMode="External" /><Relationship Type="http://schemas.openxmlformats.org/officeDocument/2006/relationships/hyperlink" Id="rId31" Target="https://doi.org/10.1111/gcb.12629" TargetMode="External" /><Relationship Type="http://schemas.openxmlformats.org/officeDocument/2006/relationships/hyperlink" Id="rId63" Target="https://doi.org/10.1111/gcb.14767" TargetMode="External" /><Relationship Type="http://schemas.openxmlformats.org/officeDocument/2006/relationships/hyperlink" Id="rId53" Target="https://doi.org/10.1111/geb.12747" TargetMode="External" /><Relationship Type="http://schemas.openxmlformats.org/officeDocument/2006/relationships/hyperlink" Id="rId40" Target="https://doi.org/10.1111/nph.17572" TargetMode="External" /><Relationship Type="http://schemas.openxmlformats.org/officeDocument/2006/relationships/hyperlink" Id="rId59" Target="https://doi.org/10.1111/nph.17995" TargetMode="External" /><Relationship Type="http://schemas.openxmlformats.org/officeDocument/2006/relationships/hyperlink" Id="rId56" Target="https://doi.org/10.1186/s13021-018-0095-3" TargetMode="External" /><Relationship Type="http://schemas.openxmlformats.org/officeDocument/2006/relationships/hyperlink" Id="rId38" Target="https://doi.org/10.5067/doc/ceoswgcv/lpv/agb.001" TargetMode="External" /><Relationship Type="http://schemas.openxmlformats.org/officeDocument/2006/relationships/hyperlink" Id="rId36" Target="https://doi.org/10.5194/essd-2021-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2024-03-01T00:41:47Z</dcterms:created>
  <dcterms:modified xsi:type="dcterms:W3CDTF">2024-03-01T00:41:47Z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