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bCs/>
          <w:b/>
        </w:rPr>
        <w:t xml:space="preserve">To help clarify the message, we have responded to specific concerns (detailed below) and done some reorganization and rewording to make it less verbose. Our aim has been to present an objective overview of the ForC data contributed to EFDB and the potential for future submissions to improve EFDB data volume and composition.</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bCs/>
          <w:b/>
        </w:rPr>
        <w:t xml:space="preserve">We have added a sentence detailing some of the reasons for rejection:</w:t>
      </w:r>
      <w:r>
        <w:rPr>
          <w:bCs/>
          <w:b/>
        </w:rPr>
        <w:t xml:space="preserve"> </w:t>
      </w:r>
      <w:r>
        <w:rPr>
          <w:bCs/>
          <w:b/>
        </w:rPr>
        <w:t xml:space="preserve">“</w:t>
      </w:r>
      <w:r>
        <w:rPr>
          <w:bCs/>
          <w:b/>
        </w:rPr>
        <w:t xml:space="preserve">Reasons included – but were not limited to – non-applicability to the IPCC methodology of the variable submitted (e.g., net ecosystem CO</w:t>
      </w:r>
      <w:r>
        <w:rPr>
          <w:vertAlign w:val="subscript"/>
          <w:bCs/>
          <w:b/>
        </w:rPr>
        <w:t xml:space="preserve">2</w:t>
      </w:r>
      <w:r>
        <w:rPr>
          <w:bCs/>
          <w:b/>
        </w:rPr>
        <w:t xml:space="preserve"> </w:t>
      </w:r>
      <w:r>
        <w:rPr>
          <w:bCs/>
          <w:b/>
        </w:rP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rPr>
          <w:bCs/>
          <w:b/>
        </w:rPr>
        <w:t xml:space="preserve">”</w:t>
      </w:r>
      <w:r>
        <w:rPr>
          <w:bCs/>
          <w:b/>
        </w:rPr>
        <w:t xml:space="preserve">moderately”/</w:t>
      </w:r>
      <w:r>
        <w:rPr>
          <w:bCs/>
          <w:b/>
        </w:rPr>
        <w:t xml:space="preserve"> </w:t>
      </w:r>
      <w:r>
        <w:rPr>
          <w:bCs/>
          <w:b/>
        </w:rPr>
        <w:t xml:space="preserve">“</w:t>
      </w:r>
      <w:r>
        <w:rPr>
          <w:bCs/>
          <w:b/>
        </w:rPr>
        <w:t xml:space="preserve">severely</w:t>
      </w:r>
      <w:r>
        <w:rPr>
          <w:bCs/>
          <w:b/>
        </w:rPr>
        <w:t xml:space="preserve">”</w:t>
      </w:r>
      <w:r>
        <w:rPr>
          <w:bCs/>
          <w:b/>
        </w:rPr>
        <w:t xml:space="preserve"> </w:t>
      </w:r>
      <w:r>
        <w:rPr>
          <w:bCs/>
          <w:b/>
        </w:rPr>
        <w:t xml:space="preserve">burned).” We also note that the authors of this study were not privy to the discussions of the review panel and do not have detailed information on all reasons for rejection of each record.</w:t>
      </w:r>
    </w:p>
    <w:p>
      <w:pPr>
        <w:pStyle w:val="BodyText"/>
      </w:pPr>
      <w:r>
        <w:rPr>
          <w:bCs/>
          <w:b/>
        </w:rPr>
        <w:t xml:space="preserve">In addition, we have reworded and reorganized this paragraph (and the following) to make it less verbose.</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mirroring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covered all forested climates with substantial land area except the colder boreal regions (boreal tundra woodland; Figs. 2, 3) and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(3rd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bCs/>
          <w:b/>
        </w:rPr>
        <w:t xml:space="preserve">We believe that the changes to the results section and figures now convincingly demonstrate the claims in the discussion.</w:t>
      </w:r>
    </w:p>
    <w:p>
      <w:pPr>
        <w:pStyle w:val="BodyText"/>
      </w:pPr>
      <w:r>
        <w:rPr>
          <w:iCs/>
          <w:i/>
        </w:rPr>
        <w:t xml:space="preserve">(VERBOSITY CRITICISM 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This sentence has been reworded.</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3"/>
    <w:bookmarkStart w:id="28" w:name="references"/>
    <w:p>
      <w:pPr>
        <w:pStyle w:val="Heading1"/>
      </w:pPr>
      <w:r>
        <w:t xml:space="preserve">References</w:t>
      </w:r>
    </w:p>
    <w:bookmarkStart w:id="27" w:name="refs"/>
    <w:bookmarkStart w:id="2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4"/>
    <w:bookmarkStart w:id="25"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5"/>
    <w:bookmarkStart w:id="26"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2024-08-06T19:41:15Z</dcterms:created>
  <dcterms:modified xsi:type="dcterms:W3CDTF">2024-08-06T19:41:15Z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