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bCs/>
          <w:b/>
        </w:rPr>
        <w:t xml:space="preserve">We believe that the responses to specific concerns (detailed below) help to clarify the message. This section is intended as a straightforward, objective assessment of the data available through ForC and submitted to EFDB.</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w:t>
      </w:r>
    </w:p>
    <w:p>
      <w:pPr>
        <w:pStyle w:val="BodyText"/>
      </w:pPr>
      <w:r>
        <w:rPr>
          <w:bCs/>
          <w:b/>
        </w:rPr>
        <w:t xml:space="preserve">We also note that the authors of this study were not privy to the discussions of the review panel and do not have detailed information on all reasons for rejection of each record.</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made some of the suggested revisions (detailed below) to improve the assessment of data representativeness and consider this to be an important improvement. At the same time, we also wish to emphasize that the goal of this paper was to document the process and provide an overview of the types of data submitted, as opposed to submitting data that adequately represents all forest types and documenting their representativeness. The latter – to the extent that it would even be possible – would be a massive project far beyond the scope of this paper. Therefore, while improving the assessment of data representativeness, we believe it would be overkill to analyze all aspects of representativeness.</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mirroring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covered all forested climates with substantial land area except the colder boreal regions (boreal tundra woodland; Figs. 2, 3) and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(3rd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bCs/>
          <w:b/>
        </w:rPr>
        <w:t xml:space="preserve">We believe that the changes to the results section and figures now convincingly demonstrate the claims in the discussion.</w:t>
      </w:r>
    </w:p>
    <w:p>
      <w:pPr>
        <w:pStyle w:val="BodyText"/>
      </w:pPr>
      <w:r>
        <w:rPr>
          <w:iCs/>
          <w:i/>
        </w:rPr>
        <w:t xml:space="preserve">(VERBOSITY CRITICISM 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3"/>
    <w:bookmarkStart w:id="28" w:name="references"/>
    <w:p>
      <w:pPr>
        <w:pStyle w:val="Heading1"/>
      </w:pPr>
      <w:r>
        <w:t xml:space="preserve">References</w:t>
      </w:r>
    </w:p>
    <w:bookmarkStart w:id="27" w:name="refs"/>
    <w:bookmarkStart w:id="2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4"/>
    <w:bookmarkStart w:id="25"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5"/>
    <w:bookmarkStart w:id="26"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2024-08-05T22:14:14Z</dcterms:created>
  <dcterms:modified xsi:type="dcterms:W3CDTF">2024-08-05T22:14:14Z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