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Highlights</w:t>
      </w:r>
    </w:p>
    <w:p>
      <w:pPr>
        <w:pStyle w:val="ListBullet"/>
        <w:spacing w:after="120"/>
      </w:pPr>
      <w:r>
        <w:rPr>
          <w:rFonts w:ascii="Times New Roman" w:hAnsi="Times New Roman"/>
          <w:sz w:val="22"/>
        </w:rPr>
        <w:t>A 61-day farm deployment recorded 209,000 access decisions</w:t>
      </w:r>
    </w:p>
    <w:p>
      <w:pPr>
        <w:pStyle w:val="ListBullet"/>
        <w:spacing w:after="120"/>
      </w:pPr>
      <w:r>
        <w:rPr>
          <w:rFonts w:ascii="Times New Roman" w:hAnsi="Times New Roman"/>
          <w:sz w:val="22"/>
        </w:rPr>
        <w:t>Counterbalanced tests linked more configured peers with lower write latency</w:t>
      </w:r>
    </w:p>
    <w:p>
      <w:pPr>
        <w:pStyle w:val="ListBullet"/>
        <w:spacing w:after="120"/>
      </w:pPr>
      <w:r>
        <w:rPr>
          <w:rFonts w:ascii="Times New Roman" w:hAnsi="Times New Roman"/>
          <w:sz w:val="22"/>
        </w:rPr>
        <w:t>Access control reduced tested throughput by 9.6% on average</w:t>
      </w:r>
    </w:p>
    <w:p>
      <w:pPr>
        <w:pStyle w:val="ListBullet"/>
        <w:spacing w:after="120"/>
      </w:pPr>
      <w:r>
        <w:rPr>
          <w:rFonts w:ascii="Times New Roman" w:hAnsi="Times New Roman"/>
          <w:sz w:val="22"/>
        </w:rPr>
        <w:t>A code audit exposed policy, residue, signature and revocation defects</w:t>
      </w:r>
    </w:p>
    <w:p>
      <w:pPr>
        <w:pStyle w:val="ListBullet"/>
        <w:spacing w:after="120"/>
      </w:pPr>
      <w:r>
        <w:rPr>
          <w:rFonts w:ascii="Times New Roman" w:hAnsi="Times New Roman"/>
          <w:sz w:val="22"/>
        </w:rPr>
        <w:t>Released data and code support independent reproduction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Forcha Glen Beloa and co-authors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