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20F8" w14:textId="77777777" w:rsidR="00153AC3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CRT Paper — Detailed Revision Plan</w:t>
      </w:r>
    </w:p>
    <w:p w14:paraId="0050A6C9" w14:textId="77777777" w:rsidR="00153AC3" w:rsidRDefault="00000000">
      <w:pPr>
        <w:spacing w:after="40"/>
      </w:pPr>
      <w:r>
        <w:rPr>
          <w:i/>
          <w:iCs/>
          <w:color w:val="555555"/>
          <w:sz w:val="22"/>
          <w:szCs w:val="22"/>
        </w:rPr>
        <w:t>Blockchain-IoT Framework with CRT-Based Parallel Transmission (Sfax deployment)</w:t>
      </w:r>
    </w:p>
    <w:p w14:paraId="311B1495" w14:textId="77777777" w:rsidR="00153AC3" w:rsidRDefault="00000000">
      <w:pPr>
        <w:spacing w:after="240"/>
      </w:pPr>
      <w:r>
        <w:rPr>
          <w:color w:val="555555"/>
          <w:sz w:val="20"/>
          <w:szCs w:val="20"/>
        </w:rPr>
        <w:t>Response to Reviewers 1–4 + internal consistency errors. Work top to bottom: Part 1 (internal errors) and Part 2 (the five structural fixes) must be done before everything else.</w:t>
      </w:r>
    </w:p>
    <w:p w14:paraId="76F16E5F" w14:textId="77777777" w:rsidR="00153AC3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How to use this document</w:t>
      </w:r>
    </w:p>
    <w:p w14:paraId="27241D5C" w14:textId="77777777" w:rsidR="00153AC3" w:rsidRDefault="00000000">
      <w:pPr>
        <w:spacing w:after="120" w:line="276" w:lineRule="auto"/>
      </w:pPr>
      <w:r>
        <w:rPr>
          <w:color w:val="1A1A1A"/>
        </w:rPr>
        <w:t xml:space="preserve">Each item gives you the exact location, the problem, and the specific text or change to make. </w:t>
      </w:r>
      <w:r>
        <w:rPr>
          <w:b/>
          <w:bCs/>
          <w:color w:val="1A1A1A"/>
        </w:rPr>
        <w:t>Boxes in blue contain text you can adapt directly into the manuscript</w:t>
      </w:r>
      <w:r>
        <w:rPr>
          <w:color w:val="1A1A1A"/>
        </w:rPr>
        <w:t xml:space="preserve"> — replace any bracketed [VALUE] with your real measured number.</w:t>
      </w:r>
    </w:p>
    <w:p w14:paraId="2F872D29" w14:textId="77777777" w:rsidR="00153AC3" w:rsidRDefault="00000000">
      <w:pPr>
        <w:spacing w:after="120" w:line="276" w:lineRule="auto"/>
      </w:pPr>
      <w:r>
        <w:rPr>
          <w:b/>
          <w:bCs/>
          <w:color w:val="1A1A1A"/>
        </w:rPr>
        <w:t>Do the work in this order:</w:t>
      </w:r>
    </w:p>
    <w:p w14:paraId="6FDC5675" w14:textId="77777777" w:rsidR="00153AC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C00000"/>
        </w:rPr>
        <w:t xml:space="preserve">First: </w:t>
      </w:r>
      <w:r>
        <w:rPr>
          <w:color w:val="1A1A1A"/>
        </w:rPr>
        <w:t xml:space="preserve">Fix the internal errors (Part </w:t>
      </w:r>
      <w:proofErr w:type="gramStart"/>
      <w:r>
        <w:rPr>
          <w:color w:val="1A1A1A"/>
        </w:rPr>
        <w:t>1) —</w:t>
      </w:r>
      <w:proofErr w:type="gramEnd"/>
      <w:r>
        <w:rPr>
          <w:color w:val="1A1A1A"/>
        </w:rPr>
        <w:t xml:space="preserve"> these are factual and fast.</w:t>
      </w:r>
    </w:p>
    <w:p w14:paraId="72EDBB2A" w14:textId="77777777" w:rsidR="00153AC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BF8F00"/>
        </w:rPr>
        <w:t xml:space="preserve">Second: </w:t>
      </w:r>
      <w:r>
        <w:rPr>
          <w:color w:val="1A1A1A"/>
        </w:rPr>
        <w:t xml:space="preserve">Fix the five structural issues (Part </w:t>
      </w:r>
      <w:proofErr w:type="gramStart"/>
      <w:r>
        <w:rPr>
          <w:color w:val="1A1A1A"/>
        </w:rPr>
        <w:t>2) —</w:t>
      </w:r>
      <w:proofErr w:type="gramEnd"/>
      <w:r>
        <w:rPr>
          <w:color w:val="1A1A1A"/>
        </w:rPr>
        <w:t xml:space="preserve"> these are what put the paper at risk of rejection.</w:t>
      </w:r>
    </w:p>
    <w:p w14:paraId="2532336B" w14:textId="77777777" w:rsidR="00153AC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375623"/>
        </w:rPr>
        <w:t xml:space="preserve">Third: </w:t>
      </w:r>
      <w:r>
        <w:rPr>
          <w:color w:val="1A1A1A"/>
        </w:rPr>
        <w:t>Work through the per-reviewer additions (Part 3) — most are 1–2 paragraph additions.</w:t>
      </w:r>
    </w:p>
    <w:p w14:paraId="11EB5EC6" w14:textId="77777777" w:rsidR="00153AC3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E75B6"/>
        </w:rPr>
        <w:t xml:space="preserve">Last: </w:t>
      </w:r>
      <w:r>
        <w:rPr>
          <w:color w:val="1A1A1A"/>
        </w:rPr>
        <w:t xml:space="preserve">Write </w:t>
      </w:r>
      <w:proofErr w:type="gramStart"/>
      <w:r>
        <w:rPr>
          <w:color w:val="1A1A1A"/>
        </w:rPr>
        <w:t>the</w:t>
      </w:r>
      <w:proofErr w:type="gramEnd"/>
      <w:r>
        <w:rPr>
          <w:color w:val="1A1A1A"/>
        </w:rPr>
        <w:t xml:space="preserve"> response letter (Part </w:t>
      </w:r>
      <w:proofErr w:type="gramStart"/>
      <w:r>
        <w:rPr>
          <w:color w:val="1A1A1A"/>
        </w:rPr>
        <w:t>4) —</w:t>
      </w:r>
      <w:proofErr w:type="gramEnd"/>
      <w:r>
        <w:rPr>
          <w:color w:val="1A1A1A"/>
        </w:rPr>
        <w:t xml:space="preserve"> map each reviewer point to your change.</w:t>
      </w:r>
    </w:p>
    <w:p w14:paraId="0D9F8FAD" w14:textId="77777777" w:rsidR="00153AC3" w:rsidRDefault="00153AC3">
      <w:pPr>
        <w:pageBreakBefore/>
      </w:pPr>
    </w:p>
    <w:p w14:paraId="3D5786BC" w14:textId="77777777" w:rsidR="00153AC3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Part 1 — Internal errors (fix these first)</w:t>
      </w:r>
    </w:p>
    <w:p w14:paraId="61D8BE8D" w14:textId="77777777" w:rsidR="00153AC3" w:rsidRDefault="00000000">
      <w:pPr>
        <w:spacing w:after="120" w:line="276" w:lineRule="auto"/>
      </w:pPr>
      <w:r>
        <w:rPr>
          <w:color w:val="1A1A1A"/>
        </w:rPr>
        <w:t xml:space="preserve">These are factual inconsistencies a reviewer or </w:t>
      </w:r>
      <w:proofErr w:type="gramStart"/>
      <w:r>
        <w:rPr>
          <w:color w:val="1A1A1A"/>
        </w:rPr>
        <w:t>copy-editor</w:t>
      </w:r>
      <w:proofErr w:type="gramEnd"/>
      <w:r>
        <w:rPr>
          <w:color w:val="1A1A1A"/>
        </w:rPr>
        <w:t xml:space="preserve"> will catch immediately. None requires new experiments — only correction.</w:t>
      </w:r>
    </w:p>
    <w:p w14:paraId="53130269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C00000"/>
          <w:sz w:val="25"/>
          <w:szCs w:val="25"/>
        </w:rPr>
        <w:t>1.1  Battery</w:t>
      </w:r>
      <w:proofErr w:type="gramEnd"/>
      <w:r>
        <w:rPr>
          <w:b/>
          <w:bCs/>
          <w:color w:val="C00000"/>
          <w:sz w:val="25"/>
          <w:szCs w:val="25"/>
        </w:rPr>
        <w:t xml:space="preserve"> capacity is wrong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940"/>
      </w:tblGrid>
      <w:tr w:rsidR="00153AC3" w14:paraId="29EE64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B505229" w14:textId="77777777" w:rsidR="00153AC3" w:rsidRDefault="00000000">
            <w:r>
              <w:rPr>
                <w:b/>
                <w:bCs/>
                <w:color w:val="333333"/>
                <w:sz w:val="19"/>
                <w:szCs w:val="19"/>
              </w:rPr>
              <w:t>Location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CA477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Figure 4 (node label) and Table 2 (Sensor node specifications)</w:t>
            </w:r>
          </w:p>
        </w:tc>
      </w:tr>
      <w:tr w:rsidR="00153AC3" w14:paraId="6D85FC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994C18E" w14:textId="77777777" w:rsidR="00153AC3" w:rsidRDefault="00000000">
            <w:r>
              <w:rPr>
                <w:b/>
                <w:bCs/>
                <w:color w:val="C00000"/>
                <w:sz w:val="19"/>
                <w:szCs w:val="19"/>
              </w:rPr>
              <w:t>Problem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224E1" w14:textId="77777777" w:rsidR="00153AC3" w:rsidRDefault="00000000">
            <w:pPr>
              <w:spacing w:after="60" w:line="264" w:lineRule="auto"/>
            </w:pPr>
            <w:r>
              <w:rPr>
                <w:color w:val="1A1A1A"/>
                <w:sz w:val="20"/>
                <w:szCs w:val="20"/>
              </w:rPr>
              <w:t xml:space="preserve">The paper states the 18650 cell is 3400 </w:t>
            </w:r>
            <w:proofErr w:type="spellStart"/>
            <w:r>
              <w:rPr>
                <w:color w:val="1A1A1A"/>
                <w:sz w:val="20"/>
                <w:szCs w:val="20"/>
              </w:rPr>
              <w:t>mAh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  <w:p w14:paraId="0ADD7960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 xml:space="preserve">Your HRBAC manuscript — same deployment, same cell — specifies 2,600 </w:t>
            </w:r>
            <w:proofErr w:type="spellStart"/>
            <w:r>
              <w:rPr>
                <w:color w:val="1A1A1A"/>
                <w:sz w:val="20"/>
                <w:szCs w:val="20"/>
              </w:rPr>
              <w:t>mAh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3.7 V / 9.62 Wh. The two papers must agree.</w:t>
            </w:r>
          </w:p>
        </w:tc>
      </w:tr>
      <w:tr w:rsidR="00153AC3" w14:paraId="635726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83DC696" w14:textId="77777777" w:rsidR="00153AC3" w:rsidRDefault="00000000">
            <w:r>
              <w:rPr>
                <w:b/>
                <w:bCs/>
                <w:color w:val="375623"/>
                <w:sz w:val="19"/>
                <w:szCs w:val="19"/>
              </w:rPr>
              <w:t>What to do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83FF0" w14:textId="77777777" w:rsidR="00153AC3" w:rsidRDefault="00000000">
            <w:pPr>
              <w:spacing w:after="60" w:line="264" w:lineRule="auto"/>
            </w:pPr>
            <w:r>
              <w:rPr>
                <w:color w:val="1A1A1A"/>
                <w:sz w:val="20"/>
                <w:szCs w:val="20"/>
              </w:rPr>
              <w:t xml:space="preserve">Change 3400mAh to 2,600 </w:t>
            </w:r>
            <w:proofErr w:type="spellStart"/>
            <w:r>
              <w:rPr>
                <w:color w:val="1A1A1A"/>
                <w:sz w:val="20"/>
                <w:szCs w:val="20"/>
              </w:rPr>
              <w:t>mAh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both Figure 4 and Table 2.</w:t>
            </w:r>
          </w:p>
          <w:p w14:paraId="42B98CB0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Reviewer 4 (comment 9) quotes this exact spec, so the wrong number is already visible to a reviewer.</w:t>
            </w:r>
          </w:p>
        </w:tc>
      </w:tr>
    </w:tbl>
    <w:p w14:paraId="215DE8C6" w14:textId="77777777" w:rsidR="00153AC3" w:rsidRDefault="00153AC3">
      <w:pPr>
        <w:spacing w:after="120"/>
      </w:pPr>
    </w:p>
    <w:p w14:paraId="2AB7BD49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C00000"/>
          <w:sz w:val="25"/>
          <w:szCs w:val="25"/>
        </w:rPr>
        <w:t>1.2  Battery</w:t>
      </w:r>
      <w:proofErr w:type="gramEnd"/>
      <w:r>
        <w:rPr>
          <w:b/>
          <w:bCs/>
          <w:color w:val="C00000"/>
          <w:sz w:val="25"/>
          <w:szCs w:val="25"/>
        </w:rPr>
        <w:t xml:space="preserve"> life contradicts itself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940"/>
      </w:tblGrid>
      <w:tr w:rsidR="00153AC3" w14:paraId="44503B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5E56CB0" w14:textId="77777777" w:rsidR="00153AC3" w:rsidRDefault="00000000">
            <w:r>
              <w:rPr>
                <w:b/>
                <w:bCs/>
                <w:color w:val="333333"/>
                <w:sz w:val="19"/>
                <w:szCs w:val="19"/>
              </w:rPr>
              <w:t>Location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78D9B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Table 6 vs Table 16</w:t>
            </w:r>
          </w:p>
        </w:tc>
      </w:tr>
      <w:tr w:rsidR="00153AC3" w14:paraId="55E8E9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5147A5A" w14:textId="77777777" w:rsidR="00153AC3" w:rsidRDefault="00000000">
            <w:r>
              <w:rPr>
                <w:b/>
                <w:bCs/>
                <w:color w:val="C00000"/>
                <w:sz w:val="19"/>
                <w:szCs w:val="19"/>
              </w:rPr>
              <w:t>Problem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6A0F8" w14:textId="77777777" w:rsidR="00153AC3" w:rsidRDefault="00000000">
            <w:pPr>
              <w:spacing w:after="60" w:line="264" w:lineRule="auto"/>
            </w:pPr>
            <w:r>
              <w:rPr>
                <w:color w:val="1A1A1A"/>
                <w:sz w:val="20"/>
                <w:szCs w:val="20"/>
              </w:rPr>
              <w:t>Table 6: Theoretical 34 days, Measured 31.2 days.</w:t>
            </w:r>
          </w:p>
          <w:p w14:paraId="4C7A0E81" w14:textId="77777777" w:rsidR="00153AC3" w:rsidRDefault="00000000">
            <w:pPr>
              <w:spacing w:after="60" w:line="264" w:lineRule="auto"/>
            </w:pPr>
            <w:r>
              <w:rPr>
                <w:color w:val="1A1A1A"/>
                <w:sz w:val="20"/>
                <w:szCs w:val="20"/>
              </w:rPr>
              <w:t>Table 16: Target 30 days, Actual 34 days.</w:t>
            </w:r>
          </w:p>
          <w:p w14:paraId="018B3E7D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The measured field value cannot be both 31.2 and 34 days.</w:t>
            </w:r>
          </w:p>
        </w:tc>
      </w:tr>
      <w:tr w:rsidR="00153AC3" w14:paraId="670457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35E0D47" w14:textId="77777777" w:rsidR="00153AC3" w:rsidRDefault="00000000">
            <w:r>
              <w:rPr>
                <w:b/>
                <w:bCs/>
                <w:color w:val="375623"/>
                <w:sz w:val="19"/>
                <w:szCs w:val="19"/>
              </w:rPr>
              <w:t>What to do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03DC0" w14:textId="77777777" w:rsidR="00153AC3" w:rsidRDefault="00000000">
            <w:pPr>
              <w:spacing w:after="60" w:line="264" w:lineRule="auto"/>
            </w:pPr>
            <w:r>
              <w:rPr>
                <w:color w:val="1A1A1A"/>
                <w:sz w:val="20"/>
                <w:szCs w:val="20"/>
              </w:rPr>
              <w:t xml:space="preserve">Decide which is the real measured figure. If 31.2 days is measured, set Table 16 Actual = 31.2 days. If 34 days </w:t>
            </w:r>
            <w:proofErr w:type="gramStart"/>
            <w:r>
              <w:rPr>
                <w:color w:val="1A1A1A"/>
                <w:sz w:val="20"/>
                <w:szCs w:val="20"/>
              </w:rPr>
              <w:t>is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measured, set Table 6 Measured = 34 days.</w:t>
            </w:r>
          </w:p>
          <w:p w14:paraId="17BDCA3D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Use that one number everywhere, including your reply to Reviewer 4.</w:t>
            </w:r>
          </w:p>
        </w:tc>
      </w:tr>
    </w:tbl>
    <w:p w14:paraId="2CA4A007" w14:textId="77777777" w:rsidR="00153AC3" w:rsidRDefault="00153AC3">
      <w:pPr>
        <w:spacing w:after="120"/>
      </w:pPr>
    </w:p>
    <w:p w14:paraId="429C0303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C00000"/>
          <w:sz w:val="25"/>
          <w:szCs w:val="25"/>
        </w:rPr>
        <w:t>1.3  Deployment</w:t>
      </w:r>
      <w:proofErr w:type="gramEnd"/>
      <w:r>
        <w:rPr>
          <w:b/>
          <w:bCs/>
          <w:color w:val="C00000"/>
          <w:sz w:val="25"/>
          <w:szCs w:val="25"/>
        </w:rPr>
        <w:t xml:space="preserve"> year wrong in abstract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940"/>
      </w:tblGrid>
      <w:tr w:rsidR="00153AC3" w14:paraId="4E91D2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62C5517" w14:textId="77777777" w:rsidR="00153AC3" w:rsidRDefault="00000000">
            <w:r>
              <w:rPr>
                <w:b/>
                <w:bCs/>
                <w:color w:val="333333"/>
                <w:sz w:val="19"/>
                <w:szCs w:val="19"/>
              </w:rPr>
              <w:t>Location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94CBE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Abstract</w:t>
            </w:r>
          </w:p>
        </w:tc>
      </w:tr>
      <w:tr w:rsidR="00153AC3" w14:paraId="388380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B41171A" w14:textId="77777777" w:rsidR="00153AC3" w:rsidRDefault="00000000">
            <w:r>
              <w:rPr>
                <w:b/>
                <w:bCs/>
                <w:color w:val="C00000"/>
                <w:sz w:val="19"/>
                <w:szCs w:val="19"/>
              </w:rPr>
              <w:t>Problem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012F2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 xml:space="preserve">Abstract </w:t>
            </w:r>
            <w:proofErr w:type="gramStart"/>
            <w:r>
              <w:rPr>
                <w:color w:val="1A1A1A"/>
                <w:sz w:val="20"/>
                <w:szCs w:val="20"/>
              </w:rPr>
              <w:t>says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"August and September 2024". Sections 4.1, Table 12 and Table 13 all say 2025.</w:t>
            </w:r>
          </w:p>
        </w:tc>
      </w:tr>
      <w:tr w:rsidR="00153AC3" w14:paraId="6C2AB1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7F38BE8" w14:textId="77777777" w:rsidR="00153AC3" w:rsidRDefault="00000000">
            <w:r>
              <w:rPr>
                <w:b/>
                <w:bCs/>
                <w:color w:val="375623"/>
                <w:sz w:val="19"/>
                <w:szCs w:val="19"/>
              </w:rPr>
              <w:t>What to do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B1328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Change the abstract to "August and September 2025" so the whole paper agrees.</w:t>
            </w:r>
          </w:p>
        </w:tc>
      </w:tr>
    </w:tbl>
    <w:p w14:paraId="3CDA49C2" w14:textId="77777777" w:rsidR="00153AC3" w:rsidRDefault="00153AC3">
      <w:pPr>
        <w:spacing w:after="120"/>
      </w:pPr>
    </w:p>
    <w:p w14:paraId="1D4C5A3D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BF8F00"/>
          <w:sz w:val="25"/>
          <w:szCs w:val="25"/>
        </w:rPr>
        <w:t>1.4  250</w:t>
      </w:r>
      <w:proofErr w:type="gramEnd"/>
      <w:r>
        <w:rPr>
          <w:b/>
          <w:bCs/>
          <w:color w:val="BF8F00"/>
          <w:sz w:val="25"/>
          <w:szCs w:val="25"/>
        </w:rPr>
        <w:t xml:space="preserve"> TPS contradicts the field result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8621"/>
      </w:tblGrid>
      <w:tr w:rsidR="00153AC3" w14:paraId="5B253B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52EA9EF" w14:textId="77777777" w:rsidR="00153AC3" w:rsidRDefault="00000000">
            <w:r>
              <w:rPr>
                <w:b/>
                <w:bCs/>
                <w:color w:val="333333"/>
                <w:sz w:val="19"/>
                <w:szCs w:val="19"/>
              </w:rPr>
              <w:t>Location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9EC26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Section 3.7.4 (Performance Optimization, Batch Processing bullet)</w:t>
            </w:r>
          </w:p>
        </w:tc>
      </w:tr>
      <w:tr w:rsidR="00153AC3" w14:paraId="7A79B9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E714B2D" w14:textId="77777777" w:rsidR="00153AC3" w:rsidRDefault="00000000">
            <w:r>
              <w:rPr>
                <w:b/>
                <w:bCs/>
                <w:color w:val="C00000"/>
                <w:sz w:val="19"/>
                <w:szCs w:val="19"/>
              </w:rPr>
              <w:t>Problem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DD9D0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States throughput improves "to 250 TPS". Your measured sustained throughput is 63 TPS (Section 3.6.2, Table 16).</w:t>
            </w:r>
          </w:p>
        </w:tc>
      </w:tr>
      <w:tr w:rsidR="00153AC3" w14:paraId="1F82BE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AD16BBC" w14:textId="77777777" w:rsidR="00153AC3" w:rsidRDefault="00000000">
            <w:r>
              <w:rPr>
                <w:b/>
                <w:bCs/>
                <w:color w:val="375623"/>
                <w:sz w:val="19"/>
                <w:szCs w:val="19"/>
              </w:rPr>
              <w:t>What to do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EE6A3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Keep the number but label it as a theoretical ceiling, not a field result.</w:t>
            </w:r>
          </w:p>
        </w:tc>
      </w:tr>
      <w:tr w:rsidR="00153AC3" w14:paraId="769A5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DE922A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Replace the 250 TPS sentence with:</w:t>
            </w:r>
          </w:p>
        </w:tc>
      </w:tr>
      <w:tr w:rsidR="00153AC3" w14:paraId="460304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F48A8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lastRenderedPageBreak/>
              <w:t>Batch processing (50 transactions per block) raises the peak theoretical ordering throughput to approximately 250 TPS under ideal single-client load; the sustained throughput measured during field deployment was 63 TPS (Table 16), with peaks of 85 TPS.</w:t>
            </w:r>
          </w:p>
        </w:tc>
      </w:tr>
    </w:tbl>
    <w:p w14:paraId="7CD4BB9F" w14:textId="77777777" w:rsidR="00153AC3" w:rsidRDefault="00153AC3">
      <w:pPr>
        <w:spacing w:after="120"/>
      </w:pPr>
    </w:p>
    <w:p w14:paraId="082EB2A2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BF8F00"/>
          <w:sz w:val="25"/>
          <w:szCs w:val="25"/>
        </w:rPr>
        <w:t>1.5  95.8</w:t>
      </w:r>
      <w:proofErr w:type="gramEnd"/>
      <w:r>
        <w:rPr>
          <w:b/>
          <w:bCs/>
          <w:color w:val="BF8F00"/>
          <w:sz w:val="25"/>
          <w:szCs w:val="25"/>
        </w:rPr>
        <w:t>% vs 99.4% looks contradictory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8635"/>
      </w:tblGrid>
      <w:tr w:rsidR="00153AC3" w14:paraId="6C4720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287ABAD" w14:textId="77777777" w:rsidR="00153AC3" w:rsidRDefault="00000000">
            <w:r>
              <w:rPr>
                <w:b/>
                <w:bCs/>
                <w:color w:val="333333"/>
                <w:sz w:val="19"/>
                <w:szCs w:val="19"/>
              </w:rPr>
              <w:t>Location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1AF84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Table 6 (95.8% packet delivery) vs Table 16 (99.4% reliability)</w:t>
            </w:r>
          </w:p>
        </w:tc>
      </w:tr>
      <w:tr w:rsidR="00153AC3" w14:paraId="4C4E3F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FA7DC1C" w14:textId="77777777" w:rsidR="00153AC3" w:rsidRDefault="00000000">
            <w:r>
              <w:rPr>
                <w:b/>
                <w:bCs/>
                <w:color w:val="C00000"/>
                <w:sz w:val="19"/>
                <w:szCs w:val="19"/>
              </w:rPr>
              <w:t>Problem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42DCF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 xml:space="preserve">The two numbers measure different </w:t>
            </w:r>
            <w:proofErr w:type="gramStart"/>
            <w:r>
              <w:rPr>
                <w:color w:val="1A1A1A"/>
                <w:sz w:val="20"/>
                <w:szCs w:val="20"/>
              </w:rPr>
              <w:t>layers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but the paper never says so, so they read as a contradiction.</w:t>
            </w:r>
          </w:p>
        </w:tc>
      </w:tr>
      <w:tr w:rsidR="00153AC3" w14:paraId="755359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0F95B98" w14:textId="77777777" w:rsidR="00153AC3" w:rsidRDefault="00000000">
            <w:r>
              <w:rPr>
                <w:b/>
                <w:bCs/>
                <w:color w:val="375623"/>
                <w:sz w:val="19"/>
                <w:szCs w:val="19"/>
              </w:rPr>
              <w:t>What to do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BC723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Add one clarifying sentence in Section 5.1 right after you report 99.4%.</w:t>
            </w:r>
          </w:p>
        </w:tc>
      </w:tr>
      <w:tr w:rsidR="00153AC3" w14:paraId="7C574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9821D9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5.1:</w:t>
            </w:r>
          </w:p>
        </w:tc>
      </w:tr>
      <w:tr w:rsidR="00153AC3" w14:paraId="56512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A418A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The 95.8% figure in Table 6 is the raw LoRa packet delivery rate at the radio layer. End-to-end data reliability reached 99.4% (Table 16) after CRT partial recovery from single lost residues and gateway-level retransmission of incomplete readings.</w:t>
            </w:r>
          </w:p>
        </w:tc>
      </w:tr>
    </w:tbl>
    <w:p w14:paraId="017A3C57" w14:textId="77777777" w:rsidR="00153AC3" w:rsidRDefault="00153AC3">
      <w:pPr>
        <w:spacing w:after="120"/>
      </w:pPr>
    </w:p>
    <w:p w14:paraId="49698EA0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BF8F00"/>
          <w:sz w:val="25"/>
          <w:szCs w:val="25"/>
        </w:rPr>
        <w:t>1.6  Reference</w:t>
      </w:r>
      <w:proofErr w:type="gramEnd"/>
      <w:r>
        <w:rPr>
          <w:b/>
          <w:bCs/>
          <w:color w:val="BF8F00"/>
          <w:sz w:val="25"/>
          <w:szCs w:val="25"/>
        </w:rPr>
        <w:t xml:space="preserve"> [76] used for the wrong thing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940"/>
      </w:tblGrid>
      <w:tr w:rsidR="00153AC3" w14:paraId="266B4C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19172BB" w14:textId="77777777" w:rsidR="00153AC3" w:rsidRDefault="00000000">
            <w:r>
              <w:rPr>
                <w:b/>
                <w:bCs/>
                <w:color w:val="333333"/>
                <w:sz w:val="19"/>
                <w:szCs w:val="19"/>
              </w:rPr>
              <w:t>Location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B56BB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Throughout Section 3.6</w:t>
            </w:r>
          </w:p>
        </w:tc>
      </w:tr>
      <w:tr w:rsidR="00153AC3" w14:paraId="02D228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D58367E" w14:textId="77777777" w:rsidR="00153AC3" w:rsidRDefault="00000000">
            <w:r>
              <w:rPr>
                <w:b/>
                <w:bCs/>
                <w:color w:val="C00000"/>
                <w:sz w:val="19"/>
                <w:szCs w:val="19"/>
              </w:rPr>
              <w:t>Problem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F6F6B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 xml:space="preserve">Długosz et al. (Sensors 2022) is cited for official Fabric architecture (ordering service, MSP, Certificate Authority, </w:t>
            </w:r>
            <w:proofErr w:type="spellStart"/>
            <w:r>
              <w:rPr>
                <w:color w:val="1A1A1A"/>
                <w:sz w:val="20"/>
                <w:szCs w:val="20"/>
              </w:rPr>
              <w:t>chaincode</w:t>
            </w:r>
            <w:proofErr w:type="spellEnd"/>
            <w:r>
              <w:rPr>
                <w:color w:val="1A1A1A"/>
                <w:sz w:val="20"/>
                <w:szCs w:val="20"/>
              </w:rPr>
              <w:t>). Those belong to the official Fabric documentation, reference [77].</w:t>
            </w:r>
          </w:p>
        </w:tc>
      </w:tr>
      <w:tr w:rsidR="00153AC3" w14:paraId="19982A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35DF011" w14:textId="77777777" w:rsidR="00153AC3" w:rsidRDefault="00000000">
            <w:r>
              <w:rPr>
                <w:b/>
                <w:bCs/>
                <w:color w:val="375623"/>
                <w:sz w:val="19"/>
                <w:szCs w:val="19"/>
              </w:rPr>
              <w:t>What to do</w:t>
            </w:r>
          </w:p>
        </w:tc>
        <w:tc>
          <w:tcPr>
            <w:tcW w:w="8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FA274" w14:textId="77777777" w:rsidR="00153AC3" w:rsidRDefault="00000000">
            <w:pPr>
              <w:spacing w:line="264" w:lineRule="auto"/>
            </w:pPr>
            <w:r>
              <w:rPr>
                <w:color w:val="1A1A1A"/>
                <w:sz w:val="20"/>
                <w:szCs w:val="20"/>
              </w:rPr>
              <w:t>Reroute the architecture citations to [77] (official Hyperledger Fabric docs). Keep Długosz only where you discuss the access-control implementation pattern.</w:t>
            </w:r>
          </w:p>
        </w:tc>
      </w:tr>
    </w:tbl>
    <w:p w14:paraId="7DA96C28" w14:textId="77777777" w:rsidR="00153AC3" w:rsidRDefault="00153AC3">
      <w:pPr>
        <w:pageBreakBefore/>
      </w:pPr>
    </w:p>
    <w:p w14:paraId="67A747C5" w14:textId="77777777" w:rsidR="00153AC3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Part 2 — The five structural fixes (highest rejection risk)</w:t>
      </w:r>
    </w:p>
    <w:p w14:paraId="1779398B" w14:textId="77777777" w:rsidR="00153AC3" w:rsidRDefault="00000000">
      <w:pPr>
        <w:spacing w:after="120" w:line="276" w:lineRule="auto"/>
      </w:pPr>
      <w:r>
        <w:rPr>
          <w:color w:val="1A1A1A"/>
        </w:rPr>
        <w:t>Every reviewer circled some version of these. Fixing them well is the difference between accept-after-revision and a second rejection.</w:t>
      </w:r>
    </w:p>
    <w:p w14:paraId="20A14F55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C00000"/>
          <w:sz w:val="25"/>
          <w:szCs w:val="25"/>
        </w:rPr>
        <w:t>2.1  Stop</w:t>
      </w:r>
      <w:proofErr w:type="gramEnd"/>
      <w:r>
        <w:rPr>
          <w:b/>
          <w:bCs/>
          <w:color w:val="C00000"/>
          <w:sz w:val="25"/>
          <w:szCs w:val="25"/>
        </w:rPr>
        <w:t xml:space="preserve"> calling it node-level “parallel transmission”</w:t>
      </w:r>
    </w:p>
    <w:p w14:paraId="676D2E71" w14:textId="77777777" w:rsidR="00153AC3" w:rsidRDefault="00000000">
      <w:pPr>
        <w:spacing w:after="120" w:line="276" w:lineRule="auto"/>
      </w:pPr>
      <w:r>
        <w:rPr>
          <w:i/>
          <w:iCs/>
          <w:color w:val="555555"/>
        </w:rPr>
        <w:t>Raised by Reviewers 2 (§1), 3 (main weakness), and 1 (§4). This is the single most repeated objection.</w:t>
      </w:r>
    </w:p>
    <w:p w14:paraId="629B9897" w14:textId="77777777" w:rsidR="00153AC3" w:rsidRDefault="00000000">
      <w:pPr>
        <w:spacing w:after="120" w:line="276" w:lineRule="auto"/>
      </w:pPr>
      <w:r>
        <w:rPr>
          <w:color w:val="1A1A1A"/>
        </w:rPr>
        <w:t xml:space="preserve">The reality (which you state correctly only in Section 3.7.3): </w:t>
      </w:r>
      <w:r>
        <w:rPr>
          <w:b/>
          <w:bCs/>
          <w:color w:val="1A1A1A"/>
        </w:rPr>
        <w:t xml:space="preserve">each node sends its three residues sequentially across channels; the SX1302 concentrator demodulates multiple nodes' channels simultaneously. Parallelism is at the network/gateway level, not the node level. Per node, CRT is </w:t>
      </w:r>
      <w:proofErr w:type="gramStart"/>
      <w:r>
        <w:rPr>
          <w:b/>
          <w:bCs/>
          <w:color w:val="1A1A1A"/>
        </w:rPr>
        <w:t>actually slower</w:t>
      </w:r>
      <w:proofErr w:type="gramEnd"/>
      <w:r>
        <w:rPr>
          <w:b/>
          <w:bCs/>
          <w:color w:val="1A1A1A"/>
        </w:rPr>
        <w:t xml:space="preserve">: 3 × 124 </w:t>
      </w:r>
      <w:proofErr w:type="spellStart"/>
      <w:r>
        <w:rPr>
          <w:b/>
          <w:bCs/>
          <w:color w:val="1A1A1A"/>
        </w:rPr>
        <w:t>ms</w:t>
      </w:r>
      <w:proofErr w:type="spellEnd"/>
      <w:r>
        <w:rPr>
          <w:b/>
          <w:bCs/>
          <w:color w:val="1A1A1A"/>
        </w:rPr>
        <w:t xml:space="preserve"> = 372 </w:t>
      </w:r>
      <w:proofErr w:type="spellStart"/>
      <w:r>
        <w:rPr>
          <w:b/>
          <w:bCs/>
          <w:color w:val="1A1A1A"/>
        </w:rPr>
        <w:t>ms</w:t>
      </w:r>
      <w:proofErr w:type="spellEnd"/>
      <w:r>
        <w:rPr>
          <w:b/>
          <w:bCs/>
          <w:color w:val="1A1A1A"/>
        </w:rPr>
        <w:t xml:space="preserve"> vs 247 </w:t>
      </w:r>
      <w:proofErr w:type="spellStart"/>
      <w:r>
        <w:rPr>
          <w:b/>
          <w:bCs/>
          <w:color w:val="1A1A1A"/>
        </w:rPr>
        <w:t>ms</w:t>
      </w:r>
      <w:proofErr w:type="spellEnd"/>
      <w:r>
        <w:rPr>
          <w:b/>
          <w:bCs/>
          <w:color w:val="1A1A1A"/>
        </w:rPr>
        <w:t xml:space="preserve"> raw.</w:t>
      </w:r>
    </w:p>
    <w:p w14:paraId="0639B625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What to change</w:t>
      </w:r>
    </w:p>
    <w:p w14:paraId="6F0D6262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In the abstract, Section 1.3, Section 1.5, and every figure caption, replace “parallel transmission” / “parallel residue transmission” with “multi-channel residue transmission with gateway-side parallel demodulation” (or similar).</w:t>
      </w:r>
    </w:p>
    <w:p w14:paraId="6F844B99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 xml:space="preserve">State the 372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 vs 247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 per-node fact early, not buried in Section 3.</w:t>
      </w:r>
    </w:p>
    <w:p w14:paraId="4155327B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Add the clarifying sentence below at the first mention of CRT (Section 1.3).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17A66B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7E62EF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1.3, immediately after introducing CRT:</w:t>
            </w:r>
          </w:p>
        </w:tc>
      </w:tr>
      <w:tr w:rsidR="00153AC3" w14:paraId="0C94B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D5CFA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Each sensor node transmits its residues sequentially across different LoRa channels; the parallelism exploited by this scheme occurs at the gateway, where the SX1302 multi-channel concentrator demodulates residues from many nodes concurrently. At the individual node, total airtime increases from 247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(single raw packet) to 372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(three sequential residue packets); the benefit is shorter per-packet airtime (124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>), which raises the number of nodes the gateway can serve per unit time.</w:t>
            </w:r>
          </w:p>
        </w:tc>
      </w:tr>
    </w:tbl>
    <w:p w14:paraId="41418F20" w14:textId="77777777" w:rsidR="00153AC3" w:rsidRDefault="00153AC3">
      <w:pPr>
        <w:spacing w:after="120"/>
      </w:pPr>
    </w:p>
    <w:p w14:paraId="0B1CA6EE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C00000"/>
          <w:sz w:val="25"/>
          <w:szCs w:val="25"/>
        </w:rPr>
        <w:t>2.2  Remove</w:t>
      </w:r>
      <w:proofErr w:type="gramEnd"/>
      <w:r>
        <w:rPr>
          <w:b/>
          <w:bCs/>
          <w:color w:val="C00000"/>
          <w:sz w:val="25"/>
          <w:szCs w:val="25"/>
        </w:rPr>
        <w:t xml:space="preserve"> the “66.7% latency reduction” headline</w:t>
      </w:r>
    </w:p>
    <w:p w14:paraId="653CA5F1" w14:textId="77777777" w:rsidR="00153AC3" w:rsidRDefault="00000000">
      <w:pPr>
        <w:spacing w:after="120" w:line="276" w:lineRule="auto"/>
      </w:pPr>
      <w:r>
        <w:rPr>
          <w:i/>
          <w:iCs/>
          <w:color w:val="555555"/>
        </w:rPr>
        <w:t>Raised by Reviewer 2 (§2).</w:t>
      </w:r>
    </w:p>
    <w:p w14:paraId="62B6F234" w14:textId="77777777" w:rsidR="00153AC3" w:rsidRDefault="00000000">
      <w:pPr>
        <w:spacing w:after="120" w:line="276" w:lineRule="auto"/>
      </w:pPr>
      <w:r>
        <w:rPr>
          <w:color w:val="1A1A1A"/>
        </w:rPr>
        <w:t xml:space="preserve">The claim compares 372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 (per-node total) to 124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 (single residue) — two different quantities. The honest per-node comparison is 247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 raw vs 372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 CRT, i.e. CRT is slower per node. The genuine benefit is network throughput, not single-node latency.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25A70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76A510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Replace the latency-reduction claim in the abstract/intro with:</w:t>
            </w:r>
          </w:p>
        </w:tc>
      </w:tr>
      <w:tr w:rsidR="00153AC3" w14:paraId="51F67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6F01E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CRT reduces per-packet airtime from 247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(raw 59-byte packet) to 124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(8-byte residue packet). This shorter per-packet airtime lets the gateway concentrator serve more nodes per unit time; it does not reduce an individual node's total transmission time, which rises to 372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for three sequential residues.</w:t>
            </w:r>
          </w:p>
        </w:tc>
      </w:tr>
    </w:tbl>
    <w:p w14:paraId="77A6C653" w14:textId="77777777" w:rsidR="00153AC3" w:rsidRDefault="00153AC3">
      <w:pPr>
        <w:spacing w:after="120"/>
      </w:pPr>
    </w:p>
    <w:p w14:paraId="54134E3F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C00000"/>
          <w:sz w:val="25"/>
          <w:szCs w:val="25"/>
        </w:rPr>
        <w:t>2.3  Fix</w:t>
      </w:r>
      <w:proofErr w:type="gramEnd"/>
      <w:r>
        <w:rPr>
          <w:b/>
          <w:bCs/>
          <w:color w:val="C00000"/>
          <w:sz w:val="25"/>
          <w:szCs w:val="25"/>
        </w:rPr>
        <w:t xml:space="preserve"> or remove the Amdahl’s Law analysis</w:t>
      </w:r>
    </w:p>
    <w:p w14:paraId="03AD968A" w14:textId="77777777" w:rsidR="00153AC3" w:rsidRDefault="00000000">
      <w:pPr>
        <w:spacing w:after="120" w:line="276" w:lineRule="auto"/>
      </w:pPr>
      <w:r>
        <w:rPr>
          <w:i/>
          <w:iCs/>
          <w:color w:val="555555"/>
        </w:rPr>
        <w:t>Raised by Reviewers 2 (§3) and 4 (§11).</w:t>
      </w:r>
    </w:p>
    <w:p w14:paraId="3574E2D5" w14:textId="77777777" w:rsidR="00153AC3" w:rsidRDefault="00000000">
      <w:pPr>
        <w:spacing w:after="120" w:line="276" w:lineRule="auto"/>
      </w:pPr>
      <w:r>
        <w:rPr>
          <w:color w:val="1A1A1A"/>
        </w:rPr>
        <w:t xml:space="preserve">Amdahl’s Law needs the sequential and parallel times of the same fixed task. You compare a full raw packet (247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) against one residue packet (124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>) — different tasks, different payload sizes. The 1.99 speedup is not valid as derived.</w:t>
      </w:r>
    </w:p>
    <w:p w14:paraId="602ECFC8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lastRenderedPageBreak/>
        <w:t>Option A (</w:t>
      </w:r>
      <w:proofErr w:type="gramStart"/>
      <w:r>
        <w:rPr>
          <w:b/>
          <w:bCs/>
          <w:color w:val="333333"/>
          <w:sz w:val="22"/>
          <w:szCs w:val="22"/>
        </w:rPr>
        <w:t>recommended) —</w:t>
      </w:r>
      <w:proofErr w:type="gramEnd"/>
      <w:r>
        <w:rPr>
          <w:b/>
          <w:bCs/>
          <w:color w:val="333333"/>
          <w:sz w:val="22"/>
          <w:szCs w:val="22"/>
        </w:rPr>
        <w:t xml:space="preserve"> replace with a network throughput model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5B8CF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E613A7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Replace Section 3.3.2 with a throughput argument:</w:t>
            </w:r>
          </w:p>
        </w:tc>
      </w:tr>
      <w:tr w:rsidR="00153AC3" w14:paraId="70BA4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ACE00" w14:textId="77777777" w:rsidR="00153AC3" w:rsidRDefault="00000000">
            <w:pPr>
              <w:spacing w:after="90"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Per channel, raw transmission delivers one complete reading every 247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, i.e. about 4.05 readings/s. CRT delivers one residue every 124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per channel, i.e. 8.06 residues/s; with three residues per reading the per-channel reading rate is 2.69 readings/s, but residues spread across three channels are demodulated concurrently by the SX1302, giving an aggregate of 8.06 readings/s across the three-channel group — a 1.99× improvement in gateway-side reading throughput, not a node-level speedup.</w:t>
            </w:r>
          </w:p>
          <w:p w14:paraId="6FFDA546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[Recompute the exact figures from your measured airtimes before finalizing.]</w:t>
            </w:r>
          </w:p>
        </w:tc>
      </w:tr>
    </w:tbl>
    <w:p w14:paraId="3676052D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Option B — keep Amdahl but fix the fractions</w:t>
      </w:r>
    </w:p>
    <w:p w14:paraId="68B15627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Define the fixed task as one sensor reading delivered and demodulated.</w:t>
      </w:r>
    </w:p>
    <w:p w14:paraId="764308F5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 xml:space="preserve">Sequential fraction s = preamble + header + Ed25519 signing time (≈1.5–2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 on ESP32) + commit — the parts that do not parallelize.</w:t>
      </w:r>
    </w:p>
    <w:p w14:paraId="04BB8356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Parallel fraction = the residue payload airtime demodulated concurrently at the gateway.</w:t>
      </w:r>
    </w:p>
    <w:p w14:paraId="28AA361D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Then apply speedup = 1 / (s + (1−s)/k). Show your numbers.</w:t>
      </w:r>
    </w:p>
    <w:p w14:paraId="24EAAF08" w14:textId="77777777" w:rsidR="00153AC3" w:rsidRDefault="00153AC3">
      <w:pPr>
        <w:spacing w:after="120"/>
      </w:pPr>
    </w:p>
    <w:p w14:paraId="5A499E18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C00000"/>
          <w:sz w:val="25"/>
          <w:szCs w:val="25"/>
        </w:rPr>
        <w:t>2.4  Fix</w:t>
      </w:r>
      <w:proofErr w:type="gramEnd"/>
      <w:r>
        <w:rPr>
          <w:b/>
          <w:bCs/>
          <w:color w:val="C00000"/>
          <w:sz w:val="25"/>
          <w:szCs w:val="25"/>
        </w:rPr>
        <w:t xml:space="preserve"> the energy claim — state scope and total-per-reading</w:t>
      </w:r>
    </w:p>
    <w:p w14:paraId="5542F6E7" w14:textId="77777777" w:rsidR="00153AC3" w:rsidRDefault="00000000">
      <w:pPr>
        <w:spacing w:after="120" w:line="276" w:lineRule="auto"/>
      </w:pPr>
      <w:r>
        <w:rPr>
          <w:i/>
          <w:iCs/>
          <w:color w:val="555555"/>
        </w:rPr>
        <w:t>Raised by Reviewers 1 (§2) and 2 (§5). This is the most serious scientific issue.</w:t>
      </w:r>
    </w:p>
    <w:p w14:paraId="0506E33F" w14:textId="77777777" w:rsidR="00153AC3" w:rsidRDefault="00000000">
      <w:pPr>
        <w:spacing w:after="120" w:line="276" w:lineRule="auto"/>
      </w:pPr>
      <w:r>
        <w:rPr>
          <w:color w:val="1A1A1A"/>
        </w:rPr>
        <w:t xml:space="preserve">Problem: CRT sends three packets per reading. Per-packet energy is 12.40 </w:t>
      </w:r>
      <w:proofErr w:type="spellStart"/>
      <w:r>
        <w:rPr>
          <w:color w:val="1A1A1A"/>
        </w:rPr>
        <w:t>mJ</w:t>
      </w:r>
      <w:proofErr w:type="spellEnd"/>
      <w:r>
        <w:rPr>
          <w:color w:val="1A1A1A"/>
        </w:rPr>
        <w:t xml:space="preserve">, but </w:t>
      </w:r>
      <w:r>
        <w:rPr>
          <w:b/>
          <w:bCs/>
          <w:color w:val="C00000"/>
        </w:rPr>
        <w:t xml:space="preserve">total energy per reading is 3 × 12.40 = 37.20 </w:t>
      </w:r>
      <w:proofErr w:type="spellStart"/>
      <w:r>
        <w:rPr>
          <w:b/>
          <w:bCs/>
          <w:color w:val="C00000"/>
        </w:rPr>
        <w:t>mJ</w:t>
      </w:r>
      <w:proofErr w:type="spellEnd"/>
      <w:r>
        <w:rPr>
          <w:b/>
          <w:bCs/>
          <w:color w:val="C00000"/>
        </w:rPr>
        <w:t xml:space="preserve">, which is more than the 24.21 </w:t>
      </w:r>
      <w:proofErr w:type="spellStart"/>
      <w:r>
        <w:rPr>
          <w:b/>
          <w:bCs/>
          <w:color w:val="C00000"/>
        </w:rPr>
        <w:t>mJ</w:t>
      </w:r>
      <w:proofErr w:type="spellEnd"/>
      <w:r>
        <w:rPr>
          <w:b/>
          <w:bCs/>
          <w:color w:val="C00000"/>
        </w:rPr>
        <w:t xml:space="preserve"> for one raw packet.</w:t>
      </w:r>
      <w:r>
        <w:rPr>
          <w:color w:val="1A1A1A"/>
        </w:rPr>
        <w:t xml:space="preserve"> The 48.8% “saving” is per-packet airtime only. As written, the paper implies CRT lowers device energy, which it does not.</w:t>
      </w:r>
    </w:p>
    <w:p w14:paraId="7448ADDE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What to change</w:t>
      </w:r>
    </w:p>
    <w:p w14:paraId="23431084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In abstract and Section 1.3, change “48.8% energy savings” to “48.8% reduction in per-packet LoRa transmission energy (gateway and blockchain energy excluded).”</w:t>
      </w:r>
    </w:p>
    <w:p w14:paraId="5EDD5CF6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Add a row to Table 8: total energy per complete reading.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6BB3C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442E5E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Table 8 and to the Section 5.1 discussion:</w:t>
            </w:r>
          </w:p>
        </w:tc>
      </w:tr>
      <w:tr w:rsidR="00153AC3" w14:paraId="201FE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8F445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Total energy per complete reading: CRT = 3 × 12.40 = 37.20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mJ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; Raw = 24.21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mJ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>. CRT consumes more total node energy per reading because three residue packets are sent. The advantage of CRT is not lower per-reading node energy but shorter per-packet airtime, which reduces channel occupancy and raises network density. Per-packet airtime energy and per-reading total energy must not be conflated.</w:t>
            </w:r>
          </w:p>
        </w:tc>
      </w:tr>
    </w:tbl>
    <w:p w14:paraId="022603CA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Remove or heavily qualify any sentence claiming CRT extends battery life through energy reduction. (Your HRBAC energy model already shows deep sleep dominates at 92%, so transmission scheme barely moves battery life — you can cite that.)</w:t>
      </w:r>
    </w:p>
    <w:p w14:paraId="076C0419" w14:textId="77777777" w:rsidR="00153AC3" w:rsidRDefault="00153AC3">
      <w:pPr>
        <w:spacing w:after="120"/>
      </w:pPr>
    </w:p>
    <w:p w14:paraId="55E5F0E6" w14:textId="77777777" w:rsidR="00153AC3" w:rsidRDefault="00000000">
      <w:pPr>
        <w:pStyle w:val="Heading2"/>
        <w:spacing w:before="280" w:after="120"/>
      </w:pPr>
      <w:proofErr w:type="gramStart"/>
      <w:r>
        <w:rPr>
          <w:b/>
          <w:bCs/>
          <w:color w:val="BF8F00"/>
          <w:sz w:val="25"/>
          <w:szCs w:val="25"/>
        </w:rPr>
        <w:t>2.5  Add</w:t>
      </w:r>
      <w:proofErr w:type="gramEnd"/>
      <w:r>
        <w:rPr>
          <w:b/>
          <w:bCs/>
          <w:color w:val="BF8F00"/>
          <w:sz w:val="25"/>
          <w:szCs w:val="25"/>
        </w:rPr>
        <w:t xml:space="preserve"> explicit research hypotheses</w:t>
      </w:r>
    </w:p>
    <w:p w14:paraId="715792C4" w14:textId="77777777" w:rsidR="00153AC3" w:rsidRDefault="00000000">
      <w:pPr>
        <w:spacing w:after="120" w:line="276" w:lineRule="auto"/>
      </w:pPr>
      <w:r>
        <w:rPr>
          <w:i/>
          <w:iCs/>
          <w:color w:val="555555"/>
        </w:rPr>
        <w:t>Raised by Reviewer 1 (§1).</w:t>
      </w:r>
    </w:p>
    <w:p w14:paraId="47A65759" w14:textId="77777777" w:rsidR="00153AC3" w:rsidRDefault="00000000">
      <w:pPr>
        <w:spacing w:after="120" w:line="276" w:lineRule="auto"/>
      </w:pPr>
      <w:r>
        <w:rPr>
          <w:color w:val="1A1A1A"/>
        </w:rPr>
        <w:t>Your four research questions are open-ended. Convert each into a falsifiable hypothesis with a measurable acceptance condition, and link each to the table/figure that tests it.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4FA32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71CBC5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Add at the end of Section 1.4 (adapt the numbers to your real thresholds):</w:t>
            </w:r>
          </w:p>
        </w:tc>
      </w:tr>
      <w:tr w:rsidR="00153AC3" w14:paraId="38BC3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3DD8C" w14:textId="77777777" w:rsidR="00153AC3" w:rsidRDefault="00000000">
            <w:pPr>
              <w:spacing w:after="90"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H1 (transmission): CRT residue encoding reduces per-packet LoRa airtime by ≥15% versus raw transmission at SF7/BW125kHz while maintaining ≥99% reconstruction accuracy. Tested in Section 3.5.10 and Table 8.</w:t>
            </w:r>
          </w:p>
          <w:p w14:paraId="7DC71514" w14:textId="77777777" w:rsidR="00153AC3" w:rsidRDefault="00000000">
            <w:pPr>
              <w:spacing w:after="90"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H2 (real-time consensus): A Hyperledger Fabric network on Raspberry Pi 4B gateways sustains end-to-end transaction latency below the 2 s irrigation-control budget under field load. Tested in Section 5.1 and Table 16.</w:t>
            </w:r>
          </w:p>
          <w:p w14:paraId="59809C92" w14:textId="77777777" w:rsidR="00153AC3" w:rsidRDefault="00000000">
            <w:pPr>
              <w:spacing w:after="90"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H3 (security/performance trade-off): RBAC access-control enforcement adds &lt;20% throughput overhead relative to an unauthenticated baseline. Tested in Section 5.1.</w:t>
            </w:r>
          </w:p>
          <w:p w14:paraId="36037411" w14:textId="77777777" w:rsidR="00153AC3" w:rsidRDefault="00000000">
            <w:pPr>
              <w:spacing w:after="90"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H4 (field validity): Performance modeled on the bench is reproduced within measurement error over a 61-day field deployment. Tested in Sections 5.1–5.5.</w:t>
            </w:r>
          </w:p>
          <w:p w14:paraId="3D8880A6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[Replace each threshold with the value your data </w:t>
            </w:r>
            <w:proofErr w:type="gramStart"/>
            <w:r>
              <w:rPr>
                <w:i/>
                <w:iCs/>
                <w:color w:val="222222"/>
                <w:sz w:val="20"/>
                <w:szCs w:val="20"/>
              </w:rPr>
              <w:t>actually supports</w:t>
            </w:r>
            <w:proofErr w:type="gramEnd"/>
            <w:r>
              <w:rPr>
                <w:i/>
                <w:iCs/>
                <w:color w:val="222222"/>
                <w:sz w:val="20"/>
                <w:szCs w:val="20"/>
              </w:rPr>
              <w:t>.]</w:t>
            </w:r>
          </w:p>
        </w:tc>
      </w:tr>
    </w:tbl>
    <w:p w14:paraId="288829AF" w14:textId="77777777" w:rsidR="00153AC3" w:rsidRDefault="00153AC3">
      <w:pPr>
        <w:pageBreakBefore/>
      </w:pPr>
    </w:p>
    <w:p w14:paraId="0AB3E456" w14:textId="77777777" w:rsidR="00153AC3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Part 3 — Additions by reviewer</w:t>
      </w:r>
    </w:p>
    <w:p w14:paraId="324B6ED7" w14:textId="77777777" w:rsidR="00153AC3" w:rsidRDefault="00000000">
      <w:pPr>
        <w:spacing w:after="120" w:line="276" w:lineRule="auto"/>
      </w:pPr>
      <w:r>
        <w:rPr>
          <w:color w:val="1A1A1A"/>
        </w:rPr>
        <w:t>Each of these is a targeted addition. Most are one or two paragraphs. Bracketed values need your real measurements.</w:t>
      </w:r>
    </w:p>
    <w:p w14:paraId="12E7FF68" w14:textId="77777777" w:rsidR="00153AC3" w:rsidRDefault="00000000">
      <w:pPr>
        <w:pStyle w:val="Heading2"/>
        <w:spacing w:before="280" w:after="120"/>
      </w:pPr>
      <w:r>
        <w:rPr>
          <w:b/>
          <w:bCs/>
          <w:color w:val="2E75B6"/>
          <w:sz w:val="25"/>
          <w:szCs w:val="25"/>
        </w:rPr>
        <w:t>Reviewer 1 — remaining items</w:t>
      </w:r>
    </w:p>
    <w:p w14:paraId="693DEF54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3  Edge</w:t>
      </w:r>
      <w:proofErr w:type="gramEnd"/>
      <w:r>
        <w:rPr>
          <w:b/>
          <w:bCs/>
          <w:color w:val="333333"/>
          <w:sz w:val="22"/>
          <w:szCs w:val="22"/>
        </w:rPr>
        <w:t>-node (gateway) power draw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6764BC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134C5A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a paragraph to Section 6 (Discussion):</w:t>
            </w:r>
          </w:p>
        </w:tc>
      </w:tr>
      <w:tr w:rsidR="00153AC3" w14:paraId="5EF33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54134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Each Raspberry Pi 4B gateway running a Fabric peer draws approximately [MEASURED] W under sustained load; across four gateways the continuous draw is roughly [4×] W. Unlike the battery-powered sensor nodes, gateways are </w:t>
            </w:r>
            <w:proofErr w:type="gramStart"/>
            <w:r>
              <w:rPr>
                <w:i/>
                <w:iCs/>
                <w:color w:val="222222"/>
                <w:sz w:val="20"/>
                <w:szCs w:val="20"/>
              </w:rPr>
              <w:t>mains</w:t>
            </w:r>
            <w:proofErr w:type="gramEnd"/>
            <w:r>
              <w:rPr>
                <w:i/>
                <w:iCs/>
                <w:color w:val="222222"/>
                <w:sz w:val="20"/>
                <w:szCs w:val="20"/>
              </w:rPr>
              <w:t>- or solar-array-powered, so this draw does not affect sensor lifetime, but it is the dominant contributor to system-level energy footprint and should be considered when scaling the deployment to many gateways.</w:t>
            </w:r>
          </w:p>
        </w:tc>
      </w:tr>
    </w:tbl>
    <w:p w14:paraId="346CDD45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4  Multi</w:t>
      </w:r>
      <w:proofErr w:type="gramEnd"/>
      <w:r>
        <w:rPr>
          <w:b/>
          <w:bCs/>
          <w:color w:val="333333"/>
          <w:sz w:val="22"/>
          <w:szCs w:val="22"/>
        </w:rPr>
        <w:t>-channel reception and channel-switching overhead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506F9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718106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3.4.1 (LoRa Communication Framework):</w:t>
            </w:r>
          </w:p>
        </w:tc>
      </w:tr>
      <w:tr w:rsidR="00153AC3" w14:paraId="1E2BA0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6D7A4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The SX1302 concentrator </w:t>
            </w:r>
            <w:proofErr w:type="gramStart"/>
            <w:r>
              <w:rPr>
                <w:i/>
                <w:iCs/>
                <w:color w:val="222222"/>
                <w:sz w:val="20"/>
                <w:szCs w:val="20"/>
              </w:rPr>
              <w:t>receives on</w:t>
            </w:r>
            <w:proofErr w:type="gramEnd"/>
            <w:r>
              <w:rPr>
                <w:i/>
                <w:iCs/>
                <w:color w:val="222222"/>
                <w:sz w:val="20"/>
                <w:szCs w:val="20"/>
              </w:rPr>
              <w:t xml:space="preserve"> up to eight channels simultaneously, so no channel-switching occurs at the gateway. At the node, switching the RFM95W between residue channels takes approximately [MEASURED, ~1]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— negligible against the 124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per-residue airtime. Maintaining multiple fixed channels adds no control-plane signaling because channel assignment is static (residue index → channel), configured at provisioning. Total node-side airtime for one reading is therefore 3 × 124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plus two switch intervals ≈ [VALUE]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ms.</w:t>
            </w:r>
            <w:proofErr w:type="spellEnd"/>
          </w:p>
        </w:tc>
      </w:tr>
    </w:tbl>
    <w:p w14:paraId="0AB5192A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5  Device</w:t>
      </w:r>
      <w:proofErr w:type="gramEnd"/>
      <w:r>
        <w:rPr>
          <w:b/>
          <w:bCs/>
          <w:color w:val="333333"/>
          <w:sz w:val="22"/>
          <w:szCs w:val="22"/>
        </w:rPr>
        <w:t xml:space="preserve"> constraints for multi-channel operation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032FB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9304E5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3.3.2 (Gateway Architecture):</w:t>
            </w:r>
          </w:p>
        </w:tc>
      </w:tr>
      <w:tr w:rsidR="00153AC3" w14:paraId="27657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EF121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Multi-channel residue reception requires a LoRa concentrator (the SX1302 used here), not a single-channel transceiver. Low-cost single-channel gateways cannot demodulate residues in parallel and would serialize reception, eliminating the network-density benefit. This is a hardware deployment constraint for any site adopting the CRT scheme.</w:t>
            </w:r>
          </w:p>
        </w:tc>
      </w:tr>
    </w:tbl>
    <w:p w14:paraId="7A71931F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6  Figure</w:t>
      </w:r>
      <w:proofErr w:type="gramEnd"/>
      <w:r>
        <w:rPr>
          <w:b/>
          <w:bCs/>
          <w:color w:val="333333"/>
          <w:sz w:val="22"/>
          <w:szCs w:val="22"/>
        </w:rPr>
        <w:t xml:space="preserve"> 7 caption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37491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2602DF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Replace the Figure 7 caption:</w:t>
            </w:r>
          </w:p>
        </w:tc>
      </w:tr>
      <w:tr w:rsidR="00153AC3" w14:paraId="6CDEA1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F1F40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Energy consumption of the ESP32 node LoRa transmitter (RFM95W) per transmission event, measured at the node with an INA219 current sensor. Gateway reception and blockchain computation energy are excluded.</w:t>
            </w:r>
          </w:p>
        </w:tc>
      </w:tr>
    </w:tbl>
    <w:p w14:paraId="33EF67B7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7  Edge</w:t>
      </w:r>
      <w:proofErr w:type="gramEnd"/>
      <w:r>
        <w:rPr>
          <w:b/>
          <w:bCs/>
          <w:color w:val="333333"/>
          <w:sz w:val="22"/>
          <w:szCs w:val="22"/>
        </w:rPr>
        <w:t>-node definition and topology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4E27D6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6A96CD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3.1 (Overall Architecture):</w:t>
            </w:r>
          </w:p>
        </w:tc>
      </w:tr>
      <w:tr w:rsidR="00153AC3" w14:paraId="2BD9F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2E2F6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Throughout this paper, “edge node” refers to the Raspberry Pi 4B gateways that perform local CRT reconstruction, signature verification, and irrigation decision-making before committing to the blockchain — not Mobile Edge Computing in a cellular sense. Processing at these gateways rather than in a central cloud is required because irrigation actuation must complete within 2 s, and rural connectivity at the Sfax site is intermittent; a cloud round-trip cannot guarantee this bound. Figure 3 shows the network topology.</w:t>
            </w:r>
          </w:p>
        </w:tc>
      </w:tr>
    </w:tbl>
    <w:p w14:paraId="630FB850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8  Move</w:t>
      </w:r>
      <w:proofErr w:type="gramEnd"/>
      <w:r>
        <w:rPr>
          <w:b/>
          <w:bCs/>
          <w:color w:val="333333"/>
          <w:sz w:val="22"/>
          <w:szCs w:val="22"/>
        </w:rPr>
        <w:t xml:space="preserve"> the CRT explanation earlier</w:t>
      </w:r>
    </w:p>
    <w:p w14:paraId="6D1ECD78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lastRenderedPageBreak/>
        <w:t>Move the core CRT definition (currently Section 3.5.1) so a short version appears in Section 1.3 or as a primer in Section 2.</w:t>
      </w:r>
    </w:p>
    <w:p w14:paraId="51BD70D3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Keep the full formal treatment (reconstruction proof, Garner's algorithm) in Section 3.5.</w:t>
      </w:r>
    </w:p>
    <w:p w14:paraId="6B9E2EC8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9  Threat</w:t>
      </w:r>
      <w:proofErr w:type="gramEnd"/>
      <w:r>
        <w:rPr>
          <w:b/>
          <w:bCs/>
          <w:color w:val="333333"/>
          <w:sz w:val="22"/>
          <w:szCs w:val="22"/>
        </w:rPr>
        <w:t xml:space="preserve"> model / blockchain justification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74041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75B095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a subsection “Threat Model and Blockchain Justification” in Section 3.6:</w:t>
            </w:r>
          </w:p>
        </w:tc>
      </w:tr>
      <w:tr w:rsidR="00153AC3" w14:paraId="6D3EE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086D5" w14:textId="77777777" w:rsidR="00153AC3" w:rsidRDefault="00000000">
            <w:pPr>
              <w:spacing w:after="90"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Assumed threats: (1) retroactive tampering with irrigation/sensor logs by an insider or compromised host; (2) single-point-of-failure in centralized logging during connectivity loss; (3) absence of an independently verifiable audit trail for certification bodies.</w:t>
            </w:r>
          </w:p>
          <w:p w14:paraId="46D18E7E" w14:textId="77777777" w:rsidR="00153AC3" w:rsidRDefault="00000000">
            <w:pPr>
              <w:spacing w:after="90"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Why a conventional secure database is insufficient: a TLS-protected database with access control supports logging and threshold </w:t>
            </w:r>
            <w:proofErr w:type="gramStart"/>
            <w:r>
              <w:rPr>
                <w:i/>
                <w:iCs/>
                <w:color w:val="222222"/>
                <w:sz w:val="20"/>
                <w:szCs w:val="20"/>
              </w:rPr>
              <w:t>irrigation, but</w:t>
            </w:r>
            <w:proofErr w:type="gramEnd"/>
            <w:r>
              <w:rPr>
                <w:i/>
                <w:iCs/>
                <w:color w:val="222222"/>
                <w:sz w:val="20"/>
                <w:szCs w:val="20"/>
              </w:rPr>
              <w:t xml:space="preserve"> cannot provide a tamper-evident audit trail without a trusted administrator, decentralized multi-party verification, or smart-contract-enforced automation that is itself auditable.</w:t>
            </w:r>
          </w:p>
          <w:p w14:paraId="70544DF0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Real-time trade-off: the 320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Fabric write overhead sits well within the 2 s irrigation budget, so immutability is obtained without violating timing constraints.</w:t>
            </w:r>
          </w:p>
        </w:tc>
      </w:tr>
    </w:tbl>
    <w:p w14:paraId="21F24594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10  Don't</w:t>
      </w:r>
      <w:proofErr w:type="gramEnd"/>
      <w:r>
        <w:rPr>
          <w:b/>
          <w:bCs/>
          <w:color w:val="333333"/>
          <w:sz w:val="22"/>
          <w:szCs w:val="22"/>
        </w:rPr>
        <w:t xml:space="preserve"> overstate agronomic results as ICT contributions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25A12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6401AD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6.1 and the Conclusion:</w:t>
            </w:r>
          </w:p>
        </w:tc>
      </w:tr>
      <w:tr w:rsidR="00153AC3" w14:paraId="23E3F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0BB08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The water and labor savings reported here are outcomes of precision irrigation enabled by the sensing and actuation system; the blockchain and CRT layers contribute data integrity and transmission efficiency, not the irrigation decisions themselves. We therefore frame the 19–24% water reduction and 72% labor reduction as system-enabled agronomic outcomes rather than as direct contributions of the distributed-ledger or transmission components.</w:t>
            </w:r>
          </w:p>
        </w:tc>
      </w:tr>
    </w:tbl>
    <w:p w14:paraId="7A915353" w14:textId="77777777" w:rsidR="00153AC3" w:rsidRDefault="00000000">
      <w:pPr>
        <w:pStyle w:val="Heading2"/>
        <w:spacing w:before="280" w:after="120"/>
      </w:pPr>
      <w:r>
        <w:rPr>
          <w:b/>
          <w:bCs/>
          <w:color w:val="2E75B6"/>
          <w:sz w:val="25"/>
          <w:szCs w:val="25"/>
        </w:rPr>
        <w:t>Reviewer 2 — remaining items</w:t>
      </w:r>
    </w:p>
    <w:p w14:paraId="34369722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4  Node</w:t>
      </w:r>
      <w:proofErr w:type="gramEnd"/>
      <w:r>
        <w:rPr>
          <w:b/>
          <w:bCs/>
          <w:color w:val="333333"/>
          <w:sz w:val="22"/>
          <w:szCs w:val="22"/>
        </w:rPr>
        <w:t xml:space="preserve"> capacity tradeoff stated upfront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0B815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50B01F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abstract and Section 1.5:</w:t>
            </w:r>
          </w:p>
        </w:tc>
      </w:tr>
      <w:tr w:rsidR="00153AC3" w14:paraId="44C8F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957C4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CRT reduces per-channel node capacity from 728 to 484 complete readings, because three residue packets are sent per reading; the benefit is shorter per-packet airtime and higher gateway-side concurrency, not higher node capacity. The figure of 1,451 residue packets corresponds to 484 complete readings.</w:t>
            </w:r>
          </w:p>
        </w:tc>
      </w:tr>
    </w:tbl>
    <w:p w14:paraId="6CB41F87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§7</w:t>
      </w:r>
      <w:proofErr w:type="gramStart"/>
      <w:r>
        <w:rPr>
          <w:b/>
          <w:bCs/>
          <w:color w:val="333333"/>
          <w:sz w:val="22"/>
          <w:szCs w:val="22"/>
        </w:rPr>
        <w:t>a  Table</w:t>
      </w:r>
      <w:proofErr w:type="gramEnd"/>
      <w:r>
        <w:rPr>
          <w:b/>
          <w:bCs/>
          <w:color w:val="333333"/>
          <w:sz w:val="22"/>
          <w:szCs w:val="22"/>
        </w:rPr>
        <w:t xml:space="preserve"> 6 baseline footnote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5A70A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2A7FAB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a Table 6 footnote:</w:t>
            </w:r>
          </w:p>
        </w:tc>
      </w:tr>
      <w:tr w:rsidR="00153AC3" w14:paraId="4FC6B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6CB01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Improvement is relative to the No-CRT baseline (2.1 s). CRT+BC (1.7 s) is a 19.0% reduction versus No-CRT; CRT alone (1.5 s) is a 28.6% reduction.</w:t>
            </w:r>
          </w:p>
        </w:tc>
      </w:tr>
    </w:tbl>
    <w:p w14:paraId="14B9558D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§7</w:t>
      </w:r>
      <w:proofErr w:type="gramStart"/>
      <w:r>
        <w:rPr>
          <w:b/>
          <w:bCs/>
          <w:color w:val="333333"/>
          <w:sz w:val="22"/>
          <w:szCs w:val="22"/>
        </w:rPr>
        <w:t>b  Code</w:t>
      </w:r>
      <w:proofErr w:type="gramEnd"/>
      <w:r>
        <w:rPr>
          <w:b/>
          <w:bCs/>
          <w:color w:val="333333"/>
          <w:sz w:val="22"/>
          <w:szCs w:val="22"/>
        </w:rPr>
        <w:t xml:space="preserve"> listing formatting</w:t>
      </w:r>
    </w:p>
    <w:p w14:paraId="2513BF4B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Fix the verbatim/</w:t>
      </w:r>
      <w:proofErr w:type="spellStart"/>
      <w:r>
        <w:rPr>
          <w:color w:val="1A1A1A"/>
        </w:rPr>
        <w:t>lstlisting</w:t>
      </w:r>
      <w:proofErr w:type="spellEnd"/>
      <w:r>
        <w:rPr>
          <w:color w:val="1A1A1A"/>
        </w:rPr>
        <w:t xml:space="preserve"> font so characters don't render spaced (e.g. set </w:t>
      </w:r>
      <w:proofErr w:type="spellStart"/>
      <w:r>
        <w:rPr>
          <w:color w:val="1A1A1A"/>
        </w:rPr>
        <w:t>basicstyle</w:t>
      </w:r>
      <w:proofErr w:type="spellEnd"/>
      <w:r>
        <w:rPr>
          <w:color w:val="1A1A1A"/>
        </w:rPr>
        <w:t>=\</w:t>
      </w:r>
      <w:proofErr w:type="spellStart"/>
      <w:r>
        <w:rPr>
          <w:color w:val="1A1A1A"/>
        </w:rPr>
        <w:t>ttfamily</w:t>
      </w:r>
      <w:proofErr w:type="spellEnd"/>
      <w:r>
        <w:rPr>
          <w:color w:val="1A1A1A"/>
        </w:rPr>
        <w:t>\small and check the listings package columns=</w:t>
      </w:r>
      <w:proofErr w:type="spellStart"/>
      <w:r>
        <w:rPr>
          <w:color w:val="1A1A1A"/>
        </w:rPr>
        <w:t>fullflexible</w:t>
      </w:r>
      <w:proofErr w:type="spellEnd"/>
      <w:r>
        <w:rPr>
          <w:color w:val="1A1A1A"/>
        </w:rPr>
        <w:t xml:space="preserve"> option).</w:t>
      </w:r>
    </w:p>
    <w:p w14:paraId="019E5526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If a block is pseudocode, label it “Algorithm X (pseudocode)”.</w:t>
      </w:r>
    </w:p>
    <w:p w14:paraId="32354F6C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§7</w:t>
      </w:r>
      <w:proofErr w:type="gramStart"/>
      <w:r>
        <w:rPr>
          <w:b/>
          <w:bCs/>
          <w:color w:val="333333"/>
          <w:sz w:val="22"/>
          <w:szCs w:val="22"/>
        </w:rPr>
        <w:t>c  Figure</w:t>
      </w:r>
      <w:proofErr w:type="gramEnd"/>
      <w:r>
        <w:rPr>
          <w:b/>
          <w:bCs/>
          <w:color w:val="333333"/>
          <w:sz w:val="22"/>
          <w:szCs w:val="22"/>
        </w:rPr>
        <w:t xml:space="preserve"> 12 LZW derivation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7BD26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34BA0D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a footnote or inline line near Figure 12:</w:t>
            </w:r>
          </w:p>
        </w:tc>
      </w:tr>
      <w:tr w:rsidR="00153AC3" w14:paraId="01FA38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F4FEE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lastRenderedPageBreak/>
              <w:t xml:space="preserve">LZW saturation at 1,333 nodes follows from its per-packet airtime of [VALUE]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>, giving [VALUE] packets/s per channel; with one packet per reading the per-channel node ceiling is [VALUE].</w:t>
            </w:r>
          </w:p>
        </w:tc>
      </w:tr>
    </w:tbl>
    <w:p w14:paraId="7761D40E" w14:textId="77777777" w:rsidR="00153AC3" w:rsidRDefault="00000000">
      <w:pPr>
        <w:pStyle w:val="Heading2"/>
        <w:spacing w:before="280" w:after="120"/>
      </w:pPr>
      <w:r>
        <w:rPr>
          <w:b/>
          <w:bCs/>
          <w:color w:val="2E75B6"/>
          <w:sz w:val="25"/>
          <w:szCs w:val="25"/>
        </w:rPr>
        <w:t>Reviewer 3 — remaining items</w:t>
      </w:r>
    </w:p>
    <w:p w14:paraId="7F111725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Reduce length by 20–30%</w:t>
      </w:r>
    </w:p>
    <w:p w14:paraId="4DB1D329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Shorten Section 3.5.4 (reconstruction example) to one equation and the result.</w:t>
      </w:r>
    </w:p>
    <w:p w14:paraId="39FEBB50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Condense Section 3.5.5 (verification) to two lines.</w:t>
      </w:r>
    </w:p>
    <w:p w14:paraId="7C64C9B8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Move the gateway reconstruction code (Section 3.5.7) to a supplementary file or GitHub repo and reference it.</w:t>
      </w:r>
    </w:p>
    <w:p w14:paraId="419B99FF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Cut generic background that doesn't bear on CRT/blockchain (e.g. 2.1.3 ML in agriculture).</w:t>
      </w:r>
    </w:p>
    <w:p w14:paraId="096F92BF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Blockchain necessity (same as Rev 1 §9) — plus a comparison sentence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52EB22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5D6B54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the Section 3.6 introduction:</w:t>
            </w:r>
          </w:p>
        </w:tc>
      </w:tr>
      <w:tr w:rsidR="00153AC3" w14:paraId="233C2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A744B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A conventional database with access control could support logging and threshold-based irrigation; blockchain adds three capabilities that architecture lacks: a tamper-evident immutable audit trail without a trusted administrator, smart-contract-enforced irrigation automation that is itself on-chain verifiable, and multi-party access for certification bodies without sharing centralized credentials.</w:t>
            </w:r>
          </w:p>
        </w:tc>
      </w:tr>
    </w:tbl>
    <w:p w14:paraId="564C6857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Higher node density / congestion / gateway failure</w:t>
      </w:r>
    </w:p>
    <w:p w14:paraId="4C4BAA8C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If new experiments aren't feasible, state this explicitly in Limitations.</w:t>
      </w:r>
    </w:p>
    <w:p w14:paraId="0DDA87A4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At minimum, report what the existing deployment showed when multiple zones transmitted together (the Day 15 / Day 25 dips may already give partial congestion data).</w:t>
      </w:r>
    </w:p>
    <w:p w14:paraId="13925CB2" w14:textId="77777777" w:rsidR="00153AC3" w:rsidRDefault="00000000">
      <w:pPr>
        <w:pStyle w:val="Heading2"/>
        <w:spacing w:before="280" w:after="120"/>
      </w:pPr>
      <w:r>
        <w:rPr>
          <w:b/>
          <w:bCs/>
          <w:color w:val="2E75B6"/>
          <w:sz w:val="25"/>
          <w:szCs w:val="25"/>
        </w:rPr>
        <w:t>Reviewer 4 — remaining items</w:t>
      </w:r>
    </w:p>
    <w:p w14:paraId="70FAE264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2  Identifying</w:t>
      </w:r>
      <w:proofErr w:type="gramEnd"/>
      <w:r>
        <w:rPr>
          <w:b/>
          <w:bCs/>
          <w:color w:val="333333"/>
          <w:sz w:val="22"/>
          <w:szCs w:val="22"/>
        </w:rPr>
        <w:t xml:space="preserve"> which residue/modulus was lost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26024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CC0C57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3.5.8 (Error Resilience):</w:t>
            </w:r>
          </w:p>
        </w:tc>
      </w:tr>
      <w:tr w:rsidR="00153AC3" w14:paraId="5A97BA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74465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Each residue packet carries a 1-byte residue-index field (Table 4). The gateway buffers residues under a (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node_id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>, timestamp) key and uses the residue index to identify which modulus each received residue corresponds to, so a missing residue is identified by absence of its index. If a packet's header is itself corrupted, the packet is treated as fully lost; reconstruction then proceeds from the available 2 of 3 residues via subset CRT, or the gateway awaits retransmission.</w:t>
            </w:r>
          </w:p>
        </w:tc>
      </w:tr>
    </w:tbl>
    <w:p w14:paraId="09DD51C1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3  MAC</w:t>
      </w:r>
      <w:proofErr w:type="gramEnd"/>
      <w:r>
        <w:rPr>
          <w:b/>
          <w:bCs/>
          <w:color w:val="333333"/>
          <w:sz w:val="22"/>
          <w:szCs w:val="22"/>
        </w:rPr>
        <w:t>-layer scheduling / collision mitigation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3717E9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95FD02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3.4.1:</w:t>
            </w:r>
          </w:p>
        </w:tc>
      </w:tr>
      <w:tr w:rsidR="00153AC3" w14:paraId="0B654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2E12D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Residue channels are statically assigned (residue 1 → 868.1 MHz, residue 2 → 868.3 MHz, residue 3 → 868.5 MHz). Inter-node collisions are mitigated by [the 30-minute polling schedule / CSMA / time-slotting — state what you </w:t>
            </w:r>
            <w:proofErr w:type="gramStart"/>
            <w:r>
              <w:rPr>
                <w:i/>
                <w:iCs/>
                <w:color w:val="222222"/>
                <w:sz w:val="20"/>
                <w:szCs w:val="20"/>
              </w:rPr>
              <w:t>actually use</w:t>
            </w:r>
            <w:proofErr w:type="gramEnd"/>
            <w:r>
              <w:rPr>
                <w:i/>
                <w:iCs/>
                <w:color w:val="222222"/>
                <w:sz w:val="20"/>
                <w:szCs w:val="20"/>
              </w:rPr>
              <w:t>]; within a node, the three residues are sent back-to-back on their assigned channels.</w:t>
            </w:r>
          </w:p>
        </w:tc>
      </w:tr>
    </w:tbl>
    <w:p w14:paraId="47965A39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4  Sensor</w:t>
      </w:r>
      <w:proofErr w:type="gramEnd"/>
      <w:r>
        <w:rPr>
          <w:b/>
          <w:bCs/>
          <w:color w:val="333333"/>
          <w:sz w:val="22"/>
          <w:szCs w:val="22"/>
        </w:rPr>
        <w:t xml:space="preserve"> degradation / calibration drift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7C4BD2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102441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3.7.3 (Smart Contract — Data Validation):</w:t>
            </w:r>
          </w:p>
        </w:tc>
      </w:tr>
      <w:tr w:rsidR="00153AC3" w14:paraId="0F0F4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54EDE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The data-validation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chaincode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 range-checks each reading and flags values outside ±3σ of the node's rolling historical mean, excluding them from irrigation decisions to prevent actuation on drifted or faulty sensors. Physical recalibration on an annual schedule remains a deployment requirement not automated by the system.</w:t>
            </w:r>
          </w:p>
        </w:tc>
      </w:tr>
    </w:tbl>
    <w:p w14:paraId="574C4948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lastRenderedPageBreak/>
        <w:t>§</w:t>
      </w:r>
      <w:proofErr w:type="gramStart"/>
      <w:r>
        <w:rPr>
          <w:b/>
          <w:bCs/>
          <w:color w:val="333333"/>
          <w:sz w:val="22"/>
          <w:szCs w:val="22"/>
        </w:rPr>
        <w:t>5  CFT</w:t>
      </w:r>
      <w:proofErr w:type="gramEnd"/>
      <w:r>
        <w:rPr>
          <w:b/>
          <w:bCs/>
          <w:color w:val="333333"/>
          <w:sz w:val="22"/>
          <w:szCs w:val="22"/>
        </w:rPr>
        <w:t xml:space="preserve"> vs BFT acknowledgement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4A357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A43297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3.6.2 or Limitations:</w:t>
            </w:r>
          </w:p>
        </w:tc>
      </w:tr>
      <w:tr w:rsidR="00153AC3" w14:paraId="31BE5A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2F219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Raft provides crash-fault tolerance; a physically tampered or compromised gateway is a Byzantine fault outside Raft's model. BFT consensus (e.g. PBFT) would require 3f+1 </w:t>
            </w:r>
            <w:proofErr w:type="gramStart"/>
            <w:r>
              <w:rPr>
                <w:i/>
                <w:iCs/>
                <w:color w:val="222222"/>
                <w:sz w:val="20"/>
                <w:szCs w:val="20"/>
              </w:rPr>
              <w:t>nodes</w:t>
            </w:r>
            <w:proofErr w:type="gramEnd"/>
            <w:r>
              <w:rPr>
                <w:i/>
                <w:iCs/>
                <w:color w:val="222222"/>
                <w:sz w:val="20"/>
                <w:szCs w:val="20"/>
              </w:rPr>
              <w:t xml:space="preserve"> for f Byzantine faults, raising resource demands. For this deployment, physical access control and gateway TPM 2.0 attestation are the primary mitigations, and BFT consensus is identified as future work.</w:t>
            </w:r>
          </w:p>
        </w:tc>
      </w:tr>
    </w:tbl>
    <w:p w14:paraId="6EA40F1D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6  Long</w:t>
      </w:r>
      <w:proofErr w:type="gramEnd"/>
      <w:r>
        <w:rPr>
          <w:b/>
          <w:bCs/>
          <w:color w:val="333333"/>
          <w:sz w:val="22"/>
          <w:szCs w:val="22"/>
        </w:rPr>
        <w:t>-term audit retention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2DBE8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E4AC9B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3.6.1 or 3.7.4:</w:t>
            </w:r>
          </w:p>
        </w:tc>
      </w:tr>
      <w:tr w:rsidR="00153AC3" w14:paraId="3D5EE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E9FA3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On-chain storage retains cryptographic hashes; full records are archived off-chain in CouchDB for [5] years. For multi-year certification audits, an auditor recomputes the SHA-256 of an off-chain record and verifies it against the on-chain hash anchor, satisfying audit requirements without retaining full transaction history on-chain.</w:t>
            </w:r>
          </w:p>
        </w:tc>
      </w:tr>
    </w:tbl>
    <w:p w14:paraId="7CD04948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7  Irrigation</w:t>
      </w:r>
      <w:proofErr w:type="gramEnd"/>
      <w:r>
        <w:rPr>
          <w:b/>
          <w:bCs/>
          <w:color w:val="333333"/>
          <w:sz w:val="22"/>
          <w:szCs w:val="22"/>
        </w:rPr>
        <w:t xml:space="preserve"> behavior during gateway partition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34A28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983E80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3.7.3:</w:t>
            </w:r>
          </w:p>
        </w:tc>
      </w:tr>
      <w:tr w:rsidR="00153AC3" w14:paraId="5774FE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87673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During a gateway partition, irrigation in the affected zone continues under the last cached threshold rules for up to [VALUE] hours; beyond that, the zone defaults to a conservative failsafe timer schedule until gateway contact is restored. [State the real behavior; if not implemented, list as a limitation.]</w:t>
            </w:r>
          </w:p>
        </w:tc>
      </w:tr>
    </w:tbl>
    <w:p w14:paraId="3E567330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8  Why</w:t>
      </w:r>
      <w:proofErr w:type="gramEnd"/>
      <w:r>
        <w:rPr>
          <w:b/>
          <w:bCs/>
          <w:color w:val="333333"/>
          <w:sz w:val="22"/>
          <w:szCs w:val="22"/>
        </w:rPr>
        <w:t xml:space="preserve"> recovery (8.2 s) exceeds the election timeout (2–4 s)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7E892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8DDDF8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after the 8.2 s figure in Section 3.6.2:</w:t>
            </w:r>
          </w:p>
        </w:tc>
      </w:tr>
      <w:tr w:rsidR="00153AC3" w14:paraId="353FA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E9890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Recovery exceeds the 2–4 s election timeout because total recovery includes leader election (2–4 s) plus log replication to the majority and state synchronization to the new leader on ARM64 hardware under field load (≈[VALUE] s combined), yielding the observed 8.2 s average.</w:t>
            </w:r>
          </w:p>
        </w:tc>
      </w:tr>
    </w:tbl>
    <w:p w14:paraId="671DA92B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10  Thermal</w:t>
      </w:r>
      <w:proofErr w:type="gramEnd"/>
      <w:r>
        <w:rPr>
          <w:b/>
          <w:bCs/>
          <w:color w:val="333333"/>
          <w:sz w:val="22"/>
          <w:szCs w:val="22"/>
        </w:rPr>
        <w:t xml:space="preserve"> throttling at 39.5°C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46A113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EFD3E6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4.1 or the reliability subsection:</w:t>
            </w:r>
          </w:p>
        </w:tc>
      </w:tr>
      <w:tr w:rsidR="00153AC3" w14:paraId="00FCE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0DDE2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Gateway CPU temperature was monitored via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vcgencmd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 xml:space="preserve">; peak CPU temperature reached [VALUE] °C and the throttling flag [did/did not] </w:t>
            </w:r>
            <w:proofErr w:type="gramStart"/>
            <w:r>
              <w:rPr>
                <w:i/>
                <w:iCs/>
                <w:color w:val="222222"/>
                <w:sz w:val="20"/>
                <w:szCs w:val="20"/>
              </w:rPr>
              <w:t>register</w:t>
            </w:r>
            <w:proofErr w:type="gramEnd"/>
            <w:r>
              <w:rPr>
                <w:i/>
                <w:iCs/>
                <w:color w:val="222222"/>
                <w:sz w:val="20"/>
                <w:szCs w:val="20"/>
              </w:rPr>
              <w:t xml:space="preserve"> (throttled=0x[VALUE]). Gateways were housed in ventilated, shaded enclosures. [If not monitored, state so and note the enclosure mitigation.]</w:t>
            </w:r>
          </w:p>
        </w:tc>
      </w:tr>
    </w:tbl>
    <w:p w14:paraId="02373077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12  Pepper</w:t>
      </w:r>
      <w:proofErr w:type="gramEnd"/>
      <w:r>
        <w:rPr>
          <w:b/>
          <w:bCs/>
          <w:color w:val="333333"/>
          <w:sz w:val="22"/>
          <w:szCs w:val="22"/>
        </w:rPr>
        <w:t xml:space="preserve"> marketable-yield source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46E10F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4AE933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to Section 5.4.2:</w:t>
            </w:r>
          </w:p>
        </w:tc>
      </w:tr>
      <w:tr w:rsidR="00153AC3" w14:paraId="5631A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3F9C4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The 2.4 t/ha increase in marketable pepper yield is attributed primarily to reduced sunscald (6.5%→3.2%) and blossom end rot (4.2%→1.8%); no statistically significant change in fruit length or diameter was observed (Table 21, p&gt;0.05), so the shift reflects grade recovery rather than morphological gain.</w:t>
            </w:r>
          </w:p>
        </w:tc>
      </w:tr>
    </w:tbl>
    <w:p w14:paraId="4A7E92B6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13  Five</w:t>
      </w:r>
      <w:proofErr w:type="gramEnd"/>
      <w:r>
        <w:rPr>
          <w:b/>
          <w:bCs/>
          <w:color w:val="333333"/>
          <w:sz w:val="22"/>
          <w:szCs w:val="22"/>
        </w:rPr>
        <w:t xml:space="preserve"> requested citations</w:t>
      </w:r>
    </w:p>
    <w:p w14:paraId="74CF30C6" w14:textId="77777777" w:rsidR="00153AC3" w:rsidRDefault="00000000">
      <w:pPr>
        <w:spacing w:after="120" w:line="276" w:lineRule="auto"/>
      </w:pPr>
      <w:r>
        <w:rPr>
          <w:color w:val="1A1A1A"/>
        </w:rPr>
        <w:t xml:space="preserve">Add these to </w:t>
      </w:r>
      <w:proofErr w:type="gramStart"/>
      <w:r>
        <w:rPr>
          <w:color w:val="1A1A1A"/>
        </w:rPr>
        <w:t>your .bib</w:t>
      </w:r>
      <w:proofErr w:type="gramEnd"/>
      <w:r>
        <w:rPr>
          <w:color w:val="1A1A1A"/>
        </w:rPr>
        <w:t xml:space="preserve"> (find DOIs by title) and cite as future-work / related-work:</w:t>
      </w:r>
    </w:p>
    <w:p w14:paraId="4B8F01E8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 xml:space="preserve">RBCET (reputation-based consensus, </w:t>
      </w:r>
      <w:proofErr w:type="spellStart"/>
      <w:r>
        <w:rPr>
          <w:color w:val="1A1A1A"/>
        </w:rPr>
        <w:t>IoEV</w:t>
      </w:r>
      <w:proofErr w:type="spellEnd"/>
      <w:r>
        <w:rPr>
          <w:color w:val="1A1A1A"/>
        </w:rPr>
        <w:t xml:space="preserve">) and </w:t>
      </w:r>
      <w:proofErr w:type="spellStart"/>
      <w:r>
        <w:rPr>
          <w:color w:val="1A1A1A"/>
        </w:rPr>
        <w:t>RPoE</w:t>
      </w:r>
      <w:proofErr w:type="spellEnd"/>
      <w:r>
        <w:rPr>
          <w:color w:val="1A1A1A"/>
        </w:rPr>
        <w:t xml:space="preserve"> (reputation-aware </w:t>
      </w:r>
      <w:proofErr w:type="gramStart"/>
      <w:r>
        <w:rPr>
          <w:color w:val="1A1A1A"/>
        </w:rPr>
        <w:t>proof-of-energy) —</w:t>
      </w:r>
      <w:proofErr w:type="gramEnd"/>
      <w:r>
        <w:rPr>
          <w:color w:val="1A1A1A"/>
        </w:rPr>
        <w:t xml:space="preserve"> cite in Section 3.6.2 as future direction for reputation-weighted consensus (also answers Reviewer 4 §5).</w:t>
      </w:r>
    </w:p>
    <w:p w14:paraId="4849035D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lastRenderedPageBreak/>
        <w:t xml:space="preserve">SECURE (randomness + edge computing for drone-assisted </w:t>
      </w:r>
      <w:proofErr w:type="spellStart"/>
      <w:proofErr w:type="gramStart"/>
      <w:r>
        <w:rPr>
          <w:color w:val="1A1A1A"/>
        </w:rPr>
        <w:t>IoV</w:t>
      </w:r>
      <w:proofErr w:type="spellEnd"/>
      <w:r>
        <w:rPr>
          <w:color w:val="1A1A1A"/>
        </w:rPr>
        <w:t>) —</w:t>
      </w:r>
      <w:proofErr w:type="gramEnd"/>
      <w:r>
        <w:rPr>
          <w:color w:val="1A1A1A"/>
        </w:rPr>
        <w:t xml:space="preserve"> cite in future work for drone-assisted sensing extension.</w:t>
      </w:r>
    </w:p>
    <w:p w14:paraId="3412D7B5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 xml:space="preserve">Blockchain-integrated PUF framework — cite in the device-identity discussion as a stronger alternative to </w:t>
      </w:r>
      <w:proofErr w:type="spellStart"/>
      <w:r>
        <w:rPr>
          <w:color w:val="1A1A1A"/>
        </w:rPr>
        <w:t>eFuse</w:t>
      </w:r>
      <w:proofErr w:type="spellEnd"/>
      <w:r>
        <w:rPr>
          <w:color w:val="1A1A1A"/>
        </w:rPr>
        <w:t>/OTP.</w:t>
      </w:r>
    </w:p>
    <w:p w14:paraId="51EA1B30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Optimized AES + dynamic threat modeling on embedded — cite in the security/energy discussion.</w:t>
      </w:r>
    </w:p>
    <w:p w14:paraId="1D21D183" w14:textId="77777777" w:rsidR="00153AC3" w:rsidRDefault="00000000">
      <w:pPr>
        <w:spacing w:after="120" w:line="276" w:lineRule="auto"/>
      </w:pPr>
      <w:r>
        <w:rPr>
          <w:i/>
          <w:iCs/>
          <w:color w:val="555555"/>
        </w:rPr>
        <w:t>Cite them substantively (one clause each on how they relate), not as a bare list, or a reviewer will see padding.</w:t>
      </w:r>
    </w:p>
    <w:p w14:paraId="356F5699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14  Table</w:t>
      </w:r>
      <w:proofErr w:type="gramEnd"/>
      <w:r>
        <w:rPr>
          <w:b/>
          <w:bCs/>
          <w:color w:val="333333"/>
          <w:sz w:val="22"/>
          <w:szCs w:val="22"/>
        </w:rPr>
        <w:t xml:space="preserve"> 10 power-state footnote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15024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59F46A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a Table 10 footnote:</w:t>
            </w:r>
          </w:p>
        </w:tc>
      </w:tr>
      <w:tr w:rsidR="00153AC3" w14:paraId="7E849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7A57E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 xml:space="preserve">Total energy per transmission includes active LoRa TX (120 </w:t>
            </w:r>
            <w:proofErr w:type="spellStart"/>
            <w:r>
              <w:rPr>
                <w:i/>
                <w:iCs/>
                <w:color w:val="222222"/>
                <w:sz w:val="20"/>
                <w:szCs w:val="20"/>
              </w:rPr>
              <w:t>mW</w:t>
            </w:r>
            <w:proofErr w:type="spellEnd"/>
            <w:r>
              <w:rPr>
                <w:i/>
                <w:iCs/>
                <w:color w:val="222222"/>
                <w:sz w:val="20"/>
                <w:szCs w:val="20"/>
              </w:rPr>
              <w:t>, measured), MCU active wake-up, and sensor ADC sampling. It excludes LoRa RX (uplink-only nodes), deep sleep (reported separately in the energy budget table), and gateway reception.</w:t>
            </w:r>
          </w:p>
        </w:tc>
      </w:tr>
    </w:tbl>
    <w:p w14:paraId="3FE2371C" w14:textId="77777777" w:rsidR="00153AC3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§</w:t>
      </w:r>
      <w:proofErr w:type="gramStart"/>
      <w:r>
        <w:rPr>
          <w:b/>
          <w:bCs/>
          <w:color w:val="333333"/>
          <w:sz w:val="22"/>
          <w:szCs w:val="22"/>
        </w:rPr>
        <w:t>15  Error</w:t>
      </w:r>
      <w:proofErr w:type="gramEnd"/>
      <w:r>
        <w:rPr>
          <w:b/>
          <w:bCs/>
          <w:color w:val="333333"/>
          <w:sz w:val="22"/>
          <w:szCs w:val="22"/>
        </w:rPr>
        <w:t xml:space="preserve"> bars on Figures 10 and 11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153AC3" w14:paraId="29BAE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68F63A" w14:textId="77777777" w:rsidR="00153AC3" w:rsidRDefault="00000000">
            <w:r>
              <w:rPr>
                <w:b/>
                <w:bCs/>
                <w:color w:val="FFFFFF"/>
                <w:sz w:val="19"/>
                <w:szCs w:val="19"/>
              </w:rPr>
              <w:t>Add error bars and a caption note:</w:t>
            </w:r>
          </w:p>
        </w:tc>
      </w:tr>
      <w:tr w:rsidR="00153AC3" w14:paraId="3908C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89DBA" w14:textId="77777777" w:rsidR="00153AC3" w:rsidRDefault="00000000">
            <w:pPr>
              <w:spacing w:after="90"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Error bars show 95% confidence intervals across n=10 measurement runs.</w:t>
            </w:r>
          </w:p>
          <w:p w14:paraId="6267893D" w14:textId="77777777" w:rsidR="00153AC3" w:rsidRDefault="00000000">
            <w:pPr>
              <w:spacing w:line="264" w:lineRule="auto"/>
            </w:pPr>
            <w:r>
              <w:rPr>
                <w:i/>
                <w:iCs/>
                <w:color w:val="222222"/>
                <w:sz w:val="20"/>
                <w:szCs w:val="20"/>
              </w:rPr>
              <w:t>[Compute SD from your raw run data and add the bars in your plotting code.]</w:t>
            </w:r>
          </w:p>
        </w:tc>
      </w:tr>
    </w:tbl>
    <w:p w14:paraId="214D32BF" w14:textId="77777777" w:rsidR="00153AC3" w:rsidRDefault="00153AC3">
      <w:pPr>
        <w:pageBreakBefore/>
      </w:pPr>
    </w:p>
    <w:p w14:paraId="29A07D3D" w14:textId="77777777" w:rsidR="00153AC3" w:rsidRDefault="00000000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Part 4 — Response letter structure</w:t>
      </w:r>
    </w:p>
    <w:p w14:paraId="0CF15B50" w14:textId="77777777" w:rsidR="00153AC3" w:rsidRDefault="00000000">
      <w:pPr>
        <w:spacing w:after="120" w:line="276" w:lineRule="auto"/>
      </w:pPr>
      <w:r>
        <w:rPr>
          <w:color w:val="1A1A1A"/>
        </w:rPr>
        <w:t>When you resubmit, include a point-by-point response. For each reviewer comment use this three-line pattern:</w:t>
      </w:r>
    </w:p>
    <w:p w14:paraId="2248D0D9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Comment (quoted briefly).</w:t>
      </w:r>
    </w:p>
    <w:p w14:paraId="5E80E4EE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Response: what you changed and why.</w:t>
      </w:r>
    </w:p>
    <w:p w14:paraId="11DB5EF9" w14:textId="77777777" w:rsidR="00153AC3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color w:val="1A1A1A"/>
        </w:rPr>
        <w:t>Location: section/table/figure where the change appears (with the new text quoted).</w:t>
      </w:r>
    </w:p>
    <w:p w14:paraId="27D72823" w14:textId="77777777" w:rsidR="00153AC3" w:rsidRDefault="00153AC3">
      <w:pPr>
        <w:spacing w:after="120"/>
      </w:pPr>
    </w:p>
    <w:p w14:paraId="042B8A9B" w14:textId="77777777" w:rsidR="00153AC3" w:rsidRDefault="00000000">
      <w:pPr>
        <w:spacing w:after="120" w:line="276" w:lineRule="auto"/>
      </w:pPr>
      <w:r>
        <w:rPr>
          <w:b/>
          <w:bCs/>
          <w:color w:val="1A1A1A"/>
        </w:rPr>
        <w:t>Group your opening reply around the shared themes so reviewers see you took the core issues seriously:</w:t>
      </w:r>
    </w:p>
    <w:p w14:paraId="1570FF27" w14:textId="77777777" w:rsidR="00153AC3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color w:val="1A1A1A"/>
        </w:rPr>
        <w:t>Reframed the parallelism claim consistently throughout (Rev 2 §1, Rev 3, Rev 1 §4).</w:t>
      </w:r>
    </w:p>
    <w:p w14:paraId="2AF94067" w14:textId="77777777" w:rsidR="00153AC3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color w:val="1A1A1A"/>
        </w:rPr>
        <w:t>Corrected the latency headline and removed the invalid 66.7% figure (Rev 2 §2).</w:t>
      </w:r>
    </w:p>
    <w:p w14:paraId="372882F7" w14:textId="77777777" w:rsidR="00153AC3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color w:val="1A1A1A"/>
        </w:rPr>
        <w:t>Replaced/repaired the Amdahl's Law analysis (Rev 2 §3, Rev 4 §11).</w:t>
      </w:r>
    </w:p>
    <w:p w14:paraId="28350583" w14:textId="77777777" w:rsidR="00153AC3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color w:val="1A1A1A"/>
        </w:rPr>
        <w:t>Clarified energy scope and added total-per-reading energy (Rev 1 §2, Rev 2 §5).</w:t>
      </w:r>
    </w:p>
    <w:p w14:paraId="15214CE2" w14:textId="77777777" w:rsidR="00153AC3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color w:val="1A1A1A"/>
        </w:rPr>
        <w:t>Added explicit research hypotheses (Rev 1 §1).</w:t>
      </w:r>
    </w:p>
    <w:p w14:paraId="398F28DC" w14:textId="77777777" w:rsidR="00153AC3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color w:val="1A1A1A"/>
        </w:rPr>
        <w:t>Corrected battery specs and all internal inconsistencies (Rev 4 §9).</w:t>
      </w:r>
    </w:p>
    <w:p w14:paraId="441F4096" w14:textId="77777777" w:rsidR="00153AC3" w:rsidRDefault="00153AC3">
      <w:pPr>
        <w:spacing w:after="120"/>
      </w:pPr>
    </w:p>
    <w:p w14:paraId="7DFD8AF6" w14:textId="77777777" w:rsidR="00153AC3" w:rsidRDefault="00000000">
      <w:pPr>
        <w:spacing w:after="120" w:line="276" w:lineRule="auto"/>
      </w:pPr>
      <w:r>
        <w:rPr>
          <w:i/>
          <w:iCs/>
          <w:color w:val="444444"/>
        </w:rPr>
        <w:t>A note on Reviewer 3's venue comment: Reviewer 3 frames the paper for the Journal of Supercomputing (parallel communication models, distributed edge). If you are still deciding venue, that framing — distributed edge computing and parallel communication — is a better fit for this CRT paper than a pure IoT venue, and aligns with how you should reframe the contribution.</w:t>
      </w:r>
    </w:p>
    <w:sectPr w:rsidR="00153AC3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01FE3" w14:textId="77777777" w:rsidR="000D5808" w:rsidRDefault="000D5808">
      <w:r>
        <w:separator/>
      </w:r>
    </w:p>
  </w:endnote>
  <w:endnote w:type="continuationSeparator" w:id="0">
    <w:p w14:paraId="39CE4F3F" w14:textId="77777777" w:rsidR="000D5808" w:rsidRDefault="000D5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704E" w14:textId="77777777" w:rsidR="00153AC3" w:rsidRDefault="00000000">
    <w:pPr>
      <w:jc w:val="center"/>
    </w:pPr>
    <w:r>
      <w:rPr>
        <w:color w:val="888888"/>
        <w:sz w:val="16"/>
        <w:szCs w:val="16"/>
      </w:rPr>
      <w:t xml:space="preserve">CRT Paper Revision </w:t>
    </w:r>
    <w:proofErr w:type="gramStart"/>
    <w:r>
      <w:rPr>
        <w:color w:val="888888"/>
        <w:sz w:val="16"/>
        <w:szCs w:val="16"/>
      </w:rPr>
      <w:t>Plan  —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F716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4025F" w14:textId="77777777" w:rsidR="000D5808" w:rsidRDefault="000D5808">
      <w:r>
        <w:separator/>
      </w:r>
    </w:p>
  </w:footnote>
  <w:footnote w:type="continuationSeparator" w:id="0">
    <w:p w14:paraId="3B96C9BB" w14:textId="77777777" w:rsidR="000D5808" w:rsidRDefault="000D5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D0437"/>
    <w:multiLevelType w:val="hybridMultilevel"/>
    <w:tmpl w:val="B44407C0"/>
    <w:lvl w:ilvl="0" w:tplc="B7108CF6">
      <w:start w:val="1"/>
      <w:numFmt w:val="decimal"/>
      <w:lvlText w:val="%1."/>
      <w:lvlJc w:val="left"/>
      <w:pPr>
        <w:ind w:left="460" w:hanging="260"/>
      </w:pPr>
    </w:lvl>
    <w:lvl w:ilvl="1" w:tplc="3984D256">
      <w:numFmt w:val="decimal"/>
      <w:lvlText w:val=""/>
      <w:lvlJc w:val="left"/>
    </w:lvl>
    <w:lvl w:ilvl="2" w:tplc="ED767A4A">
      <w:numFmt w:val="decimal"/>
      <w:lvlText w:val=""/>
      <w:lvlJc w:val="left"/>
    </w:lvl>
    <w:lvl w:ilvl="3" w:tplc="CAB40D7A">
      <w:numFmt w:val="decimal"/>
      <w:lvlText w:val=""/>
      <w:lvlJc w:val="left"/>
    </w:lvl>
    <w:lvl w:ilvl="4" w:tplc="56686966">
      <w:numFmt w:val="decimal"/>
      <w:lvlText w:val=""/>
      <w:lvlJc w:val="left"/>
    </w:lvl>
    <w:lvl w:ilvl="5" w:tplc="FDA8A8A0">
      <w:numFmt w:val="decimal"/>
      <w:lvlText w:val=""/>
      <w:lvlJc w:val="left"/>
    </w:lvl>
    <w:lvl w:ilvl="6" w:tplc="9A68F52A">
      <w:numFmt w:val="decimal"/>
      <w:lvlText w:val=""/>
      <w:lvlJc w:val="left"/>
    </w:lvl>
    <w:lvl w:ilvl="7" w:tplc="E5046A16">
      <w:numFmt w:val="decimal"/>
      <w:lvlText w:val=""/>
      <w:lvlJc w:val="left"/>
    </w:lvl>
    <w:lvl w:ilvl="8" w:tplc="33AEFA56">
      <w:numFmt w:val="decimal"/>
      <w:lvlText w:val=""/>
      <w:lvlJc w:val="left"/>
    </w:lvl>
  </w:abstractNum>
  <w:abstractNum w:abstractNumId="1" w15:restartNumberingAfterBreak="0">
    <w:nsid w:val="56CA55AB"/>
    <w:multiLevelType w:val="hybridMultilevel"/>
    <w:tmpl w:val="B1CC830E"/>
    <w:lvl w:ilvl="0" w:tplc="382A318C">
      <w:start w:val="1"/>
      <w:numFmt w:val="bullet"/>
      <w:lvlText w:val="●"/>
      <w:lvlJc w:val="left"/>
      <w:pPr>
        <w:ind w:left="720" w:hanging="360"/>
      </w:pPr>
    </w:lvl>
    <w:lvl w:ilvl="1" w:tplc="38464FE0">
      <w:start w:val="1"/>
      <w:numFmt w:val="bullet"/>
      <w:lvlText w:val="○"/>
      <w:lvlJc w:val="left"/>
      <w:pPr>
        <w:ind w:left="1440" w:hanging="360"/>
      </w:pPr>
    </w:lvl>
    <w:lvl w:ilvl="2" w:tplc="C6E84928">
      <w:start w:val="1"/>
      <w:numFmt w:val="bullet"/>
      <w:lvlText w:val="■"/>
      <w:lvlJc w:val="left"/>
      <w:pPr>
        <w:ind w:left="2160" w:hanging="360"/>
      </w:pPr>
    </w:lvl>
    <w:lvl w:ilvl="3" w:tplc="E1CE194C">
      <w:start w:val="1"/>
      <w:numFmt w:val="bullet"/>
      <w:lvlText w:val="●"/>
      <w:lvlJc w:val="left"/>
      <w:pPr>
        <w:ind w:left="2880" w:hanging="360"/>
      </w:pPr>
    </w:lvl>
    <w:lvl w:ilvl="4" w:tplc="BD42099C">
      <w:start w:val="1"/>
      <w:numFmt w:val="bullet"/>
      <w:lvlText w:val="○"/>
      <w:lvlJc w:val="left"/>
      <w:pPr>
        <w:ind w:left="3600" w:hanging="360"/>
      </w:pPr>
    </w:lvl>
    <w:lvl w:ilvl="5" w:tplc="ECDEAF00">
      <w:start w:val="1"/>
      <w:numFmt w:val="bullet"/>
      <w:lvlText w:val="■"/>
      <w:lvlJc w:val="left"/>
      <w:pPr>
        <w:ind w:left="4320" w:hanging="360"/>
      </w:pPr>
    </w:lvl>
    <w:lvl w:ilvl="6" w:tplc="23A00856">
      <w:start w:val="1"/>
      <w:numFmt w:val="bullet"/>
      <w:lvlText w:val="●"/>
      <w:lvlJc w:val="left"/>
      <w:pPr>
        <w:ind w:left="5040" w:hanging="360"/>
      </w:pPr>
    </w:lvl>
    <w:lvl w:ilvl="7" w:tplc="1550FC16">
      <w:start w:val="1"/>
      <w:numFmt w:val="bullet"/>
      <w:lvlText w:val="●"/>
      <w:lvlJc w:val="left"/>
      <w:pPr>
        <w:ind w:left="5760" w:hanging="360"/>
      </w:pPr>
    </w:lvl>
    <w:lvl w:ilvl="8" w:tplc="7368FC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771FB6"/>
    <w:multiLevelType w:val="hybridMultilevel"/>
    <w:tmpl w:val="A3A8F94C"/>
    <w:lvl w:ilvl="0" w:tplc="9030F8D6">
      <w:start w:val="1"/>
      <w:numFmt w:val="bullet"/>
      <w:lvlText w:val="•"/>
      <w:lvlJc w:val="left"/>
      <w:pPr>
        <w:ind w:left="460" w:hanging="260"/>
      </w:pPr>
    </w:lvl>
    <w:lvl w:ilvl="1" w:tplc="C756D0F4">
      <w:numFmt w:val="decimal"/>
      <w:lvlText w:val=""/>
      <w:lvlJc w:val="left"/>
    </w:lvl>
    <w:lvl w:ilvl="2" w:tplc="CC824DF4">
      <w:numFmt w:val="decimal"/>
      <w:lvlText w:val=""/>
      <w:lvlJc w:val="left"/>
    </w:lvl>
    <w:lvl w:ilvl="3" w:tplc="1B1A38DA">
      <w:numFmt w:val="decimal"/>
      <w:lvlText w:val=""/>
      <w:lvlJc w:val="left"/>
    </w:lvl>
    <w:lvl w:ilvl="4" w:tplc="812E5EF8">
      <w:numFmt w:val="decimal"/>
      <w:lvlText w:val=""/>
      <w:lvlJc w:val="left"/>
    </w:lvl>
    <w:lvl w:ilvl="5" w:tplc="D58ABB0C">
      <w:numFmt w:val="decimal"/>
      <w:lvlText w:val=""/>
      <w:lvlJc w:val="left"/>
    </w:lvl>
    <w:lvl w:ilvl="6" w:tplc="4814B5FC">
      <w:numFmt w:val="decimal"/>
      <w:lvlText w:val=""/>
      <w:lvlJc w:val="left"/>
    </w:lvl>
    <w:lvl w:ilvl="7" w:tplc="2E6E9B56">
      <w:numFmt w:val="decimal"/>
      <w:lvlText w:val=""/>
      <w:lvlJc w:val="left"/>
    </w:lvl>
    <w:lvl w:ilvl="8" w:tplc="B1E42AAC">
      <w:numFmt w:val="decimal"/>
      <w:lvlText w:val=""/>
      <w:lvlJc w:val="left"/>
    </w:lvl>
  </w:abstractNum>
  <w:abstractNum w:abstractNumId="3" w15:restartNumberingAfterBreak="0">
    <w:nsid w:val="7EC21E2F"/>
    <w:multiLevelType w:val="hybridMultilevel"/>
    <w:tmpl w:val="64207EF4"/>
    <w:lvl w:ilvl="0" w:tplc="CB8EC2BE">
      <w:start w:val="1"/>
      <w:numFmt w:val="decimal"/>
      <w:lvlText w:val="%1."/>
      <w:lvlJc w:val="left"/>
      <w:pPr>
        <w:ind w:left="460" w:hanging="260"/>
      </w:pPr>
    </w:lvl>
    <w:lvl w:ilvl="1" w:tplc="904A01C0">
      <w:numFmt w:val="decimal"/>
      <w:lvlText w:val=""/>
      <w:lvlJc w:val="left"/>
    </w:lvl>
    <w:lvl w:ilvl="2" w:tplc="5ED45806">
      <w:numFmt w:val="decimal"/>
      <w:lvlText w:val=""/>
      <w:lvlJc w:val="left"/>
    </w:lvl>
    <w:lvl w:ilvl="3" w:tplc="73807FA8">
      <w:numFmt w:val="decimal"/>
      <w:lvlText w:val=""/>
      <w:lvlJc w:val="left"/>
    </w:lvl>
    <w:lvl w:ilvl="4" w:tplc="B46E77E0">
      <w:numFmt w:val="decimal"/>
      <w:lvlText w:val=""/>
      <w:lvlJc w:val="left"/>
    </w:lvl>
    <w:lvl w:ilvl="5" w:tplc="6560A43E">
      <w:numFmt w:val="decimal"/>
      <w:lvlText w:val=""/>
      <w:lvlJc w:val="left"/>
    </w:lvl>
    <w:lvl w:ilvl="6" w:tplc="67AC9536">
      <w:numFmt w:val="decimal"/>
      <w:lvlText w:val=""/>
      <w:lvlJc w:val="left"/>
    </w:lvl>
    <w:lvl w:ilvl="7" w:tplc="B25278DC">
      <w:numFmt w:val="decimal"/>
      <w:lvlText w:val=""/>
      <w:lvlJc w:val="left"/>
    </w:lvl>
    <w:lvl w:ilvl="8" w:tplc="20140D16">
      <w:numFmt w:val="decimal"/>
      <w:lvlText w:val=""/>
      <w:lvlJc w:val="left"/>
    </w:lvl>
  </w:abstractNum>
  <w:num w:numId="1" w16cid:durableId="2056460616">
    <w:abstractNumId w:val="1"/>
    <w:lvlOverride w:ilvl="0">
      <w:startOverride w:val="1"/>
    </w:lvlOverride>
  </w:num>
  <w:num w:numId="2" w16cid:durableId="1737900476">
    <w:abstractNumId w:val="3"/>
    <w:lvlOverride w:ilvl="0">
      <w:startOverride w:val="1"/>
    </w:lvlOverride>
  </w:num>
  <w:num w:numId="3" w16cid:durableId="701367828">
    <w:abstractNumId w:val="2"/>
    <w:lvlOverride w:ilvl="0">
      <w:startOverride w:val="1"/>
    </w:lvlOverride>
  </w:num>
  <w:num w:numId="4" w16cid:durableId="1112284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AC3"/>
    <w:rsid w:val="000D5808"/>
    <w:rsid w:val="00153AC3"/>
    <w:rsid w:val="008141DB"/>
    <w:rsid w:val="00AF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61F7"/>
  <w15:docId w15:val="{ADFC39BC-8C94-4B89-B570-3A168F3C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3440</Words>
  <Characters>19609</Characters>
  <Application>Microsoft Office Word</Application>
  <DocSecurity>0</DocSecurity>
  <Lines>163</Lines>
  <Paragraphs>46</Paragraphs>
  <ScaleCrop>false</ScaleCrop>
  <Company/>
  <LinksUpToDate>false</LinksUpToDate>
  <CharactersWithSpaces>23003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forcha glen</cp:lastModifiedBy>
  <cp:revision>2</cp:revision>
  <dcterms:created xsi:type="dcterms:W3CDTF">2026-06-22T13:06:00Z</dcterms:created>
  <dcterms:modified xsi:type="dcterms:W3CDTF">2026-06-22T13:06:00Z</dcterms:modified>
</cp:coreProperties>
</file>