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DC69" w14:textId="1E51E8F7" w:rsidR="00A430CA" w:rsidRDefault="00000000">
      <w:pPr>
        <w:spacing w:after="60"/>
      </w:pPr>
      <w:r>
        <w:rPr>
          <w:rFonts w:ascii="Calibri" w:eastAsia="Calibri" w:hAnsi="Calibri" w:cs="Calibri"/>
          <w:b/>
          <w:bCs/>
          <w:color w:val="1F3864"/>
          <w:sz w:val="36"/>
          <w:szCs w:val="36"/>
        </w:rPr>
        <w:t xml:space="preserve">Reviewer Comments </w:t>
      </w:r>
    </w:p>
    <w:p w14:paraId="505D5C6F" w14:textId="47630B45" w:rsidR="00A430CA" w:rsidRDefault="00A430CA">
      <w:pPr>
        <w:spacing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1012"/>
        <w:gridCol w:w="1723"/>
        <w:gridCol w:w="3661"/>
        <w:gridCol w:w="7340"/>
      </w:tblGrid>
      <w:tr w:rsidR="00A430CA" w14:paraId="322AF95B" w14:textId="77777777" w:rsidTr="002017AB">
        <w:tc>
          <w:tcPr>
            <w:tcW w:w="224" w:type="pct"/>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28AFFA73" w14:textId="77777777" w:rsidR="00A430CA" w:rsidRDefault="00000000">
            <w:pPr>
              <w:jc w:val="center"/>
            </w:pPr>
            <w:r>
              <w:rPr>
                <w:rFonts w:ascii="Calibri" w:eastAsia="Calibri" w:hAnsi="Calibri" w:cs="Calibri"/>
                <w:b/>
                <w:bCs/>
                <w:color w:val="FFFFFF"/>
                <w:sz w:val="19"/>
                <w:szCs w:val="19"/>
              </w:rPr>
              <w:t>#</w:t>
            </w:r>
          </w:p>
        </w:tc>
        <w:tc>
          <w:tcPr>
            <w:tcW w:w="352" w:type="pct"/>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0227C561" w14:textId="77777777" w:rsidR="00A430CA" w:rsidRDefault="00000000">
            <w:pPr>
              <w:jc w:val="center"/>
            </w:pPr>
            <w:r>
              <w:rPr>
                <w:rFonts w:ascii="Calibri" w:eastAsia="Calibri" w:hAnsi="Calibri" w:cs="Calibri"/>
                <w:b/>
                <w:bCs/>
                <w:color w:val="FFFFFF"/>
                <w:sz w:val="19"/>
                <w:szCs w:val="19"/>
              </w:rPr>
              <w:t>Reviewer</w:t>
            </w:r>
          </w:p>
        </w:tc>
        <w:tc>
          <w:tcPr>
            <w:tcW w:w="599" w:type="pct"/>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4ACBC52C" w14:textId="77777777" w:rsidR="00A430CA" w:rsidRDefault="00000000">
            <w:pPr>
              <w:jc w:val="center"/>
            </w:pPr>
            <w:r>
              <w:rPr>
                <w:rFonts w:ascii="Calibri" w:eastAsia="Calibri" w:hAnsi="Calibri" w:cs="Calibri"/>
                <w:b/>
                <w:bCs/>
                <w:color w:val="FFFFFF"/>
                <w:sz w:val="19"/>
                <w:szCs w:val="19"/>
              </w:rPr>
              <w:t>Comment</w:t>
            </w:r>
          </w:p>
        </w:tc>
        <w:tc>
          <w:tcPr>
            <w:tcW w:w="1273" w:type="pct"/>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065805E7" w14:textId="77777777" w:rsidR="00A430CA" w:rsidRDefault="00000000">
            <w:pPr>
              <w:jc w:val="center"/>
            </w:pPr>
            <w:r>
              <w:rPr>
                <w:rFonts w:ascii="Calibri" w:eastAsia="Calibri" w:hAnsi="Calibri" w:cs="Calibri"/>
                <w:b/>
                <w:bCs/>
                <w:color w:val="FFFFFF"/>
                <w:sz w:val="19"/>
                <w:szCs w:val="19"/>
              </w:rPr>
              <w:t>Short Title</w:t>
            </w:r>
          </w:p>
        </w:tc>
        <w:tc>
          <w:tcPr>
            <w:tcW w:w="2553" w:type="pct"/>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79E71C06" w14:textId="77777777" w:rsidR="00A430CA" w:rsidRDefault="00000000">
            <w:pPr>
              <w:jc w:val="center"/>
            </w:pPr>
            <w:r>
              <w:rPr>
                <w:rFonts w:ascii="Calibri" w:eastAsia="Calibri" w:hAnsi="Calibri" w:cs="Calibri"/>
                <w:b/>
                <w:bCs/>
                <w:color w:val="FFFFFF"/>
                <w:sz w:val="19"/>
                <w:szCs w:val="19"/>
              </w:rPr>
              <w:t>Full Comment Text</w:t>
            </w:r>
          </w:p>
        </w:tc>
      </w:tr>
      <w:tr w:rsidR="00A430CA" w14:paraId="477B0E35" w14:textId="77777777" w:rsidTr="002017AB">
        <w:tc>
          <w:tcPr>
            <w:tcW w:w="5000" w:type="pct"/>
            <w:gridSpan w:val="5"/>
            <w:tcBorders>
              <w:top w:val="single" w:sz="8" w:space="0" w:color="2E75B6"/>
              <w:left w:val="single" w:sz="8" w:space="0" w:color="2E75B6"/>
              <w:bottom w:val="single" w:sz="8" w:space="0" w:color="2E75B6"/>
              <w:right w:val="single" w:sz="8" w:space="0" w:color="2E75B6"/>
            </w:tcBorders>
            <w:shd w:val="clear" w:color="auto" w:fill="2E75B6"/>
            <w:tcMar>
              <w:top w:w="80" w:type="dxa"/>
              <w:left w:w="120" w:type="dxa"/>
              <w:bottom w:w="80" w:type="dxa"/>
              <w:right w:w="120" w:type="dxa"/>
            </w:tcMar>
          </w:tcPr>
          <w:p w14:paraId="35ACF68B" w14:textId="77777777" w:rsidR="00A430CA" w:rsidRDefault="00000000">
            <w:r>
              <w:rPr>
                <w:rFonts w:ascii="Calibri" w:eastAsia="Calibri" w:hAnsi="Calibri" w:cs="Calibri"/>
                <w:b/>
                <w:bCs/>
                <w:color w:val="FFFFFF"/>
                <w:sz w:val="21"/>
                <w:szCs w:val="21"/>
              </w:rPr>
              <w:t>Reviewer 1</w:t>
            </w:r>
          </w:p>
        </w:tc>
      </w:tr>
      <w:tr w:rsidR="00A430CA" w14:paraId="04D84A66"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DCEDAE" w14:textId="77777777" w:rsidR="00A430CA" w:rsidRDefault="00000000">
            <w:pPr>
              <w:jc w:val="center"/>
            </w:pPr>
            <w:r>
              <w:rPr>
                <w:rFonts w:ascii="Calibri" w:eastAsia="Calibri" w:hAnsi="Calibri" w:cs="Calibri"/>
                <w:b/>
                <w:bCs/>
                <w:color w:val="1F3864"/>
                <w:sz w:val="19"/>
                <w:szCs w:val="19"/>
              </w:rPr>
              <w:t>1</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49711A9"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28D7E59" w14:textId="77777777" w:rsidR="00A430CA" w:rsidRDefault="00000000">
            <w:pPr>
              <w:jc w:val="center"/>
            </w:pPr>
            <w:r>
              <w:rPr>
                <w:rFonts w:ascii="Calibri" w:eastAsia="Calibri" w:hAnsi="Calibri" w:cs="Calibri"/>
                <w:b/>
                <w:bCs/>
                <w:color w:val="333333"/>
                <w:sz w:val="19"/>
                <w:szCs w:val="19"/>
              </w:rPr>
              <w:t>General</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69350335" w14:textId="77777777" w:rsidR="00A430CA" w:rsidRDefault="00000000">
            <w:r>
              <w:rPr>
                <w:rFonts w:ascii="Calibri" w:eastAsia="Calibri" w:hAnsi="Calibri" w:cs="Calibri"/>
                <w:b/>
                <w:bCs/>
                <w:color w:val="1F3864"/>
                <w:sz w:val="19"/>
                <w:szCs w:val="19"/>
              </w:rPr>
              <w:t>Overall assessment</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31C8F128" w14:textId="77777777" w:rsidR="00A430CA" w:rsidRDefault="00000000">
            <w:pPr>
              <w:spacing w:line="264" w:lineRule="auto"/>
            </w:pPr>
            <w:r>
              <w:rPr>
                <w:rFonts w:ascii="Calibri" w:eastAsia="Calibri" w:hAnsi="Calibri" w:cs="Calibri"/>
                <w:color w:val="111111"/>
                <w:sz w:val="18"/>
                <w:szCs w:val="18"/>
              </w:rPr>
              <w:t xml:space="preserve">This paper proposes an edge computing system that collects and processes sensor data from IoT sensors deployed in agricultural fields. The system is characterized by CRT-based data splitting for wireless transmission efficiency and blockchain-based data integrity management. The idea of applying CRT to split data in the wireless section is interesting and demonstrates a certain degree of technical novelty. However, with respect to the primary claim of energy consumption reduction stated as a main objective, it is difficult to obtain sufficient confidence based on the evaluations and discussions presented. The paper does not clearly define what research hypothesis is being tested or what specific research </w:t>
            </w:r>
            <w:proofErr w:type="gramStart"/>
            <w:r>
              <w:rPr>
                <w:rFonts w:ascii="Calibri" w:eastAsia="Calibri" w:hAnsi="Calibri" w:cs="Calibri"/>
                <w:color w:val="111111"/>
                <w:sz w:val="18"/>
                <w:szCs w:val="18"/>
              </w:rPr>
              <w:t>question</w:t>
            </w:r>
            <w:proofErr w:type="gramEnd"/>
            <w:r>
              <w:rPr>
                <w:rFonts w:ascii="Calibri" w:eastAsia="Calibri" w:hAnsi="Calibri" w:cs="Calibri"/>
                <w:color w:val="111111"/>
                <w:sz w:val="18"/>
                <w:szCs w:val="18"/>
              </w:rPr>
              <w:t xml:space="preserve"> the study aims to address, making the relationship between the hypotheses and the evaluation results unclear.</w:t>
            </w:r>
          </w:p>
        </w:tc>
      </w:tr>
      <w:tr w:rsidR="00A430CA" w14:paraId="43CB371F"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8AAEDBD" w14:textId="77777777" w:rsidR="00A430CA" w:rsidRDefault="00000000">
            <w:pPr>
              <w:jc w:val="center"/>
            </w:pPr>
            <w:r>
              <w:rPr>
                <w:rFonts w:ascii="Calibri" w:eastAsia="Calibri" w:hAnsi="Calibri" w:cs="Calibri"/>
                <w:b/>
                <w:bCs/>
                <w:color w:val="1F3864"/>
                <w:sz w:val="19"/>
                <w:szCs w:val="19"/>
              </w:rPr>
              <w:t>2</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06F5ED3"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B95A589" w14:textId="77777777" w:rsidR="00A430CA" w:rsidRDefault="00000000">
            <w:pPr>
              <w:jc w:val="center"/>
            </w:pPr>
            <w:r>
              <w:rPr>
                <w:rFonts w:ascii="Calibri" w:eastAsia="Calibri" w:hAnsi="Calibri" w:cs="Calibri"/>
                <w:b/>
                <w:bCs/>
                <w:color w:val="333333"/>
                <w:sz w:val="19"/>
                <w:szCs w:val="19"/>
              </w:rPr>
              <w:t>Comment 1</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16FC4D4B" w14:textId="77777777" w:rsidR="00A430CA" w:rsidRDefault="00000000">
            <w:r>
              <w:rPr>
                <w:rFonts w:ascii="Calibri" w:eastAsia="Calibri" w:hAnsi="Calibri" w:cs="Calibri"/>
                <w:b/>
                <w:bCs/>
                <w:color w:val="1F3864"/>
                <w:sz w:val="19"/>
                <w:szCs w:val="19"/>
              </w:rPr>
              <w:t>Research hypothesis and research question not defined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682DE586" w14:textId="77777777" w:rsidR="00A430CA" w:rsidRDefault="00000000">
            <w:pPr>
              <w:spacing w:line="264" w:lineRule="auto"/>
            </w:pPr>
            <w:r>
              <w:rPr>
                <w:rFonts w:ascii="Calibri" w:eastAsia="Calibri" w:hAnsi="Calibri" w:cs="Calibri"/>
                <w:color w:val="111111"/>
                <w:sz w:val="18"/>
                <w:szCs w:val="18"/>
              </w:rPr>
              <w:t>The manuscript lacks a clear definition of the underlying research hypothesis and research question. While multiple contributions and evaluation results are presented, it is unclear what specific hypotheses are being tested and how the experimental design supports their validation. Clarifying the research hypothesis would help align the objectives, methodology, and evaluation metrics.</w:t>
            </w:r>
          </w:p>
        </w:tc>
      </w:tr>
      <w:tr w:rsidR="00A430CA" w14:paraId="22E69CE4"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60E7A40" w14:textId="77777777" w:rsidR="00A430CA" w:rsidRDefault="00000000">
            <w:pPr>
              <w:jc w:val="center"/>
            </w:pPr>
            <w:r>
              <w:rPr>
                <w:rFonts w:ascii="Calibri" w:eastAsia="Calibri" w:hAnsi="Calibri" w:cs="Calibri"/>
                <w:b/>
                <w:bCs/>
                <w:color w:val="1F3864"/>
                <w:sz w:val="19"/>
                <w:szCs w:val="19"/>
              </w:rPr>
              <w:t>3</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474C8DC"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F4A7112" w14:textId="77777777" w:rsidR="00A430CA" w:rsidRDefault="00000000">
            <w:pPr>
              <w:jc w:val="center"/>
            </w:pPr>
            <w:r>
              <w:rPr>
                <w:rFonts w:ascii="Calibri" w:eastAsia="Calibri" w:hAnsi="Calibri" w:cs="Calibri"/>
                <w:b/>
                <w:bCs/>
                <w:color w:val="333333"/>
                <w:sz w:val="19"/>
                <w:szCs w:val="19"/>
              </w:rPr>
              <w:t>Comment 2</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05E08E84" w14:textId="77777777" w:rsidR="00A430CA" w:rsidRDefault="00000000">
            <w:r>
              <w:rPr>
                <w:rFonts w:ascii="Calibri" w:eastAsia="Calibri" w:hAnsi="Calibri" w:cs="Calibri"/>
                <w:b/>
                <w:bCs/>
                <w:color w:val="1F3864"/>
                <w:sz w:val="19"/>
                <w:szCs w:val="19"/>
              </w:rPr>
              <w:t>Insufficient justification for energy consumption reduction</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12C822AA" w14:textId="77777777" w:rsidR="00A430CA" w:rsidRDefault="00000000">
            <w:pPr>
              <w:spacing w:line="264" w:lineRule="auto"/>
            </w:pPr>
            <w:r>
              <w:rPr>
                <w:rFonts w:ascii="Calibri" w:eastAsia="Calibri" w:hAnsi="Calibri" w:cs="Calibri"/>
                <w:color w:val="111111"/>
                <w:sz w:val="18"/>
                <w:szCs w:val="18"/>
              </w:rPr>
              <w:t xml:space="preserve">Regarding the reduction of energy consumption stated as a major objective, the supporting evidence is </w:t>
            </w:r>
            <w:proofErr w:type="gramStart"/>
            <w:r>
              <w:rPr>
                <w:rFonts w:ascii="Calibri" w:eastAsia="Calibri" w:hAnsi="Calibri" w:cs="Calibri"/>
                <w:color w:val="111111"/>
                <w:sz w:val="18"/>
                <w:szCs w:val="18"/>
              </w:rPr>
              <w:t>insufficient</w:t>
            </w:r>
            <w:proofErr w:type="gramEnd"/>
            <w:r>
              <w:rPr>
                <w:rFonts w:ascii="Calibri" w:eastAsia="Calibri" w:hAnsi="Calibri" w:cs="Calibri"/>
                <w:color w:val="111111"/>
                <w:sz w:val="18"/>
                <w:szCs w:val="18"/>
              </w:rPr>
              <w:t xml:space="preserve"> and the argument fails to convincingly support this claim. While the proposed CRT-based data splitting approach reduces airtime per transmission, the total amount of transmitted data increases due to multiple transmissions, which raises concerns that the overall energy consumption of the IoT device may increase. Measurements or analyses of the actual energy consumption of the device should be added.</w:t>
            </w:r>
          </w:p>
        </w:tc>
      </w:tr>
      <w:tr w:rsidR="00A430CA" w14:paraId="551653A2"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41D9519" w14:textId="77777777" w:rsidR="00A430CA" w:rsidRDefault="00000000">
            <w:pPr>
              <w:jc w:val="center"/>
            </w:pPr>
            <w:r>
              <w:rPr>
                <w:rFonts w:ascii="Calibri" w:eastAsia="Calibri" w:hAnsi="Calibri" w:cs="Calibri"/>
                <w:b/>
                <w:bCs/>
                <w:color w:val="1F3864"/>
                <w:sz w:val="19"/>
                <w:szCs w:val="19"/>
              </w:rPr>
              <w:t>4</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DED9162"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DEF4A60" w14:textId="77777777" w:rsidR="00A430CA" w:rsidRDefault="00000000">
            <w:pPr>
              <w:jc w:val="center"/>
            </w:pPr>
            <w:r>
              <w:rPr>
                <w:rFonts w:ascii="Calibri" w:eastAsia="Calibri" w:hAnsi="Calibri" w:cs="Calibri"/>
                <w:b/>
                <w:bCs/>
                <w:color w:val="333333"/>
                <w:sz w:val="19"/>
                <w:szCs w:val="19"/>
              </w:rPr>
              <w:t>Comment 3</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0004FC67" w14:textId="77777777" w:rsidR="00A430CA" w:rsidRDefault="00000000">
            <w:r>
              <w:rPr>
                <w:rFonts w:ascii="Calibri" w:eastAsia="Calibri" w:hAnsi="Calibri" w:cs="Calibri"/>
                <w:b/>
                <w:bCs/>
                <w:color w:val="1F3864"/>
                <w:sz w:val="19"/>
                <w:szCs w:val="19"/>
              </w:rPr>
              <w:t>Energy consumption of edge nodes not discussed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5A539F62" w14:textId="77777777" w:rsidR="00A430CA" w:rsidRDefault="00000000">
            <w:pPr>
              <w:spacing w:line="264" w:lineRule="auto"/>
            </w:pPr>
            <w:r>
              <w:rPr>
                <w:rFonts w:ascii="Calibri" w:eastAsia="Calibri" w:hAnsi="Calibri" w:cs="Calibri"/>
                <w:color w:val="111111"/>
                <w:sz w:val="18"/>
                <w:szCs w:val="18"/>
              </w:rPr>
              <w:t>Although the power consumption of edge nodes is considered outside the scope of this study, as the scale of IoT services grows the energy consumption of edge nodes must also be considered from an environmental perspective. It would therefore be desirable to include a discussion of the power consumption of edge nodes.</w:t>
            </w:r>
          </w:p>
        </w:tc>
      </w:tr>
      <w:tr w:rsidR="00A430CA" w14:paraId="557FB7CD"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4935E2B" w14:textId="77777777" w:rsidR="00A430CA" w:rsidRDefault="00000000">
            <w:pPr>
              <w:jc w:val="center"/>
            </w:pPr>
            <w:r>
              <w:rPr>
                <w:rFonts w:ascii="Calibri" w:eastAsia="Calibri" w:hAnsi="Calibri" w:cs="Calibri"/>
                <w:b/>
                <w:bCs/>
                <w:color w:val="1F3864"/>
                <w:sz w:val="19"/>
                <w:szCs w:val="19"/>
              </w:rPr>
              <w:t>5</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4907C2D"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5F89B0C" w14:textId="77777777" w:rsidR="00A430CA" w:rsidRDefault="00000000">
            <w:pPr>
              <w:jc w:val="center"/>
            </w:pPr>
            <w:r>
              <w:rPr>
                <w:rFonts w:ascii="Calibri" w:eastAsia="Calibri" w:hAnsi="Calibri" w:cs="Calibri"/>
                <w:b/>
                <w:bCs/>
                <w:color w:val="333333"/>
                <w:sz w:val="19"/>
                <w:szCs w:val="19"/>
              </w:rPr>
              <w:t>Comment 4</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4D60E6E3" w14:textId="77777777" w:rsidR="00A430CA" w:rsidRDefault="00000000">
            <w:r>
              <w:rPr>
                <w:rFonts w:ascii="Calibri" w:eastAsia="Calibri" w:hAnsi="Calibri" w:cs="Calibri"/>
                <w:b/>
                <w:bCs/>
                <w:color w:val="1F3864"/>
                <w:sz w:val="19"/>
                <w:szCs w:val="19"/>
              </w:rPr>
              <w:t>Multi-channel reception and energy overhead not addressed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19866FE7" w14:textId="77777777" w:rsidR="00A430CA" w:rsidRDefault="00000000">
            <w:pPr>
              <w:spacing w:line="264" w:lineRule="auto"/>
            </w:pPr>
            <w:r>
              <w:rPr>
                <w:rFonts w:ascii="Calibri" w:eastAsia="Calibri" w:hAnsi="Calibri" w:cs="Calibri"/>
                <w:color w:val="111111"/>
                <w:sz w:val="18"/>
                <w:szCs w:val="18"/>
              </w:rPr>
              <w:t xml:space="preserve">When data are split using CRT, the edge node must perform multi-channel LoRa reception. Is there a concern that maintaining multiple frequency bands may increase control-plane </w:t>
            </w:r>
            <w:proofErr w:type="spellStart"/>
            <w:r>
              <w:rPr>
                <w:rFonts w:ascii="Calibri" w:eastAsia="Calibri" w:hAnsi="Calibri" w:cs="Calibri"/>
                <w:color w:val="111111"/>
                <w:sz w:val="18"/>
                <w:szCs w:val="18"/>
              </w:rPr>
              <w:t>signalling</w:t>
            </w:r>
            <w:proofErr w:type="spellEnd"/>
            <w:r>
              <w:rPr>
                <w:rFonts w:ascii="Calibri" w:eastAsia="Calibri" w:hAnsi="Calibri" w:cs="Calibri"/>
                <w:color w:val="111111"/>
                <w:sz w:val="18"/>
                <w:szCs w:val="18"/>
              </w:rPr>
              <w:t xml:space="preserve"> or the energy consumption of LoRa devices? If so, it would be desirable to include a discussion. In addition, when the terminal sequentially transmits data using different channels, how does this affect power consumption? Is there any overhead associated with using different channels? Furthermore, the implementation details of LoRa parallel channel utilization are insufficiently explained and should be described in more detail.</w:t>
            </w:r>
          </w:p>
        </w:tc>
      </w:tr>
      <w:tr w:rsidR="00A430CA" w14:paraId="25538E1D"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FBB06DF" w14:textId="77777777" w:rsidR="00A430CA" w:rsidRDefault="00000000">
            <w:pPr>
              <w:jc w:val="center"/>
            </w:pPr>
            <w:r>
              <w:rPr>
                <w:rFonts w:ascii="Calibri" w:eastAsia="Calibri" w:hAnsi="Calibri" w:cs="Calibri"/>
                <w:b/>
                <w:bCs/>
                <w:color w:val="1F3864"/>
                <w:sz w:val="19"/>
                <w:szCs w:val="19"/>
              </w:rPr>
              <w:lastRenderedPageBreak/>
              <w:t>6</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50352DB"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B8E7E17" w14:textId="77777777" w:rsidR="00A430CA" w:rsidRDefault="00000000">
            <w:pPr>
              <w:jc w:val="center"/>
            </w:pPr>
            <w:r>
              <w:rPr>
                <w:rFonts w:ascii="Calibri" w:eastAsia="Calibri" w:hAnsi="Calibri" w:cs="Calibri"/>
                <w:b/>
                <w:bCs/>
                <w:color w:val="333333"/>
                <w:sz w:val="19"/>
                <w:szCs w:val="19"/>
              </w:rPr>
              <w:t>Comment 5</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34880CBA" w14:textId="77777777" w:rsidR="00A430CA" w:rsidRDefault="00000000">
            <w:r>
              <w:rPr>
                <w:rFonts w:ascii="Calibri" w:eastAsia="Calibri" w:hAnsi="Calibri" w:cs="Calibri"/>
                <w:b/>
                <w:bCs/>
                <w:color w:val="1F3864"/>
                <w:sz w:val="19"/>
                <w:szCs w:val="19"/>
              </w:rPr>
              <w:t>Device constraints for multi-channel operation not stated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625D0346" w14:textId="77777777" w:rsidR="00A430CA" w:rsidRDefault="00000000">
            <w:pPr>
              <w:spacing w:line="264" w:lineRule="auto"/>
            </w:pPr>
            <w:r>
              <w:rPr>
                <w:rFonts w:ascii="Calibri" w:eastAsia="Calibri" w:hAnsi="Calibri" w:cs="Calibri"/>
                <w:color w:val="111111"/>
                <w:sz w:val="18"/>
                <w:szCs w:val="18"/>
              </w:rPr>
              <w:t>In LoRa systems, multi-channel data transmission and reception require devices that support such operations. Does this introduce constraints such as limitations on the types of devices that can be used? If so, it would be better to explicitly describe these constraints.</w:t>
            </w:r>
          </w:p>
        </w:tc>
      </w:tr>
      <w:tr w:rsidR="00A430CA" w14:paraId="24234885"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17FC7C7" w14:textId="77777777" w:rsidR="00A430CA" w:rsidRDefault="00000000">
            <w:pPr>
              <w:jc w:val="center"/>
            </w:pPr>
            <w:r>
              <w:rPr>
                <w:rFonts w:ascii="Calibri" w:eastAsia="Calibri" w:hAnsi="Calibri" w:cs="Calibri"/>
                <w:b/>
                <w:bCs/>
                <w:color w:val="1F3864"/>
                <w:sz w:val="19"/>
                <w:szCs w:val="19"/>
              </w:rPr>
              <w:t>7</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E1FDD94"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84711F" w14:textId="77777777" w:rsidR="00A430CA" w:rsidRDefault="00000000">
            <w:pPr>
              <w:jc w:val="center"/>
            </w:pPr>
            <w:r>
              <w:rPr>
                <w:rFonts w:ascii="Calibri" w:eastAsia="Calibri" w:hAnsi="Calibri" w:cs="Calibri"/>
                <w:b/>
                <w:bCs/>
                <w:color w:val="333333"/>
                <w:sz w:val="19"/>
                <w:szCs w:val="19"/>
              </w:rPr>
              <w:t>Comment 6</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0EF4A3EE" w14:textId="77777777" w:rsidR="00A430CA" w:rsidRDefault="00000000">
            <w:r>
              <w:rPr>
                <w:rFonts w:ascii="Calibri" w:eastAsia="Calibri" w:hAnsi="Calibri" w:cs="Calibri"/>
                <w:b/>
                <w:bCs/>
                <w:color w:val="1F3864"/>
                <w:sz w:val="19"/>
                <w:szCs w:val="19"/>
              </w:rPr>
              <w:t>Ambiguity of energy consumption in Figure 7</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5A41A9FE" w14:textId="77777777" w:rsidR="00A430CA" w:rsidRDefault="00000000">
            <w:pPr>
              <w:spacing w:line="264" w:lineRule="auto"/>
            </w:pPr>
            <w:r>
              <w:rPr>
                <w:rFonts w:ascii="Calibri" w:eastAsia="Calibri" w:hAnsi="Calibri" w:cs="Calibri"/>
                <w:color w:val="111111"/>
                <w:sz w:val="18"/>
                <w:szCs w:val="18"/>
              </w:rPr>
              <w:t>In Figure 7, it is unclear what type of energy consumption is being shown. It should be clarified whether this refers to the power consumption of the LoRa device on the terminal, the total system power consumption of the terminal, the LoRa device power consumption on the edge node, or the total system power consumption of the edge node.</w:t>
            </w:r>
          </w:p>
        </w:tc>
      </w:tr>
      <w:tr w:rsidR="00A430CA" w14:paraId="3C0EFE94"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8A1E896" w14:textId="77777777" w:rsidR="00A430CA" w:rsidRDefault="00000000">
            <w:pPr>
              <w:jc w:val="center"/>
            </w:pPr>
            <w:r>
              <w:rPr>
                <w:rFonts w:ascii="Calibri" w:eastAsia="Calibri" w:hAnsi="Calibri" w:cs="Calibri"/>
                <w:b/>
                <w:bCs/>
                <w:color w:val="1F3864"/>
                <w:sz w:val="19"/>
                <w:szCs w:val="19"/>
              </w:rPr>
              <w:t>8</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664AD43"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F57DD67" w14:textId="77777777" w:rsidR="00A430CA" w:rsidRDefault="00000000">
            <w:pPr>
              <w:jc w:val="center"/>
            </w:pPr>
            <w:r>
              <w:rPr>
                <w:rFonts w:ascii="Calibri" w:eastAsia="Calibri" w:hAnsi="Calibri" w:cs="Calibri"/>
                <w:b/>
                <w:bCs/>
                <w:color w:val="333333"/>
                <w:sz w:val="19"/>
                <w:szCs w:val="19"/>
              </w:rPr>
              <w:t>Comment 7</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38D567D9" w14:textId="77777777" w:rsidR="00A430CA" w:rsidRDefault="00000000">
            <w:r>
              <w:rPr>
                <w:rFonts w:ascii="Calibri" w:eastAsia="Calibri" w:hAnsi="Calibri" w:cs="Calibri"/>
                <w:b/>
                <w:bCs/>
                <w:color w:val="1F3864"/>
                <w:sz w:val="19"/>
                <w:szCs w:val="19"/>
              </w:rPr>
              <w:t>Ambiguous definition of edge nodes and network topology</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6DFDC8D8" w14:textId="77777777" w:rsidR="00A430CA" w:rsidRDefault="00000000">
            <w:pPr>
              <w:spacing w:line="264" w:lineRule="auto"/>
            </w:pPr>
            <w:r>
              <w:rPr>
                <w:rFonts w:ascii="Calibri" w:eastAsia="Calibri" w:hAnsi="Calibri" w:cs="Calibri"/>
                <w:color w:val="111111"/>
                <w:sz w:val="18"/>
                <w:szCs w:val="18"/>
              </w:rPr>
              <w:t>The definition of the 'edge node' is ambiguous. It is unclear whether this refers to Mobile Edge Computing (MEC) in a mobile network context, or simply to nodes deployed closer to terminals as opposed to a centralized cloud. There is also a lack of explanation as to why processing needs to be at the edge. Wouldn't a central cloud work? Is there really a need for strict latency requirements demanding millisecond-level responsiveness? In addition, the network topology should be clarified.</w:t>
            </w:r>
          </w:p>
        </w:tc>
      </w:tr>
      <w:tr w:rsidR="00A430CA" w14:paraId="21B7A145"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6495433" w14:textId="77777777" w:rsidR="00A430CA" w:rsidRDefault="00000000">
            <w:pPr>
              <w:jc w:val="center"/>
            </w:pPr>
            <w:r>
              <w:rPr>
                <w:rFonts w:ascii="Calibri" w:eastAsia="Calibri" w:hAnsi="Calibri" w:cs="Calibri"/>
                <w:b/>
                <w:bCs/>
                <w:color w:val="1F3864"/>
                <w:sz w:val="19"/>
                <w:szCs w:val="19"/>
              </w:rPr>
              <w:t>9</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62FF999"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98750F3" w14:textId="77777777" w:rsidR="00A430CA" w:rsidRDefault="00000000">
            <w:pPr>
              <w:jc w:val="center"/>
            </w:pPr>
            <w:r>
              <w:rPr>
                <w:rFonts w:ascii="Calibri" w:eastAsia="Calibri" w:hAnsi="Calibri" w:cs="Calibri"/>
                <w:b/>
                <w:bCs/>
                <w:color w:val="333333"/>
                <w:sz w:val="19"/>
                <w:szCs w:val="19"/>
              </w:rPr>
              <w:t>Comment 8</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37396979" w14:textId="77777777" w:rsidR="00A430CA" w:rsidRDefault="00000000">
            <w:r>
              <w:rPr>
                <w:rFonts w:ascii="Calibri" w:eastAsia="Calibri" w:hAnsi="Calibri" w:cs="Calibri"/>
                <w:b/>
                <w:bCs/>
                <w:color w:val="1F3864"/>
                <w:sz w:val="19"/>
                <w:szCs w:val="19"/>
              </w:rPr>
              <w:t>CRT explanation placed too late; earlier sections assume prior knowledge</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30900FB7" w14:textId="77777777" w:rsidR="00A430CA" w:rsidRDefault="00000000">
            <w:pPr>
              <w:spacing w:line="264" w:lineRule="auto"/>
            </w:pPr>
            <w:r>
              <w:rPr>
                <w:rFonts w:ascii="Calibri" w:eastAsia="Calibri" w:hAnsi="Calibri" w:cs="Calibri"/>
                <w:color w:val="111111"/>
                <w:sz w:val="18"/>
                <w:szCs w:val="18"/>
              </w:rPr>
              <w:t>Although an explanation of CRT is provided in Section 3.7, many earlier sections assume that the reader already understands the proposed CRT-based approach, which hinders comprehension. Reorganizing the explanation would improve readability.</w:t>
            </w:r>
          </w:p>
        </w:tc>
      </w:tr>
      <w:tr w:rsidR="00A430CA" w14:paraId="07F18F6B"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CB299FA" w14:textId="77777777" w:rsidR="00A430CA" w:rsidRDefault="00000000">
            <w:pPr>
              <w:jc w:val="center"/>
            </w:pPr>
            <w:r>
              <w:rPr>
                <w:rFonts w:ascii="Calibri" w:eastAsia="Calibri" w:hAnsi="Calibri" w:cs="Calibri"/>
                <w:b/>
                <w:bCs/>
                <w:color w:val="1F3864"/>
                <w:sz w:val="19"/>
                <w:szCs w:val="19"/>
              </w:rPr>
              <w:t>10</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AC9D15B"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B71591C" w14:textId="77777777" w:rsidR="00A430CA" w:rsidRDefault="00000000">
            <w:pPr>
              <w:jc w:val="center"/>
            </w:pPr>
            <w:r>
              <w:rPr>
                <w:rFonts w:ascii="Calibri" w:eastAsia="Calibri" w:hAnsi="Calibri" w:cs="Calibri"/>
                <w:b/>
                <w:bCs/>
                <w:color w:val="333333"/>
                <w:sz w:val="19"/>
                <w:szCs w:val="19"/>
              </w:rPr>
              <w:t>Comment 9</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46748B32" w14:textId="77777777" w:rsidR="00A430CA" w:rsidRDefault="00000000">
            <w:r>
              <w:rPr>
                <w:rFonts w:ascii="Calibri" w:eastAsia="Calibri" w:hAnsi="Calibri" w:cs="Calibri"/>
                <w:b/>
                <w:bCs/>
                <w:color w:val="1F3864"/>
                <w:sz w:val="19"/>
                <w:szCs w:val="19"/>
              </w:rPr>
              <w:t>Insufficient requirements definition for blockchain-based data integrity</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000CD91B" w14:textId="77777777" w:rsidR="00A430CA" w:rsidRDefault="00000000">
            <w:pPr>
              <w:spacing w:line="264" w:lineRule="auto"/>
            </w:pPr>
            <w:r>
              <w:rPr>
                <w:rFonts w:ascii="Calibri" w:eastAsia="Calibri" w:hAnsi="Calibri" w:cs="Calibri"/>
                <w:color w:val="111111"/>
                <w:sz w:val="18"/>
                <w:szCs w:val="18"/>
              </w:rPr>
              <w:t>The justification for using blockchain-based data integrity is insufficiently defined. The paper should clearly specify what types of threats are assumed, why conventional approaches are insufficient, and how trade-offs with real-time constraints are considered.</w:t>
            </w:r>
          </w:p>
        </w:tc>
      </w:tr>
      <w:tr w:rsidR="00A430CA" w14:paraId="07BC484A"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917AE99" w14:textId="77777777" w:rsidR="00A430CA" w:rsidRDefault="00000000">
            <w:pPr>
              <w:jc w:val="center"/>
            </w:pPr>
            <w:r>
              <w:rPr>
                <w:rFonts w:ascii="Calibri" w:eastAsia="Calibri" w:hAnsi="Calibri" w:cs="Calibri"/>
                <w:b/>
                <w:bCs/>
                <w:color w:val="1F3864"/>
                <w:sz w:val="19"/>
                <w:szCs w:val="19"/>
              </w:rPr>
              <w:t>11</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C9209F3" w14:textId="77777777" w:rsidR="00A430CA" w:rsidRDefault="00000000">
            <w:pPr>
              <w:jc w:val="center"/>
            </w:pPr>
            <w:r>
              <w:rPr>
                <w:rFonts w:ascii="Calibri" w:eastAsia="Calibri" w:hAnsi="Calibri" w:cs="Calibri"/>
                <w:b/>
                <w:bCs/>
                <w:color w:val="2E75B6"/>
                <w:sz w:val="19"/>
                <w:szCs w:val="19"/>
              </w:rPr>
              <w:t>Rev. 1</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994AC43" w14:textId="77777777" w:rsidR="00A430CA" w:rsidRDefault="00000000">
            <w:pPr>
              <w:jc w:val="center"/>
            </w:pPr>
            <w:r>
              <w:rPr>
                <w:rFonts w:ascii="Calibri" w:eastAsia="Calibri" w:hAnsi="Calibri" w:cs="Calibri"/>
                <w:b/>
                <w:bCs/>
                <w:color w:val="333333"/>
                <w:sz w:val="19"/>
                <w:szCs w:val="19"/>
              </w:rPr>
              <w:t>Comment 10</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27A138EB" w14:textId="77777777" w:rsidR="00A430CA" w:rsidRDefault="00000000">
            <w:r>
              <w:rPr>
                <w:rFonts w:ascii="Calibri" w:eastAsia="Calibri" w:hAnsi="Calibri" w:cs="Calibri"/>
                <w:b/>
                <w:bCs/>
                <w:color w:val="1F3864"/>
                <w:sz w:val="19"/>
                <w:szCs w:val="19"/>
              </w:rPr>
              <w:t>Causal relationship between agricultural outcomes and ICT contribution overstated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F115A26" w14:textId="77777777" w:rsidR="00A430CA" w:rsidRDefault="00000000">
            <w:pPr>
              <w:spacing w:line="264" w:lineRule="auto"/>
            </w:pPr>
            <w:r>
              <w:rPr>
                <w:rFonts w:ascii="Calibri" w:eastAsia="Calibri" w:hAnsi="Calibri" w:cs="Calibri"/>
                <w:color w:val="111111"/>
                <w:sz w:val="18"/>
                <w:szCs w:val="18"/>
              </w:rPr>
              <w:t xml:space="preserve">The contributions section includes evaluation results such as water saving, labor reduction, and ROI. However, since the </w:t>
            </w:r>
            <w:proofErr w:type="gramStart"/>
            <w:r>
              <w:rPr>
                <w:rFonts w:ascii="Calibri" w:eastAsia="Calibri" w:hAnsi="Calibri" w:cs="Calibri"/>
                <w:color w:val="111111"/>
                <w:sz w:val="18"/>
                <w:szCs w:val="18"/>
              </w:rPr>
              <w:t>main focus</w:t>
            </w:r>
            <w:proofErr w:type="gramEnd"/>
            <w:r>
              <w:rPr>
                <w:rFonts w:ascii="Calibri" w:eastAsia="Calibri" w:hAnsi="Calibri" w:cs="Calibri"/>
                <w:color w:val="111111"/>
                <w:sz w:val="18"/>
                <w:szCs w:val="18"/>
              </w:rPr>
              <w:t xml:space="preserve"> of the paper is an edge computing system for IoT, the causal relationship between agricultural outcomes and ICT-related technical contributions appears somewhat overstated.</w:t>
            </w:r>
          </w:p>
        </w:tc>
      </w:tr>
      <w:tr w:rsidR="00A430CA" w14:paraId="445060C5" w14:textId="77777777" w:rsidTr="002017AB">
        <w:tc>
          <w:tcPr>
            <w:tcW w:w="5000" w:type="pct"/>
            <w:gridSpan w:val="5"/>
            <w:tcBorders>
              <w:top w:val="single" w:sz="8" w:space="0" w:color="2E75B6"/>
              <w:left w:val="single" w:sz="8" w:space="0" w:color="2E75B6"/>
              <w:bottom w:val="single" w:sz="8" w:space="0" w:color="2E75B6"/>
              <w:right w:val="single" w:sz="8" w:space="0" w:color="2E75B6"/>
            </w:tcBorders>
            <w:shd w:val="clear" w:color="auto" w:fill="2E75B6"/>
            <w:tcMar>
              <w:top w:w="80" w:type="dxa"/>
              <w:left w:w="120" w:type="dxa"/>
              <w:bottom w:w="80" w:type="dxa"/>
              <w:right w:w="120" w:type="dxa"/>
            </w:tcMar>
          </w:tcPr>
          <w:p w14:paraId="5D2DE253" w14:textId="77777777" w:rsidR="00A430CA" w:rsidRDefault="00000000">
            <w:r>
              <w:rPr>
                <w:rFonts w:ascii="Calibri" w:eastAsia="Calibri" w:hAnsi="Calibri" w:cs="Calibri"/>
                <w:b/>
                <w:bCs/>
                <w:color w:val="FFFFFF"/>
                <w:sz w:val="21"/>
                <w:szCs w:val="21"/>
              </w:rPr>
              <w:t>Reviewer 2</w:t>
            </w:r>
          </w:p>
        </w:tc>
      </w:tr>
      <w:tr w:rsidR="00A430CA" w14:paraId="5764E57C"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A9D3E81" w14:textId="77777777" w:rsidR="00A430CA" w:rsidRDefault="00000000">
            <w:pPr>
              <w:jc w:val="center"/>
            </w:pPr>
            <w:r>
              <w:rPr>
                <w:rFonts w:ascii="Calibri" w:eastAsia="Calibri" w:hAnsi="Calibri" w:cs="Calibri"/>
                <w:b/>
                <w:bCs/>
                <w:color w:val="1F3864"/>
                <w:sz w:val="19"/>
                <w:szCs w:val="19"/>
              </w:rPr>
              <w:t>12</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D73CC01"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E6626D8" w14:textId="77777777" w:rsidR="00A430CA" w:rsidRDefault="00000000">
            <w:pPr>
              <w:jc w:val="center"/>
            </w:pPr>
            <w:r>
              <w:rPr>
                <w:rFonts w:ascii="Calibri" w:eastAsia="Calibri" w:hAnsi="Calibri" w:cs="Calibri"/>
                <w:b/>
                <w:bCs/>
                <w:color w:val="333333"/>
                <w:sz w:val="19"/>
                <w:szCs w:val="19"/>
              </w:rPr>
              <w:t>General</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6FECF632" w14:textId="77777777" w:rsidR="00A430CA" w:rsidRDefault="00000000">
            <w:r>
              <w:rPr>
                <w:rFonts w:ascii="Calibri" w:eastAsia="Calibri" w:hAnsi="Calibri" w:cs="Calibri"/>
                <w:b/>
                <w:bCs/>
                <w:color w:val="1F3864"/>
                <w:sz w:val="19"/>
                <w:szCs w:val="19"/>
              </w:rPr>
              <w:t>Overall assessment</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70ADD22C" w14:textId="20E63D7D" w:rsidR="00A430CA" w:rsidRDefault="00000000">
            <w:pPr>
              <w:spacing w:line="264" w:lineRule="auto"/>
            </w:pPr>
            <w:r>
              <w:rPr>
                <w:rFonts w:ascii="Calibri" w:eastAsia="Calibri" w:hAnsi="Calibri" w:cs="Calibri"/>
                <w:color w:val="111111"/>
                <w:sz w:val="18"/>
                <w:szCs w:val="18"/>
              </w:rPr>
              <w:t xml:space="preserve">The paper tackles a genuinely interesting </w:t>
            </w:r>
            <w:proofErr w:type="gramStart"/>
            <w:r>
              <w:rPr>
                <w:rFonts w:ascii="Calibri" w:eastAsia="Calibri" w:hAnsi="Calibri" w:cs="Calibri"/>
                <w:color w:val="111111"/>
                <w:sz w:val="18"/>
                <w:szCs w:val="18"/>
              </w:rPr>
              <w:t>problem  combining</w:t>
            </w:r>
            <w:proofErr w:type="gramEnd"/>
            <w:r>
              <w:rPr>
                <w:rFonts w:ascii="Calibri" w:eastAsia="Calibri" w:hAnsi="Calibri" w:cs="Calibri"/>
                <w:color w:val="111111"/>
                <w:sz w:val="18"/>
                <w:szCs w:val="18"/>
              </w:rPr>
              <w:t xml:space="preserve"> CRT-based residue decomposition with edge blockchain verification for agricultural </w:t>
            </w:r>
            <w:proofErr w:type="gramStart"/>
            <w:r>
              <w:rPr>
                <w:rFonts w:ascii="Calibri" w:eastAsia="Calibri" w:hAnsi="Calibri" w:cs="Calibri"/>
                <w:color w:val="111111"/>
                <w:sz w:val="18"/>
                <w:szCs w:val="18"/>
              </w:rPr>
              <w:t>IoT  and</w:t>
            </w:r>
            <w:proofErr w:type="gramEnd"/>
            <w:r>
              <w:rPr>
                <w:rFonts w:ascii="Calibri" w:eastAsia="Calibri" w:hAnsi="Calibri" w:cs="Calibri"/>
                <w:color w:val="111111"/>
                <w:sz w:val="18"/>
                <w:szCs w:val="18"/>
              </w:rPr>
              <w:t xml:space="preserve"> the 61-day field deployment gives it a level of grounding that purely simulation-based papers lack. That said, there are several issues that need to be addressed before this can be considered for acceptance.</w:t>
            </w:r>
          </w:p>
        </w:tc>
      </w:tr>
      <w:tr w:rsidR="00A430CA" w14:paraId="5F5B68A2"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4C4977E" w14:textId="77777777" w:rsidR="00A430CA" w:rsidRDefault="00000000">
            <w:pPr>
              <w:jc w:val="center"/>
            </w:pPr>
            <w:r>
              <w:rPr>
                <w:rFonts w:ascii="Calibri" w:eastAsia="Calibri" w:hAnsi="Calibri" w:cs="Calibri"/>
                <w:b/>
                <w:bCs/>
                <w:color w:val="1F3864"/>
                <w:sz w:val="19"/>
                <w:szCs w:val="19"/>
              </w:rPr>
              <w:t>13</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4F4A7A0"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8CF595B" w14:textId="77777777" w:rsidR="00A430CA" w:rsidRDefault="00000000">
            <w:pPr>
              <w:jc w:val="center"/>
            </w:pPr>
            <w:r>
              <w:rPr>
                <w:rFonts w:ascii="Calibri" w:eastAsia="Calibri" w:hAnsi="Calibri" w:cs="Calibri"/>
                <w:b/>
                <w:bCs/>
                <w:color w:val="333333"/>
                <w:sz w:val="19"/>
                <w:szCs w:val="19"/>
              </w:rPr>
              <w:t>Comment 1</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15A39C54" w14:textId="77777777" w:rsidR="00A430CA" w:rsidRDefault="00000000">
            <w:r>
              <w:rPr>
                <w:rFonts w:ascii="Calibri" w:eastAsia="Calibri" w:hAnsi="Calibri" w:cs="Calibri"/>
                <w:b/>
                <w:bCs/>
                <w:color w:val="1F3864"/>
                <w:sz w:val="19"/>
                <w:szCs w:val="19"/>
              </w:rPr>
              <w:t>Central parallelism claim is inconsistent and needs to be resolved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40B0F2B2" w14:textId="3BD1B8EE" w:rsidR="00A430CA" w:rsidRDefault="00000000">
            <w:pPr>
              <w:spacing w:line="264" w:lineRule="auto"/>
            </w:pPr>
            <w:r>
              <w:rPr>
                <w:rFonts w:ascii="Calibri" w:eastAsia="Calibri" w:hAnsi="Calibri" w:cs="Calibri"/>
                <w:color w:val="111111"/>
                <w:sz w:val="18"/>
                <w:szCs w:val="18"/>
              </w:rPr>
              <w:t xml:space="preserve">The most significant problem is that the claimed 'parallel transmission' is not actually parallel at the node level, and the manuscript handles this inconsistently. In Section 3.7.3 (Steps 3–4), the authors correctly clarify that a single node transmits its three residue packets sequentially across different channels, and that parallelism occurs at the network </w:t>
            </w:r>
            <w:proofErr w:type="gramStart"/>
            <w:r>
              <w:rPr>
                <w:rFonts w:ascii="Calibri" w:eastAsia="Calibri" w:hAnsi="Calibri" w:cs="Calibri"/>
                <w:color w:val="111111"/>
                <w:sz w:val="18"/>
                <w:szCs w:val="18"/>
              </w:rPr>
              <w:t>level  multiple</w:t>
            </w:r>
            <w:proofErr w:type="gramEnd"/>
            <w:r>
              <w:rPr>
                <w:rFonts w:ascii="Calibri" w:eastAsia="Calibri" w:hAnsi="Calibri" w:cs="Calibri"/>
                <w:color w:val="111111"/>
                <w:sz w:val="18"/>
                <w:szCs w:val="18"/>
              </w:rPr>
              <w:t xml:space="preserve"> nodes transmitting concurrently, with the SX1302 concentrator demodulating them simultaneously. However, the abstract, Section 1.3, Section 1.5, and several other places still describe the scheme as 'parallel residue transmission' in ways that strongly imply a </w:t>
            </w:r>
            <w:proofErr w:type="gramStart"/>
            <w:r>
              <w:rPr>
                <w:rFonts w:ascii="Calibri" w:eastAsia="Calibri" w:hAnsi="Calibri" w:cs="Calibri"/>
                <w:color w:val="111111"/>
                <w:sz w:val="18"/>
                <w:szCs w:val="18"/>
              </w:rPr>
              <w:t>single node benefits</w:t>
            </w:r>
            <w:proofErr w:type="gramEnd"/>
            <w:r>
              <w:rPr>
                <w:rFonts w:ascii="Calibri" w:eastAsia="Calibri" w:hAnsi="Calibri" w:cs="Calibri"/>
                <w:color w:val="111111"/>
                <w:sz w:val="18"/>
                <w:szCs w:val="18"/>
              </w:rPr>
              <w:t xml:space="preserve"> from parallelism. The </w:t>
            </w:r>
            <w:r>
              <w:rPr>
                <w:rFonts w:ascii="Calibri" w:eastAsia="Calibri" w:hAnsi="Calibri" w:cs="Calibri"/>
                <w:color w:val="111111"/>
                <w:sz w:val="18"/>
                <w:szCs w:val="18"/>
              </w:rPr>
              <w:lastRenderedPageBreak/>
              <w:t xml:space="preserve">372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total per-node airtime versus 247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for raw transmission (i.e., CRT is </w:t>
            </w:r>
            <w:proofErr w:type="gramStart"/>
            <w:r>
              <w:rPr>
                <w:rFonts w:ascii="Calibri" w:eastAsia="Calibri" w:hAnsi="Calibri" w:cs="Calibri"/>
                <w:color w:val="111111"/>
                <w:sz w:val="18"/>
                <w:szCs w:val="18"/>
              </w:rPr>
              <w:t>actually slower</w:t>
            </w:r>
            <w:proofErr w:type="gramEnd"/>
            <w:r>
              <w:rPr>
                <w:rFonts w:ascii="Calibri" w:eastAsia="Calibri" w:hAnsi="Calibri" w:cs="Calibri"/>
                <w:color w:val="111111"/>
                <w:sz w:val="18"/>
                <w:szCs w:val="18"/>
              </w:rPr>
              <w:t xml:space="preserve"> per node) is buried and inconsistently presented. The authors must reconcile this throughout the manuscript.</w:t>
            </w:r>
          </w:p>
        </w:tc>
      </w:tr>
      <w:tr w:rsidR="00A430CA" w14:paraId="78F26EAA"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0CA041D" w14:textId="77777777" w:rsidR="00A430CA" w:rsidRDefault="00000000">
            <w:pPr>
              <w:jc w:val="center"/>
            </w:pPr>
            <w:r>
              <w:rPr>
                <w:rFonts w:ascii="Calibri" w:eastAsia="Calibri" w:hAnsi="Calibri" w:cs="Calibri"/>
                <w:b/>
                <w:bCs/>
                <w:color w:val="1F3864"/>
                <w:sz w:val="19"/>
                <w:szCs w:val="19"/>
              </w:rPr>
              <w:lastRenderedPageBreak/>
              <w:t>14</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10CB0A3"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EE150D5" w14:textId="77777777" w:rsidR="00A430CA" w:rsidRDefault="00000000">
            <w:pPr>
              <w:jc w:val="center"/>
            </w:pPr>
            <w:r>
              <w:rPr>
                <w:rFonts w:ascii="Calibri" w:eastAsia="Calibri" w:hAnsi="Calibri" w:cs="Calibri"/>
                <w:b/>
                <w:bCs/>
                <w:color w:val="333333"/>
                <w:sz w:val="19"/>
                <w:szCs w:val="19"/>
              </w:rPr>
              <w:t>Comment 2</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74E6B957" w14:textId="77777777" w:rsidR="00A430CA" w:rsidRDefault="00000000">
            <w:r>
              <w:rPr>
                <w:rFonts w:ascii="Calibri" w:eastAsia="Calibri" w:hAnsi="Calibri" w:cs="Calibri"/>
                <w:b/>
                <w:bCs/>
                <w:color w:val="1F3864"/>
                <w:sz w:val="19"/>
                <w:szCs w:val="19"/>
              </w:rPr>
              <w:t>The '66.7% latency reduction' headline figure is misleading</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52614720" w14:textId="4330CEE3" w:rsidR="00A430CA" w:rsidRDefault="00000000">
            <w:pPr>
              <w:spacing w:line="264" w:lineRule="auto"/>
            </w:pPr>
            <w:r>
              <w:rPr>
                <w:rFonts w:ascii="Calibri" w:eastAsia="Calibri" w:hAnsi="Calibri" w:cs="Calibri"/>
                <w:color w:val="111111"/>
                <w:sz w:val="18"/>
                <w:szCs w:val="18"/>
              </w:rPr>
              <w:t xml:space="preserve">The abstract and introduction prominently claim a reduction 'from 372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sequential to 124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parallel.' But 372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is the total per-node CRT airtime, while 124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is the per-packet airtime for a single residue. Comparing these two numbers to claim a 66.7% reduction conflates different quantities. The honest comparison is 247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(raw) vs 372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(CRT) at the per-node </w:t>
            </w:r>
            <w:proofErr w:type="gramStart"/>
            <w:r>
              <w:rPr>
                <w:rFonts w:ascii="Calibri" w:eastAsia="Calibri" w:hAnsi="Calibri" w:cs="Calibri"/>
                <w:color w:val="111111"/>
                <w:sz w:val="18"/>
                <w:szCs w:val="18"/>
              </w:rPr>
              <w:t>level  which</w:t>
            </w:r>
            <w:proofErr w:type="gramEnd"/>
            <w:r>
              <w:rPr>
                <w:rFonts w:ascii="Calibri" w:eastAsia="Calibri" w:hAnsi="Calibri" w:cs="Calibri"/>
                <w:color w:val="111111"/>
                <w:sz w:val="18"/>
                <w:szCs w:val="18"/>
              </w:rPr>
              <w:t xml:space="preserve"> shows CRT is slower per </w:t>
            </w:r>
            <w:proofErr w:type="gramStart"/>
            <w:r>
              <w:rPr>
                <w:rFonts w:ascii="Calibri" w:eastAsia="Calibri" w:hAnsi="Calibri" w:cs="Calibri"/>
                <w:color w:val="111111"/>
                <w:sz w:val="18"/>
                <w:szCs w:val="18"/>
              </w:rPr>
              <w:t>node  or</w:t>
            </w:r>
            <w:proofErr w:type="gramEnd"/>
            <w:r>
              <w:rPr>
                <w:rFonts w:ascii="Calibri" w:eastAsia="Calibri" w:hAnsi="Calibri" w:cs="Calibri"/>
                <w:color w:val="111111"/>
                <w:sz w:val="18"/>
                <w:szCs w:val="18"/>
              </w:rPr>
              <w:t xml:space="preserve"> 247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vs 124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at the per-packet level, where the benefit is in network throughput, not individual node latency. Please revise the abstract and introduction to state the benefit accurately.</w:t>
            </w:r>
          </w:p>
        </w:tc>
      </w:tr>
      <w:tr w:rsidR="00A430CA" w14:paraId="3C035EE6"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78C5A03" w14:textId="77777777" w:rsidR="00A430CA" w:rsidRDefault="00000000">
            <w:pPr>
              <w:jc w:val="center"/>
            </w:pPr>
            <w:r>
              <w:rPr>
                <w:rFonts w:ascii="Calibri" w:eastAsia="Calibri" w:hAnsi="Calibri" w:cs="Calibri"/>
                <w:b/>
                <w:bCs/>
                <w:color w:val="1F3864"/>
                <w:sz w:val="19"/>
                <w:szCs w:val="19"/>
              </w:rPr>
              <w:t>15</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E65C815"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1B9A0CD" w14:textId="77777777" w:rsidR="00A430CA" w:rsidRDefault="00000000">
            <w:pPr>
              <w:jc w:val="center"/>
            </w:pPr>
            <w:r>
              <w:rPr>
                <w:rFonts w:ascii="Calibri" w:eastAsia="Calibri" w:hAnsi="Calibri" w:cs="Calibri"/>
                <w:b/>
                <w:bCs/>
                <w:color w:val="333333"/>
                <w:sz w:val="19"/>
                <w:szCs w:val="19"/>
              </w:rPr>
              <w:t>Comment 3</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195AA3C7" w14:textId="77777777" w:rsidR="00A430CA" w:rsidRDefault="00000000">
            <w:r>
              <w:rPr>
                <w:rFonts w:ascii="Calibri" w:eastAsia="Calibri" w:hAnsi="Calibri" w:cs="Calibri"/>
                <w:b/>
                <w:bCs/>
                <w:color w:val="1F3864"/>
                <w:sz w:val="19"/>
                <w:szCs w:val="19"/>
              </w:rPr>
              <w:t>Amdahl's Law analysis contains a conceptual error</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4549D1D3" w14:textId="427DB49B" w:rsidR="00A430CA" w:rsidRDefault="00000000">
            <w:pPr>
              <w:spacing w:line="264" w:lineRule="auto"/>
            </w:pPr>
            <w:r>
              <w:rPr>
                <w:rFonts w:ascii="Calibri" w:eastAsia="Calibri" w:hAnsi="Calibri" w:cs="Calibri"/>
                <w:color w:val="111111"/>
                <w:sz w:val="18"/>
                <w:szCs w:val="18"/>
              </w:rPr>
              <w:t xml:space="preserve">Section 3.3.2 applies Amdahl's Law to derive a speedup of 1.99, comparing raw (247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to CRT parallel (124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The problem is that these are not the sequential and parallel execution times of the same workload. Amdahl's Law applies when a fixed task is decomposed into sequential and parallel fractions. Here, the 'parallel' figure (124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is the airtime of one residue packet, while the 'sequential' figure (247 </w:t>
            </w:r>
            <w:proofErr w:type="spellStart"/>
            <w:r>
              <w:rPr>
                <w:rFonts w:ascii="Calibri" w:eastAsia="Calibri" w:hAnsi="Calibri" w:cs="Calibri"/>
                <w:color w:val="111111"/>
                <w:sz w:val="18"/>
                <w:szCs w:val="18"/>
              </w:rPr>
              <w:t>ms</w:t>
            </w:r>
            <w:proofErr w:type="spellEnd"/>
            <w:r>
              <w:rPr>
                <w:rFonts w:ascii="Calibri" w:eastAsia="Calibri" w:hAnsi="Calibri" w:cs="Calibri"/>
                <w:color w:val="111111"/>
                <w:sz w:val="18"/>
                <w:szCs w:val="18"/>
              </w:rPr>
              <w:t xml:space="preserve">) is the airtime of the full raw </w:t>
            </w:r>
            <w:proofErr w:type="gramStart"/>
            <w:r>
              <w:rPr>
                <w:rFonts w:ascii="Calibri" w:eastAsia="Calibri" w:hAnsi="Calibri" w:cs="Calibri"/>
                <w:color w:val="111111"/>
                <w:sz w:val="18"/>
                <w:szCs w:val="18"/>
              </w:rPr>
              <w:t>packet  different</w:t>
            </w:r>
            <w:proofErr w:type="gramEnd"/>
            <w:r>
              <w:rPr>
                <w:rFonts w:ascii="Calibri" w:eastAsia="Calibri" w:hAnsi="Calibri" w:cs="Calibri"/>
                <w:color w:val="111111"/>
                <w:sz w:val="18"/>
                <w:szCs w:val="18"/>
              </w:rPr>
              <w:t xml:space="preserve"> tasks with different packet sizes. The comparison is not valid as presented. If the authors wish to apply Amdahl's Law, they should do so </w:t>
            </w:r>
            <w:proofErr w:type="gramStart"/>
            <w:r>
              <w:rPr>
                <w:rFonts w:ascii="Calibri" w:eastAsia="Calibri" w:hAnsi="Calibri" w:cs="Calibri"/>
                <w:color w:val="111111"/>
                <w:sz w:val="18"/>
                <w:szCs w:val="18"/>
              </w:rPr>
              <w:t>correctly, or</w:t>
            </w:r>
            <w:proofErr w:type="gramEnd"/>
            <w:r>
              <w:rPr>
                <w:rFonts w:ascii="Calibri" w:eastAsia="Calibri" w:hAnsi="Calibri" w:cs="Calibri"/>
                <w:color w:val="111111"/>
                <w:sz w:val="18"/>
                <w:szCs w:val="18"/>
              </w:rPr>
              <w:t xml:space="preserve"> replace this section with a more appropriate network throughput analysis.</w:t>
            </w:r>
          </w:p>
        </w:tc>
      </w:tr>
      <w:tr w:rsidR="00A430CA" w14:paraId="1DF2441C"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85C6FD3" w14:textId="77777777" w:rsidR="00A430CA" w:rsidRDefault="00000000">
            <w:pPr>
              <w:jc w:val="center"/>
            </w:pPr>
            <w:r>
              <w:rPr>
                <w:rFonts w:ascii="Calibri" w:eastAsia="Calibri" w:hAnsi="Calibri" w:cs="Calibri"/>
                <w:b/>
                <w:bCs/>
                <w:color w:val="1F3864"/>
                <w:sz w:val="19"/>
                <w:szCs w:val="19"/>
              </w:rPr>
              <w:t>16</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D3ADC6D"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6271538" w14:textId="77777777" w:rsidR="00A430CA" w:rsidRDefault="00000000">
            <w:pPr>
              <w:jc w:val="center"/>
            </w:pPr>
            <w:r>
              <w:rPr>
                <w:rFonts w:ascii="Calibri" w:eastAsia="Calibri" w:hAnsi="Calibri" w:cs="Calibri"/>
                <w:b/>
                <w:bCs/>
                <w:color w:val="333333"/>
                <w:sz w:val="19"/>
                <w:szCs w:val="19"/>
              </w:rPr>
              <w:t>Comment 4</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7465D417" w14:textId="6B86657D" w:rsidR="00A430CA" w:rsidRDefault="00000000">
            <w:r>
              <w:rPr>
                <w:rFonts w:ascii="Calibri" w:eastAsia="Calibri" w:hAnsi="Calibri" w:cs="Calibri"/>
                <w:b/>
                <w:bCs/>
                <w:color w:val="1F3864"/>
                <w:sz w:val="19"/>
                <w:szCs w:val="19"/>
              </w:rPr>
              <w:t xml:space="preserve">Node capacity analysis </w:t>
            </w:r>
            <w:proofErr w:type="gramStart"/>
            <w:r>
              <w:rPr>
                <w:rFonts w:ascii="Calibri" w:eastAsia="Calibri" w:hAnsi="Calibri" w:cs="Calibri"/>
                <w:b/>
                <w:bCs/>
                <w:color w:val="1F3864"/>
                <w:sz w:val="19"/>
                <w:szCs w:val="19"/>
              </w:rPr>
              <w:t>inconsistent  CRT</w:t>
            </w:r>
            <w:proofErr w:type="gramEnd"/>
            <w:r>
              <w:rPr>
                <w:rFonts w:ascii="Calibri" w:eastAsia="Calibri" w:hAnsi="Calibri" w:cs="Calibri"/>
                <w:b/>
                <w:bCs/>
                <w:color w:val="1F3864"/>
                <w:sz w:val="19"/>
                <w:szCs w:val="19"/>
              </w:rPr>
              <w:t xml:space="preserve"> reduces </w:t>
            </w:r>
            <w:proofErr w:type="gramStart"/>
            <w:r>
              <w:rPr>
                <w:rFonts w:ascii="Calibri" w:eastAsia="Calibri" w:hAnsi="Calibri" w:cs="Calibri"/>
                <w:b/>
                <w:bCs/>
                <w:color w:val="1F3864"/>
                <w:sz w:val="19"/>
                <w:szCs w:val="19"/>
              </w:rPr>
              <w:t>capacity</w:t>
            </w:r>
            <w:proofErr w:type="gramEnd"/>
            <w:r>
              <w:rPr>
                <w:rFonts w:ascii="Calibri" w:eastAsia="Calibri" w:hAnsi="Calibri" w:cs="Calibri"/>
                <w:b/>
                <w:bCs/>
                <w:color w:val="1F3864"/>
                <w:sz w:val="19"/>
                <w:szCs w:val="19"/>
              </w:rPr>
              <w:t xml:space="preserve"> but paper implies otherwise</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018672E4" w14:textId="1DF05BAE" w:rsidR="00A430CA" w:rsidRDefault="00000000">
            <w:pPr>
              <w:spacing w:line="264" w:lineRule="auto"/>
            </w:pPr>
            <w:r>
              <w:rPr>
                <w:rFonts w:ascii="Calibri" w:eastAsia="Calibri" w:hAnsi="Calibri" w:cs="Calibri"/>
                <w:color w:val="111111"/>
                <w:sz w:val="18"/>
                <w:szCs w:val="18"/>
              </w:rPr>
              <w:t xml:space="preserve">Table 3 and surrounding text show that CRT supports 484 nodes versus 728 for raw. The authors acknowledge that CRT reduces node capacity because three packets are sent per reading. However, earlier in the paper (Section 1.5, abstract) the framing suggests CRT is advantageous in terms of capacity. The authors should be upfront about this tradeoff from the beginning rather than burying the concession in Section 3.4.2. The '1,451 CRT residue packets' figure in the abstract is technically correct but misleading without the context that these correspond to only 484 complete </w:t>
            </w:r>
            <w:proofErr w:type="gramStart"/>
            <w:r>
              <w:rPr>
                <w:rFonts w:ascii="Calibri" w:eastAsia="Calibri" w:hAnsi="Calibri" w:cs="Calibri"/>
                <w:color w:val="111111"/>
                <w:sz w:val="18"/>
                <w:szCs w:val="18"/>
              </w:rPr>
              <w:t>readings  fewer</w:t>
            </w:r>
            <w:proofErr w:type="gramEnd"/>
            <w:r>
              <w:rPr>
                <w:rFonts w:ascii="Calibri" w:eastAsia="Calibri" w:hAnsi="Calibri" w:cs="Calibri"/>
                <w:color w:val="111111"/>
                <w:sz w:val="18"/>
                <w:szCs w:val="18"/>
              </w:rPr>
              <w:t xml:space="preserve"> than raw.</w:t>
            </w:r>
          </w:p>
        </w:tc>
      </w:tr>
      <w:tr w:rsidR="00A430CA" w14:paraId="7D9B0AA8"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22BB140" w14:textId="77777777" w:rsidR="00A430CA" w:rsidRDefault="00000000">
            <w:pPr>
              <w:jc w:val="center"/>
            </w:pPr>
            <w:r>
              <w:rPr>
                <w:rFonts w:ascii="Calibri" w:eastAsia="Calibri" w:hAnsi="Calibri" w:cs="Calibri"/>
                <w:b/>
                <w:bCs/>
                <w:color w:val="1F3864"/>
                <w:sz w:val="19"/>
                <w:szCs w:val="19"/>
              </w:rPr>
              <w:t>17</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13BC9BE"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DB74608" w14:textId="77777777" w:rsidR="00A430CA" w:rsidRDefault="00000000">
            <w:pPr>
              <w:jc w:val="center"/>
            </w:pPr>
            <w:r>
              <w:rPr>
                <w:rFonts w:ascii="Calibri" w:eastAsia="Calibri" w:hAnsi="Calibri" w:cs="Calibri"/>
                <w:b/>
                <w:bCs/>
                <w:color w:val="333333"/>
                <w:sz w:val="19"/>
                <w:szCs w:val="19"/>
              </w:rPr>
              <w:t>Comment 5</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3B0669BD" w14:textId="77777777" w:rsidR="00A430CA" w:rsidRDefault="00000000">
            <w:r>
              <w:rPr>
                <w:rFonts w:ascii="Calibri" w:eastAsia="Calibri" w:hAnsi="Calibri" w:cs="Calibri"/>
                <w:b/>
                <w:bCs/>
                <w:color w:val="1F3864"/>
                <w:sz w:val="19"/>
                <w:szCs w:val="19"/>
              </w:rPr>
              <w:t>Energy analysis scope (node TX only) stated too late</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0013406B" w14:textId="17C621BA" w:rsidR="00A430CA" w:rsidRDefault="00000000">
            <w:pPr>
              <w:spacing w:line="264" w:lineRule="auto"/>
            </w:pPr>
            <w:r>
              <w:rPr>
                <w:rFonts w:ascii="Calibri" w:eastAsia="Calibri" w:hAnsi="Calibri" w:cs="Calibri"/>
                <w:color w:val="111111"/>
                <w:sz w:val="18"/>
                <w:szCs w:val="18"/>
              </w:rPr>
              <w:t xml:space="preserve">The clarification that the 48.8% energy savings </w:t>
            </w:r>
            <w:proofErr w:type="gramStart"/>
            <w:r>
              <w:rPr>
                <w:rFonts w:ascii="Calibri" w:eastAsia="Calibri" w:hAnsi="Calibri" w:cs="Calibri"/>
                <w:color w:val="111111"/>
                <w:sz w:val="18"/>
                <w:szCs w:val="18"/>
              </w:rPr>
              <w:t>refers</w:t>
            </w:r>
            <w:proofErr w:type="gramEnd"/>
            <w:r>
              <w:rPr>
                <w:rFonts w:ascii="Calibri" w:eastAsia="Calibri" w:hAnsi="Calibri" w:cs="Calibri"/>
                <w:color w:val="111111"/>
                <w:sz w:val="18"/>
                <w:szCs w:val="18"/>
              </w:rPr>
              <w:t xml:space="preserve"> only to node transmission </w:t>
            </w:r>
            <w:proofErr w:type="gramStart"/>
            <w:r>
              <w:rPr>
                <w:rFonts w:ascii="Calibri" w:eastAsia="Calibri" w:hAnsi="Calibri" w:cs="Calibri"/>
                <w:color w:val="111111"/>
                <w:sz w:val="18"/>
                <w:szCs w:val="18"/>
              </w:rPr>
              <w:t>energy  and</w:t>
            </w:r>
            <w:proofErr w:type="gramEnd"/>
            <w:r>
              <w:rPr>
                <w:rFonts w:ascii="Calibri" w:eastAsia="Calibri" w:hAnsi="Calibri" w:cs="Calibri"/>
                <w:color w:val="111111"/>
                <w:sz w:val="18"/>
                <w:szCs w:val="18"/>
              </w:rPr>
              <w:t xml:space="preserve"> excludes gateway reception and blockchain </w:t>
            </w:r>
            <w:proofErr w:type="gramStart"/>
            <w:r>
              <w:rPr>
                <w:rFonts w:ascii="Calibri" w:eastAsia="Calibri" w:hAnsi="Calibri" w:cs="Calibri"/>
                <w:color w:val="111111"/>
                <w:sz w:val="18"/>
                <w:szCs w:val="18"/>
              </w:rPr>
              <w:t>computation  appears</w:t>
            </w:r>
            <w:proofErr w:type="gramEnd"/>
            <w:r>
              <w:rPr>
                <w:rFonts w:ascii="Calibri" w:eastAsia="Calibri" w:hAnsi="Calibri" w:cs="Calibri"/>
                <w:color w:val="111111"/>
                <w:sz w:val="18"/>
                <w:szCs w:val="18"/>
              </w:rPr>
              <w:t xml:space="preserve"> in Section 5.1 but not in the abstract or introduction where the claim is first made. This scope should be stated upfront. Readers may otherwise overestimate the system-wide energy benefit.</w:t>
            </w:r>
          </w:p>
        </w:tc>
      </w:tr>
      <w:tr w:rsidR="00A430CA" w14:paraId="74B05A6D"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FF4BB4E" w14:textId="77777777" w:rsidR="00A430CA" w:rsidRDefault="00000000">
            <w:pPr>
              <w:jc w:val="center"/>
            </w:pPr>
            <w:r>
              <w:rPr>
                <w:rFonts w:ascii="Calibri" w:eastAsia="Calibri" w:hAnsi="Calibri" w:cs="Calibri"/>
                <w:b/>
                <w:bCs/>
                <w:color w:val="1F3864"/>
                <w:sz w:val="19"/>
                <w:szCs w:val="19"/>
              </w:rPr>
              <w:t>18</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AC27295"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0B29068" w14:textId="77777777" w:rsidR="00A430CA" w:rsidRDefault="00000000">
            <w:pPr>
              <w:jc w:val="center"/>
            </w:pPr>
            <w:r>
              <w:rPr>
                <w:rFonts w:ascii="Calibri" w:eastAsia="Calibri" w:hAnsi="Calibri" w:cs="Calibri"/>
                <w:b/>
                <w:bCs/>
                <w:color w:val="333333"/>
                <w:sz w:val="19"/>
                <w:szCs w:val="19"/>
              </w:rPr>
              <w:t>Comment 6</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5D5A83D3" w14:textId="77777777" w:rsidR="00A430CA" w:rsidRDefault="00000000">
            <w:r>
              <w:rPr>
                <w:rFonts w:ascii="Calibri" w:eastAsia="Calibri" w:hAnsi="Calibri" w:cs="Calibri"/>
                <w:b/>
                <w:bCs/>
                <w:color w:val="1F3864"/>
                <w:sz w:val="19"/>
                <w:szCs w:val="19"/>
              </w:rPr>
              <w:t>Experimental limitations are underreported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74802FA2" w14:textId="77777777" w:rsidR="00A430CA" w:rsidRDefault="00000000">
            <w:pPr>
              <w:spacing w:line="264" w:lineRule="auto"/>
            </w:pPr>
            <w:r>
              <w:rPr>
                <w:rFonts w:ascii="Calibri" w:eastAsia="Calibri" w:hAnsi="Calibri" w:cs="Calibri"/>
                <w:color w:val="111111"/>
                <w:sz w:val="18"/>
                <w:szCs w:val="18"/>
              </w:rPr>
              <w:t xml:space="preserve">The study is conducted on a single 2-hectare farm over a single growing season with one crop pairing. There is no discussion of how representative the Sfax, Tunisia conditions are for the claimed broader applicability of the framework. The scalability results are largely theoretical, and the fault tolerance tests (Section 5.5.5) appear to be simulated rather than observed organically during deployment. Please be more explicit about what was measured empirically versus what was derived </w:t>
            </w:r>
            <w:proofErr w:type="gramStart"/>
            <w:r>
              <w:rPr>
                <w:rFonts w:ascii="Calibri" w:eastAsia="Calibri" w:hAnsi="Calibri" w:cs="Calibri"/>
                <w:color w:val="111111"/>
                <w:sz w:val="18"/>
                <w:szCs w:val="18"/>
              </w:rPr>
              <w:t>theoretically, and</w:t>
            </w:r>
            <w:proofErr w:type="gramEnd"/>
            <w:r>
              <w:rPr>
                <w:rFonts w:ascii="Calibri" w:eastAsia="Calibri" w:hAnsi="Calibri" w:cs="Calibri"/>
                <w:color w:val="111111"/>
                <w:sz w:val="18"/>
                <w:szCs w:val="18"/>
              </w:rPr>
              <w:t xml:space="preserve"> acknowledge the single-site limitation.</w:t>
            </w:r>
          </w:p>
        </w:tc>
      </w:tr>
      <w:tr w:rsidR="00A430CA" w14:paraId="3985CBC2"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C89FC1D" w14:textId="77777777" w:rsidR="00A430CA" w:rsidRDefault="00000000">
            <w:pPr>
              <w:jc w:val="center"/>
            </w:pPr>
            <w:r>
              <w:rPr>
                <w:rFonts w:ascii="Calibri" w:eastAsia="Calibri" w:hAnsi="Calibri" w:cs="Calibri"/>
                <w:b/>
                <w:bCs/>
                <w:color w:val="1F3864"/>
                <w:sz w:val="19"/>
                <w:szCs w:val="19"/>
              </w:rPr>
              <w:t>19</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499A965"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6045EC2" w14:textId="77777777" w:rsidR="00A430CA" w:rsidRDefault="00000000">
            <w:pPr>
              <w:jc w:val="center"/>
            </w:pPr>
            <w:r>
              <w:rPr>
                <w:rFonts w:ascii="Calibri" w:eastAsia="Calibri" w:hAnsi="Calibri" w:cs="Calibri"/>
                <w:b/>
                <w:bCs/>
                <w:color w:val="333333"/>
                <w:sz w:val="19"/>
                <w:szCs w:val="19"/>
              </w:rPr>
              <w:t>Comment 7a</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00B414DE" w14:textId="77777777" w:rsidR="00A430CA" w:rsidRDefault="00000000">
            <w:r>
              <w:rPr>
                <w:rFonts w:ascii="Calibri" w:eastAsia="Calibri" w:hAnsi="Calibri" w:cs="Calibri"/>
                <w:b/>
                <w:bCs/>
                <w:color w:val="1F3864"/>
                <w:sz w:val="19"/>
                <w:szCs w:val="19"/>
              </w:rPr>
              <w:t>Table 6 improvement column baseline unclear</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17913AB4" w14:textId="77777777" w:rsidR="00A430CA" w:rsidRDefault="00000000">
            <w:pPr>
              <w:spacing w:line="264" w:lineRule="auto"/>
            </w:pPr>
            <w:r>
              <w:rPr>
                <w:rFonts w:ascii="Calibri" w:eastAsia="Calibri" w:hAnsi="Calibri" w:cs="Calibri"/>
                <w:color w:val="111111"/>
                <w:sz w:val="18"/>
                <w:szCs w:val="18"/>
              </w:rPr>
              <w:t>Table 6 shows 'No CRT' E2E latency as 2.1 s, CRT as 1.5 s, and CRT+BC as 1.7 s. The improvement column says 19.0% for CRT+BC, but relative to which baseline? Please clarify.</w:t>
            </w:r>
          </w:p>
        </w:tc>
      </w:tr>
      <w:tr w:rsidR="00A430CA" w14:paraId="1E3EEFF4"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CE69194" w14:textId="77777777" w:rsidR="00A430CA" w:rsidRDefault="00000000">
            <w:pPr>
              <w:jc w:val="center"/>
            </w:pPr>
            <w:r>
              <w:rPr>
                <w:rFonts w:ascii="Calibri" w:eastAsia="Calibri" w:hAnsi="Calibri" w:cs="Calibri"/>
                <w:b/>
                <w:bCs/>
                <w:color w:val="1F3864"/>
                <w:sz w:val="19"/>
                <w:szCs w:val="19"/>
              </w:rPr>
              <w:lastRenderedPageBreak/>
              <w:t>20</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46BB07D"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25E5719" w14:textId="77777777" w:rsidR="00A430CA" w:rsidRDefault="00000000">
            <w:pPr>
              <w:jc w:val="center"/>
            </w:pPr>
            <w:r>
              <w:rPr>
                <w:rFonts w:ascii="Calibri" w:eastAsia="Calibri" w:hAnsi="Calibri" w:cs="Calibri"/>
                <w:b/>
                <w:bCs/>
                <w:color w:val="333333"/>
                <w:sz w:val="19"/>
                <w:szCs w:val="19"/>
              </w:rPr>
              <w:t>Comment 7b</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78400995" w14:textId="77777777" w:rsidR="00A430CA" w:rsidRDefault="00000000">
            <w:r>
              <w:rPr>
                <w:rFonts w:ascii="Calibri" w:eastAsia="Calibri" w:hAnsi="Calibri" w:cs="Calibri"/>
                <w:b/>
                <w:bCs/>
                <w:color w:val="1F3864"/>
                <w:sz w:val="19"/>
                <w:szCs w:val="19"/>
              </w:rPr>
              <w:t>Code listings have spacing/formatting issue</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4BBC9F7A" w14:textId="77777777" w:rsidR="00A430CA" w:rsidRDefault="00000000">
            <w:pPr>
              <w:spacing w:line="264" w:lineRule="auto"/>
            </w:pPr>
            <w:r>
              <w:rPr>
                <w:rFonts w:ascii="Calibri" w:eastAsia="Calibri" w:hAnsi="Calibri" w:cs="Calibri"/>
                <w:color w:val="111111"/>
                <w:sz w:val="18"/>
                <w:szCs w:val="18"/>
              </w:rPr>
              <w:t>The code listings in Sections 3.7.7–3.7.8 appear to use non-standard formatting (possible LaTeX verbatim issues) with characters like 'c o n s t' rendered with spaces. If this is intentional pseudocode, label it as such; if it is actual source code, fix the formatting.</w:t>
            </w:r>
          </w:p>
        </w:tc>
      </w:tr>
      <w:tr w:rsidR="00A430CA" w14:paraId="336E1FC5"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F8814F1" w14:textId="77777777" w:rsidR="00A430CA" w:rsidRDefault="00000000">
            <w:pPr>
              <w:jc w:val="center"/>
            </w:pPr>
            <w:r>
              <w:rPr>
                <w:rFonts w:ascii="Calibri" w:eastAsia="Calibri" w:hAnsi="Calibri" w:cs="Calibri"/>
                <w:b/>
                <w:bCs/>
                <w:color w:val="1F3864"/>
                <w:sz w:val="19"/>
                <w:szCs w:val="19"/>
              </w:rPr>
              <w:t>21</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2984F52"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827DAAD" w14:textId="77777777" w:rsidR="00A430CA" w:rsidRDefault="00000000">
            <w:pPr>
              <w:jc w:val="center"/>
            </w:pPr>
            <w:r>
              <w:rPr>
                <w:rFonts w:ascii="Calibri" w:eastAsia="Calibri" w:hAnsi="Calibri" w:cs="Calibri"/>
                <w:b/>
                <w:bCs/>
                <w:color w:val="333333"/>
                <w:sz w:val="19"/>
                <w:szCs w:val="19"/>
              </w:rPr>
              <w:t>Comment 7c</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6BFCE92D" w14:textId="77777777" w:rsidR="00A430CA" w:rsidRDefault="00000000">
            <w:r>
              <w:rPr>
                <w:rFonts w:ascii="Calibri" w:eastAsia="Calibri" w:hAnsi="Calibri" w:cs="Calibri"/>
                <w:b/>
                <w:bCs/>
                <w:color w:val="1F3864"/>
                <w:sz w:val="19"/>
                <w:szCs w:val="19"/>
              </w:rPr>
              <w:t>Figure 12 LZW saturation derivation not shown</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08A4461" w14:textId="77777777" w:rsidR="00A430CA" w:rsidRDefault="00000000">
            <w:pPr>
              <w:spacing w:line="264" w:lineRule="auto"/>
            </w:pPr>
            <w:r>
              <w:rPr>
                <w:rFonts w:ascii="Calibri" w:eastAsia="Calibri" w:hAnsi="Calibri" w:cs="Calibri"/>
                <w:color w:val="111111"/>
                <w:sz w:val="18"/>
                <w:szCs w:val="18"/>
              </w:rPr>
              <w:t>Figure 12 shows LZW saturating at 1,333 nodes, which would require a per-packet airtime that the paper does not clearly derive. Please provide the derivation.</w:t>
            </w:r>
          </w:p>
        </w:tc>
      </w:tr>
      <w:tr w:rsidR="00A430CA" w14:paraId="571E9B1D"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2C59CF0" w14:textId="77777777" w:rsidR="00A430CA" w:rsidRDefault="00000000">
            <w:pPr>
              <w:jc w:val="center"/>
            </w:pPr>
            <w:r>
              <w:rPr>
                <w:rFonts w:ascii="Calibri" w:eastAsia="Calibri" w:hAnsi="Calibri" w:cs="Calibri"/>
                <w:b/>
                <w:bCs/>
                <w:color w:val="1F3864"/>
                <w:sz w:val="19"/>
                <w:szCs w:val="19"/>
              </w:rPr>
              <w:t>22</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2226AE6" w14:textId="77777777" w:rsidR="00A430CA" w:rsidRDefault="00000000">
            <w:pPr>
              <w:jc w:val="center"/>
            </w:pPr>
            <w:r>
              <w:rPr>
                <w:rFonts w:ascii="Calibri" w:eastAsia="Calibri" w:hAnsi="Calibri" w:cs="Calibri"/>
                <w:b/>
                <w:bCs/>
                <w:color w:val="2E75B6"/>
                <w:sz w:val="19"/>
                <w:szCs w:val="19"/>
              </w:rPr>
              <w:t>Rev. 2</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D6BA683" w14:textId="77777777" w:rsidR="00A430CA" w:rsidRDefault="00000000">
            <w:pPr>
              <w:jc w:val="center"/>
            </w:pPr>
            <w:r>
              <w:rPr>
                <w:rFonts w:ascii="Calibri" w:eastAsia="Calibri" w:hAnsi="Calibri" w:cs="Calibri"/>
                <w:b/>
                <w:bCs/>
                <w:color w:val="333333"/>
                <w:sz w:val="19"/>
                <w:szCs w:val="19"/>
              </w:rPr>
              <w:t>Comment 7d</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35DFC8D5" w14:textId="77777777" w:rsidR="00A430CA" w:rsidRDefault="00000000">
            <w:r>
              <w:rPr>
                <w:rFonts w:ascii="Calibri" w:eastAsia="Calibri" w:hAnsi="Calibri" w:cs="Calibri"/>
                <w:b/>
                <w:bCs/>
                <w:color w:val="1F3864"/>
                <w:sz w:val="19"/>
                <w:szCs w:val="19"/>
              </w:rPr>
              <w:t>Table 10 referenced well before it appears</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652853AA" w14:textId="77777777" w:rsidR="00A430CA" w:rsidRDefault="00000000">
            <w:pPr>
              <w:spacing w:line="264" w:lineRule="auto"/>
            </w:pPr>
            <w:r>
              <w:rPr>
                <w:rFonts w:ascii="Calibri" w:eastAsia="Calibri" w:hAnsi="Calibri" w:cs="Calibri"/>
                <w:color w:val="111111"/>
                <w:sz w:val="18"/>
                <w:szCs w:val="18"/>
              </w:rPr>
              <w:t>The paper frequently references 'Table 10' well before it appears in the text. Consider reordering or using forward references more explicitly.</w:t>
            </w:r>
          </w:p>
        </w:tc>
      </w:tr>
      <w:tr w:rsidR="00A430CA" w14:paraId="25CC488D" w14:textId="77777777" w:rsidTr="002017AB">
        <w:tc>
          <w:tcPr>
            <w:tcW w:w="5000" w:type="pct"/>
            <w:gridSpan w:val="5"/>
            <w:tcBorders>
              <w:top w:val="single" w:sz="8" w:space="0" w:color="2E75B6"/>
              <w:left w:val="single" w:sz="8" w:space="0" w:color="2E75B6"/>
              <w:bottom w:val="single" w:sz="8" w:space="0" w:color="2E75B6"/>
              <w:right w:val="single" w:sz="8" w:space="0" w:color="2E75B6"/>
            </w:tcBorders>
            <w:shd w:val="clear" w:color="auto" w:fill="2E75B6"/>
            <w:tcMar>
              <w:top w:w="80" w:type="dxa"/>
              <w:left w:w="120" w:type="dxa"/>
              <w:bottom w:w="80" w:type="dxa"/>
              <w:right w:w="120" w:type="dxa"/>
            </w:tcMar>
          </w:tcPr>
          <w:p w14:paraId="4C319920" w14:textId="77777777" w:rsidR="00A430CA" w:rsidRDefault="00000000">
            <w:r>
              <w:rPr>
                <w:rFonts w:ascii="Calibri" w:eastAsia="Calibri" w:hAnsi="Calibri" w:cs="Calibri"/>
                <w:b/>
                <w:bCs/>
                <w:color w:val="FFFFFF"/>
                <w:sz w:val="21"/>
                <w:szCs w:val="21"/>
              </w:rPr>
              <w:t>Reviewer 3</w:t>
            </w:r>
          </w:p>
        </w:tc>
      </w:tr>
      <w:tr w:rsidR="00A430CA" w14:paraId="63558AE7"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9082097" w14:textId="77777777" w:rsidR="00A430CA" w:rsidRDefault="00000000">
            <w:pPr>
              <w:jc w:val="center"/>
            </w:pPr>
            <w:r>
              <w:rPr>
                <w:rFonts w:ascii="Calibri" w:eastAsia="Calibri" w:hAnsi="Calibri" w:cs="Calibri"/>
                <w:b/>
                <w:bCs/>
                <w:color w:val="1F3864"/>
                <w:sz w:val="19"/>
                <w:szCs w:val="19"/>
              </w:rPr>
              <w:t>23</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7D712C1"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0F73E0B" w14:textId="77777777" w:rsidR="00A430CA" w:rsidRDefault="00000000">
            <w:pPr>
              <w:jc w:val="center"/>
            </w:pPr>
            <w:r>
              <w:rPr>
                <w:rFonts w:ascii="Calibri" w:eastAsia="Calibri" w:hAnsi="Calibri" w:cs="Calibri"/>
                <w:b/>
                <w:bCs/>
                <w:color w:val="333333"/>
                <w:sz w:val="19"/>
                <w:szCs w:val="19"/>
              </w:rPr>
              <w:t>General</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38141439" w14:textId="77777777" w:rsidR="00A430CA" w:rsidRDefault="00000000">
            <w:r>
              <w:rPr>
                <w:rFonts w:ascii="Calibri" w:eastAsia="Calibri" w:hAnsi="Calibri" w:cs="Calibri"/>
                <w:b/>
                <w:bCs/>
                <w:color w:val="1F3864"/>
                <w:sz w:val="19"/>
                <w:szCs w:val="19"/>
              </w:rPr>
              <w:t>Overall assessment</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75589B95" w14:textId="77777777" w:rsidR="00A430CA" w:rsidRDefault="00000000">
            <w:pPr>
              <w:spacing w:line="264" w:lineRule="auto"/>
            </w:pPr>
            <w:r>
              <w:rPr>
                <w:rFonts w:ascii="Calibri" w:eastAsia="Calibri" w:hAnsi="Calibri" w:cs="Calibri"/>
                <w:color w:val="111111"/>
                <w:sz w:val="18"/>
                <w:szCs w:val="18"/>
              </w:rPr>
              <w:t>The manuscript presents an integrated architecture for distributed edge computing in resource-constrained IoT environments combining CRT-based residue transmission, LoRa communication, Raspberry Pi edge cluster with Hyperledger Fabric, hybrid LoRa-mesh networking, and a smart irrigation application. The system is validated through a 61-day deployment on a 2-hectare farm with 50 ESP32 nodes and four Raspberry Pi gateways. Strong points include the long-term field validation, full system-stack coverage, and detailed Hyperledger Fabric implementation on edge hardware. The recommendation is Major Revision.</w:t>
            </w:r>
          </w:p>
        </w:tc>
      </w:tr>
      <w:tr w:rsidR="00A430CA" w14:paraId="17079C1A"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3BEAFC9" w14:textId="77777777" w:rsidR="00A430CA" w:rsidRDefault="00000000">
            <w:pPr>
              <w:jc w:val="center"/>
            </w:pPr>
            <w:r>
              <w:rPr>
                <w:rFonts w:ascii="Calibri" w:eastAsia="Calibri" w:hAnsi="Calibri" w:cs="Calibri"/>
                <w:b/>
                <w:bCs/>
                <w:color w:val="1F3864"/>
                <w:sz w:val="19"/>
                <w:szCs w:val="19"/>
              </w:rPr>
              <w:t>24</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56A9321"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49B1C0E" w14:textId="77777777" w:rsidR="00A430CA" w:rsidRDefault="00000000">
            <w:pPr>
              <w:jc w:val="center"/>
            </w:pPr>
            <w:r>
              <w:rPr>
                <w:rFonts w:ascii="Calibri" w:eastAsia="Calibri" w:hAnsi="Calibri" w:cs="Calibri"/>
                <w:b/>
                <w:bCs/>
                <w:color w:val="333333"/>
                <w:sz w:val="19"/>
                <w:szCs w:val="19"/>
              </w:rPr>
              <w:t>Weak point 1</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4D8FE801" w14:textId="27089EBC" w:rsidR="00A430CA" w:rsidRDefault="00000000">
            <w:r>
              <w:rPr>
                <w:rFonts w:ascii="Calibri" w:eastAsia="Calibri" w:hAnsi="Calibri" w:cs="Calibri"/>
                <w:b/>
                <w:bCs/>
                <w:color w:val="1F3864"/>
                <w:sz w:val="19"/>
                <w:szCs w:val="19"/>
              </w:rPr>
              <w:t xml:space="preserve">'Parallel transmission' </w:t>
            </w:r>
            <w:proofErr w:type="gramStart"/>
            <w:r>
              <w:rPr>
                <w:rFonts w:ascii="Calibri" w:eastAsia="Calibri" w:hAnsi="Calibri" w:cs="Calibri"/>
                <w:b/>
                <w:bCs/>
                <w:color w:val="1F3864"/>
                <w:sz w:val="19"/>
                <w:szCs w:val="19"/>
              </w:rPr>
              <w:t>misrepresented  parallelism</w:t>
            </w:r>
            <w:proofErr w:type="gramEnd"/>
            <w:r>
              <w:rPr>
                <w:rFonts w:ascii="Calibri" w:eastAsia="Calibri" w:hAnsi="Calibri" w:cs="Calibri"/>
                <w:b/>
                <w:bCs/>
                <w:color w:val="1F3864"/>
                <w:sz w:val="19"/>
                <w:szCs w:val="19"/>
              </w:rPr>
              <w:t xml:space="preserve"> is at gateway not node level</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24C43A91" w14:textId="77777777" w:rsidR="00A430CA" w:rsidRDefault="00000000">
            <w:pPr>
              <w:spacing w:line="264" w:lineRule="auto"/>
            </w:pPr>
            <w:r>
              <w:rPr>
                <w:rFonts w:ascii="Calibri" w:eastAsia="Calibri" w:hAnsi="Calibri" w:cs="Calibri"/>
                <w:color w:val="111111"/>
                <w:sz w:val="18"/>
                <w:szCs w:val="18"/>
              </w:rPr>
              <w:t xml:space="preserve">The manuscript frequently refers to 'parallel transmission', but the actual system behavior is different. A sensor node transmits residues sequentially and the gateway receives packets across multiple channels using a multi-demodulator LoRa concentrator. </w:t>
            </w:r>
            <w:proofErr w:type="gramStart"/>
            <w:r>
              <w:rPr>
                <w:rFonts w:ascii="Calibri" w:eastAsia="Calibri" w:hAnsi="Calibri" w:cs="Calibri"/>
                <w:color w:val="111111"/>
                <w:sz w:val="18"/>
                <w:szCs w:val="18"/>
              </w:rPr>
              <w:t>The parallelism</w:t>
            </w:r>
            <w:proofErr w:type="gramEnd"/>
            <w:r>
              <w:rPr>
                <w:rFonts w:ascii="Calibri" w:eastAsia="Calibri" w:hAnsi="Calibri" w:cs="Calibri"/>
                <w:color w:val="111111"/>
                <w:sz w:val="18"/>
                <w:szCs w:val="18"/>
              </w:rPr>
              <w:t xml:space="preserve"> occurs primarily at the network level rather than at the node level. This distinction is acknowledged later in the manuscript but should be clarified much earlier to avoid conceptual ambiguity. The authors should explicitly explain that CRT does not create physical parallel transmission at the </w:t>
            </w:r>
            <w:proofErr w:type="gramStart"/>
            <w:r>
              <w:rPr>
                <w:rFonts w:ascii="Calibri" w:eastAsia="Calibri" w:hAnsi="Calibri" w:cs="Calibri"/>
                <w:color w:val="111111"/>
                <w:sz w:val="18"/>
                <w:szCs w:val="18"/>
              </w:rPr>
              <w:t>node</w:t>
            </w:r>
            <w:proofErr w:type="gramEnd"/>
            <w:r>
              <w:rPr>
                <w:rFonts w:ascii="Calibri" w:eastAsia="Calibri" w:hAnsi="Calibri" w:cs="Calibri"/>
                <w:color w:val="111111"/>
                <w:sz w:val="18"/>
                <w:szCs w:val="18"/>
              </w:rPr>
              <w:t xml:space="preserve"> and the benefit arises from multi-channel reception and reduced airtime per packet.</w:t>
            </w:r>
          </w:p>
        </w:tc>
      </w:tr>
      <w:tr w:rsidR="00A430CA" w14:paraId="02E501E2"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9FC599B" w14:textId="77777777" w:rsidR="00A430CA" w:rsidRDefault="00000000">
            <w:pPr>
              <w:jc w:val="center"/>
            </w:pPr>
            <w:r>
              <w:rPr>
                <w:rFonts w:ascii="Calibri" w:eastAsia="Calibri" w:hAnsi="Calibri" w:cs="Calibri"/>
                <w:b/>
                <w:bCs/>
                <w:color w:val="1F3864"/>
                <w:sz w:val="19"/>
                <w:szCs w:val="19"/>
              </w:rPr>
              <w:t>25</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1063FB7"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7C70FFE" w14:textId="77777777" w:rsidR="00A430CA" w:rsidRDefault="00000000">
            <w:pPr>
              <w:jc w:val="center"/>
            </w:pPr>
            <w:r>
              <w:rPr>
                <w:rFonts w:ascii="Calibri" w:eastAsia="Calibri" w:hAnsi="Calibri" w:cs="Calibri"/>
                <w:b/>
                <w:bCs/>
                <w:color w:val="333333"/>
                <w:sz w:val="19"/>
                <w:szCs w:val="19"/>
              </w:rPr>
              <w:t>Weak point 2</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5ABD6C2C" w14:textId="77777777" w:rsidR="00A430CA" w:rsidRDefault="00000000">
            <w:r>
              <w:rPr>
                <w:rFonts w:ascii="Calibri" w:eastAsia="Calibri" w:hAnsi="Calibri" w:cs="Calibri"/>
                <w:b/>
                <w:bCs/>
                <w:color w:val="1F3864"/>
                <w:sz w:val="19"/>
                <w:szCs w:val="19"/>
              </w:rPr>
              <w:t>Blockchain necessity not clearly demonstrated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2FEBC4AE" w14:textId="77777777" w:rsidR="00A430CA" w:rsidRDefault="00000000">
            <w:pPr>
              <w:spacing w:line="264" w:lineRule="auto"/>
            </w:pPr>
            <w:r>
              <w:rPr>
                <w:rFonts w:ascii="Calibri" w:eastAsia="Calibri" w:hAnsi="Calibri" w:cs="Calibri"/>
                <w:color w:val="111111"/>
                <w:sz w:val="18"/>
                <w:szCs w:val="18"/>
              </w:rPr>
              <w:t>While the blockchain layer ensures data integrity and supports smart contracts, the manuscript does not clearly demonstrate why blockchain is strictly necessary for this application. Many of the reported functions (data logging, verification, irrigation control) could potentially be implemented using conventional distributed databases or secure logging frameworks. The authors should clarify the specific advantages of blockchain over alternative architectures.</w:t>
            </w:r>
          </w:p>
        </w:tc>
      </w:tr>
      <w:tr w:rsidR="00A430CA" w14:paraId="07E12A68"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685F732" w14:textId="77777777" w:rsidR="00A430CA" w:rsidRDefault="00000000">
            <w:pPr>
              <w:jc w:val="center"/>
            </w:pPr>
            <w:r>
              <w:rPr>
                <w:rFonts w:ascii="Calibri" w:eastAsia="Calibri" w:hAnsi="Calibri" w:cs="Calibri"/>
                <w:b/>
                <w:bCs/>
                <w:color w:val="1F3864"/>
                <w:sz w:val="19"/>
                <w:szCs w:val="19"/>
              </w:rPr>
              <w:t>26</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C690690"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42DCB81" w14:textId="77777777" w:rsidR="00A430CA" w:rsidRDefault="00000000">
            <w:pPr>
              <w:jc w:val="center"/>
            </w:pPr>
            <w:r>
              <w:rPr>
                <w:rFonts w:ascii="Calibri" w:eastAsia="Calibri" w:hAnsi="Calibri" w:cs="Calibri"/>
                <w:b/>
                <w:bCs/>
                <w:color w:val="333333"/>
                <w:sz w:val="19"/>
                <w:szCs w:val="19"/>
              </w:rPr>
              <w:t>Technical 1</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4BE5042E" w14:textId="77777777" w:rsidR="00A430CA" w:rsidRDefault="00000000">
            <w:r>
              <w:rPr>
                <w:rFonts w:ascii="Calibri" w:eastAsia="Calibri" w:hAnsi="Calibri" w:cs="Calibri"/>
                <w:b/>
                <w:bCs/>
                <w:color w:val="1F3864"/>
                <w:sz w:val="19"/>
                <w:szCs w:val="19"/>
              </w:rPr>
              <w:t>Manuscript too long; reduce by 20–30%</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2BDE3D44" w14:textId="77777777" w:rsidR="00A430CA" w:rsidRDefault="00000000">
            <w:pPr>
              <w:spacing w:line="264" w:lineRule="auto"/>
            </w:pPr>
            <w:r>
              <w:rPr>
                <w:rFonts w:ascii="Calibri" w:eastAsia="Calibri" w:hAnsi="Calibri" w:cs="Calibri"/>
                <w:color w:val="111111"/>
                <w:sz w:val="18"/>
                <w:szCs w:val="18"/>
              </w:rPr>
              <w:t>The manuscript is unusually long and contains several redundant explanations. Reducing the overall length by approximately 20–30% would improve readability. Some mathematical sections describing CRT reconstruction are overly detailed for readers familiar with number theory; a shorter formulation may be sufficient.</w:t>
            </w:r>
          </w:p>
        </w:tc>
      </w:tr>
      <w:tr w:rsidR="00A430CA" w14:paraId="4E056DFA"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4247CF2" w14:textId="77777777" w:rsidR="00A430CA" w:rsidRDefault="00000000">
            <w:pPr>
              <w:jc w:val="center"/>
            </w:pPr>
            <w:r>
              <w:rPr>
                <w:rFonts w:ascii="Calibri" w:eastAsia="Calibri" w:hAnsi="Calibri" w:cs="Calibri"/>
                <w:b/>
                <w:bCs/>
                <w:color w:val="1F3864"/>
                <w:sz w:val="19"/>
                <w:szCs w:val="19"/>
              </w:rPr>
              <w:t>27</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6DA2D59"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B0A9C93" w14:textId="77777777" w:rsidR="00A430CA" w:rsidRDefault="00000000">
            <w:pPr>
              <w:jc w:val="center"/>
            </w:pPr>
            <w:r>
              <w:rPr>
                <w:rFonts w:ascii="Calibri" w:eastAsia="Calibri" w:hAnsi="Calibri" w:cs="Calibri"/>
                <w:b/>
                <w:bCs/>
                <w:color w:val="333333"/>
                <w:sz w:val="19"/>
                <w:szCs w:val="19"/>
              </w:rPr>
              <w:t>Technical 2</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4125AD29" w14:textId="77777777" w:rsidR="00A430CA" w:rsidRDefault="00000000">
            <w:r>
              <w:rPr>
                <w:rFonts w:ascii="Calibri" w:eastAsia="Calibri" w:hAnsi="Calibri" w:cs="Calibri"/>
                <w:b/>
                <w:bCs/>
                <w:color w:val="1F3864"/>
                <w:sz w:val="19"/>
                <w:szCs w:val="19"/>
              </w:rPr>
              <w:t>Distinguish per-node transmission time from network-level throughput improvement</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5D70DE1A" w14:textId="77777777" w:rsidR="00A430CA" w:rsidRDefault="00000000">
            <w:pPr>
              <w:spacing w:line="264" w:lineRule="auto"/>
            </w:pPr>
            <w:r>
              <w:rPr>
                <w:rFonts w:ascii="Calibri" w:eastAsia="Calibri" w:hAnsi="Calibri" w:cs="Calibri"/>
                <w:color w:val="111111"/>
                <w:sz w:val="18"/>
                <w:szCs w:val="18"/>
              </w:rPr>
              <w:t>The manuscript should clearly distinguish between per-node transmission time and network-level throughput improvement throughout.</w:t>
            </w:r>
          </w:p>
        </w:tc>
      </w:tr>
      <w:tr w:rsidR="00A430CA" w14:paraId="3CFC2E2A"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158E431" w14:textId="77777777" w:rsidR="00A430CA" w:rsidRDefault="00000000">
            <w:pPr>
              <w:jc w:val="center"/>
            </w:pPr>
            <w:r>
              <w:rPr>
                <w:rFonts w:ascii="Calibri" w:eastAsia="Calibri" w:hAnsi="Calibri" w:cs="Calibri"/>
                <w:b/>
                <w:bCs/>
                <w:color w:val="1F3864"/>
                <w:sz w:val="19"/>
                <w:szCs w:val="19"/>
              </w:rPr>
              <w:lastRenderedPageBreak/>
              <w:t>28</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A36F383"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928958B" w14:textId="77777777" w:rsidR="00A430CA" w:rsidRDefault="00000000">
            <w:pPr>
              <w:jc w:val="center"/>
            </w:pPr>
            <w:r>
              <w:rPr>
                <w:rFonts w:ascii="Calibri" w:eastAsia="Calibri" w:hAnsi="Calibri" w:cs="Calibri"/>
                <w:b/>
                <w:bCs/>
                <w:color w:val="333333"/>
                <w:sz w:val="19"/>
                <w:szCs w:val="19"/>
              </w:rPr>
              <w:t>Technical 3</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24FDF51A" w14:textId="77777777" w:rsidR="00A430CA" w:rsidRDefault="00000000">
            <w:r>
              <w:rPr>
                <w:rFonts w:ascii="Calibri" w:eastAsia="Calibri" w:hAnsi="Calibri" w:cs="Calibri"/>
                <w:b/>
                <w:bCs/>
                <w:color w:val="1F3864"/>
                <w:sz w:val="19"/>
                <w:szCs w:val="19"/>
              </w:rPr>
              <w:t>Additional experiments needed: higher density, congestion, gateway failure</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3DB0A6CF" w14:textId="77777777" w:rsidR="00A430CA" w:rsidRDefault="00000000">
            <w:pPr>
              <w:spacing w:line="264" w:lineRule="auto"/>
            </w:pPr>
            <w:r>
              <w:rPr>
                <w:rFonts w:ascii="Calibri" w:eastAsia="Calibri" w:hAnsi="Calibri" w:cs="Calibri"/>
                <w:color w:val="111111"/>
                <w:sz w:val="18"/>
                <w:szCs w:val="18"/>
              </w:rPr>
              <w:t>The performance evaluation would benefit from additional experiments exploring higher node densities, network congestion scenarios, and gateway failure scenarios.</w:t>
            </w:r>
          </w:p>
        </w:tc>
      </w:tr>
      <w:tr w:rsidR="00A430CA" w14:paraId="1974D08B"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183C85E" w14:textId="77777777" w:rsidR="00A430CA" w:rsidRDefault="00000000">
            <w:pPr>
              <w:jc w:val="center"/>
            </w:pPr>
            <w:r>
              <w:rPr>
                <w:rFonts w:ascii="Calibri" w:eastAsia="Calibri" w:hAnsi="Calibri" w:cs="Calibri"/>
                <w:b/>
                <w:bCs/>
                <w:color w:val="1F3864"/>
                <w:sz w:val="19"/>
                <w:szCs w:val="19"/>
              </w:rPr>
              <w:t>29</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7AA8016" w14:textId="77777777" w:rsidR="00A430CA" w:rsidRDefault="00000000">
            <w:pPr>
              <w:jc w:val="center"/>
            </w:pPr>
            <w:r>
              <w:rPr>
                <w:rFonts w:ascii="Calibri" w:eastAsia="Calibri" w:hAnsi="Calibri" w:cs="Calibri"/>
                <w:b/>
                <w:bCs/>
                <w:color w:val="2E75B6"/>
                <w:sz w:val="19"/>
                <w:szCs w:val="19"/>
              </w:rPr>
              <w:t>Rev. 3</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3009FD6" w14:textId="77777777" w:rsidR="00A430CA" w:rsidRDefault="00000000">
            <w:pPr>
              <w:jc w:val="center"/>
            </w:pPr>
            <w:r>
              <w:rPr>
                <w:rFonts w:ascii="Calibri" w:eastAsia="Calibri" w:hAnsi="Calibri" w:cs="Calibri"/>
                <w:b/>
                <w:bCs/>
                <w:color w:val="333333"/>
                <w:sz w:val="19"/>
                <w:szCs w:val="19"/>
              </w:rPr>
              <w:t>Technical 4</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5A00B865" w14:textId="77777777" w:rsidR="00A430CA" w:rsidRDefault="00000000">
            <w:r>
              <w:rPr>
                <w:rFonts w:ascii="Calibri" w:eastAsia="Calibri" w:hAnsi="Calibri" w:cs="Calibri"/>
                <w:b/>
                <w:bCs/>
                <w:color w:val="1F3864"/>
                <w:sz w:val="19"/>
                <w:szCs w:val="19"/>
              </w:rPr>
              <w:t>Architecture figures could be simplified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8AEEADB" w14:textId="77777777" w:rsidR="00A430CA" w:rsidRDefault="00000000">
            <w:pPr>
              <w:spacing w:line="264" w:lineRule="auto"/>
            </w:pPr>
            <w:r>
              <w:rPr>
                <w:rFonts w:ascii="Calibri" w:eastAsia="Calibri" w:hAnsi="Calibri" w:cs="Calibri"/>
                <w:color w:val="111111"/>
                <w:sz w:val="18"/>
                <w:szCs w:val="18"/>
              </w:rPr>
              <w:t>Figures describing the system architecture could be simplified to emphasize the distributed computing aspects.</w:t>
            </w:r>
          </w:p>
        </w:tc>
      </w:tr>
      <w:tr w:rsidR="00A430CA" w14:paraId="5A8EFEAE" w14:textId="77777777" w:rsidTr="002017AB">
        <w:tc>
          <w:tcPr>
            <w:tcW w:w="5000" w:type="pct"/>
            <w:gridSpan w:val="5"/>
            <w:tcBorders>
              <w:top w:val="single" w:sz="8" w:space="0" w:color="2E75B6"/>
              <w:left w:val="single" w:sz="8" w:space="0" w:color="2E75B6"/>
              <w:bottom w:val="single" w:sz="8" w:space="0" w:color="2E75B6"/>
              <w:right w:val="single" w:sz="8" w:space="0" w:color="2E75B6"/>
            </w:tcBorders>
            <w:shd w:val="clear" w:color="auto" w:fill="2E75B6"/>
            <w:tcMar>
              <w:top w:w="80" w:type="dxa"/>
              <w:left w:w="120" w:type="dxa"/>
              <w:bottom w:w="80" w:type="dxa"/>
              <w:right w:w="120" w:type="dxa"/>
            </w:tcMar>
          </w:tcPr>
          <w:p w14:paraId="31711713" w14:textId="77777777" w:rsidR="00A430CA" w:rsidRDefault="00000000">
            <w:r>
              <w:rPr>
                <w:rFonts w:ascii="Calibri" w:eastAsia="Calibri" w:hAnsi="Calibri" w:cs="Calibri"/>
                <w:b/>
                <w:bCs/>
                <w:color w:val="FFFFFF"/>
                <w:sz w:val="21"/>
                <w:szCs w:val="21"/>
              </w:rPr>
              <w:t>Reviewer 4</w:t>
            </w:r>
          </w:p>
        </w:tc>
      </w:tr>
      <w:tr w:rsidR="00A430CA" w14:paraId="15A761A7"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ACD3DB1" w14:textId="77777777" w:rsidR="00A430CA" w:rsidRDefault="00000000">
            <w:pPr>
              <w:jc w:val="center"/>
            </w:pPr>
            <w:r>
              <w:rPr>
                <w:rFonts w:ascii="Calibri" w:eastAsia="Calibri" w:hAnsi="Calibri" w:cs="Calibri"/>
                <w:b/>
                <w:bCs/>
                <w:color w:val="1F3864"/>
                <w:sz w:val="19"/>
                <w:szCs w:val="19"/>
              </w:rPr>
              <w:t>30</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EC47907"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263F78F" w14:textId="77777777" w:rsidR="00A430CA" w:rsidRDefault="00000000">
            <w:pPr>
              <w:jc w:val="center"/>
            </w:pPr>
            <w:r>
              <w:rPr>
                <w:rFonts w:ascii="Calibri" w:eastAsia="Calibri" w:hAnsi="Calibri" w:cs="Calibri"/>
                <w:b/>
                <w:bCs/>
                <w:color w:val="333333"/>
                <w:sz w:val="19"/>
                <w:szCs w:val="19"/>
              </w:rPr>
              <w:t>General</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501CDFB9" w14:textId="77777777" w:rsidR="00A430CA" w:rsidRDefault="00000000">
            <w:r>
              <w:rPr>
                <w:rFonts w:ascii="Calibri" w:eastAsia="Calibri" w:hAnsi="Calibri" w:cs="Calibri"/>
                <w:b/>
                <w:bCs/>
                <w:color w:val="1F3864"/>
                <w:sz w:val="19"/>
                <w:szCs w:val="19"/>
              </w:rPr>
              <w:t>Overall assessment</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7EBF8D94" w14:textId="77777777" w:rsidR="00A430CA" w:rsidRDefault="00000000">
            <w:pPr>
              <w:spacing w:line="264" w:lineRule="auto"/>
            </w:pPr>
            <w:r>
              <w:rPr>
                <w:rFonts w:ascii="Calibri" w:eastAsia="Calibri" w:hAnsi="Calibri" w:cs="Calibri"/>
                <w:color w:val="111111"/>
                <w:sz w:val="18"/>
                <w:szCs w:val="18"/>
              </w:rPr>
              <w:t>The manuscript presents an innovative architecture integrating CRT-based parallel transmission, edge-resident Hyperledger Fabric blockchain, and a hybrid LoRa-mesh network. The paper is well-structured and presents compelling cyber-physical results; however, it needs a revision to address several technical ambiguities, security assumptions, and presentation details.</w:t>
            </w:r>
          </w:p>
        </w:tc>
      </w:tr>
      <w:tr w:rsidR="00A430CA" w14:paraId="4C5EC3F2"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159F2F2" w14:textId="77777777" w:rsidR="00A430CA" w:rsidRDefault="00000000">
            <w:pPr>
              <w:jc w:val="center"/>
            </w:pPr>
            <w:r>
              <w:rPr>
                <w:rFonts w:ascii="Calibri" w:eastAsia="Calibri" w:hAnsi="Calibri" w:cs="Calibri"/>
                <w:b/>
                <w:bCs/>
                <w:color w:val="1F3864"/>
                <w:sz w:val="19"/>
                <w:szCs w:val="19"/>
              </w:rPr>
              <w:t>31</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2CA1F5C"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F21C00D" w14:textId="77777777" w:rsidR="00A430CA" w:rsidRDefault="00000000">
            <w:pPr>
              <w:jc w:val="center"/>
            </w:pPr>
            <w:r>
              <w:rPr>
                <w:rFonts w:ascii="Calibri" w:eastAsia="Calibri" w:hAnsi="Calibri" w:cs="Calibri"/>
                <w:b/>
                <w:bCs/>
                <w:color w:val="333333"/>
                <w:sz w:val="19"/>
                <w:szCs w:val="19"/>
              </w:rPr>
              <w:t>Comment 1</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6CD16BF8" w14:textId="10BE54B0" w:rsidR="00A430CA" w:rsidRDefault="00000000">
            <w:r>
              <w:rPr>
                <w:rFonts w:ascii="Calibri" w:eastAsia="Calibri" w:hAnsi="Calibri" w:cs="Calibri"/>
                <w:b/>
                <w:bCs/>
                <w:color w:val="1F3864"/>
                <w:sz w:val="19"/>
                <w:szCs w:val="19"/>
              </w:rPr>
              <w:t xml:space="preserve">EDP analysis excludes gateway and blockchain </w:t>
            </w:r>
            <w:proofErr w:type="gramStart"/>
            <w:r>
              <w:rPr>
                <w:rFonts w:ascii="Calibri" w:eastAsia="Calibri" w:hAnsi="Calibri" w:cs="Calibri"/>
                <w:b/>
                <w:bCs/>
                <w:color w:val="1F3864"/>
                <w:sz w:val="19"/>
                <w:szCs w:val="19"/>
              </w:rPr>
              <w:t>energy  system</w:t>
            </w:r>
            <w:proofErr w:type="gramEnd"/>
            <w:r>
              <w:rPr>
                <w:rFonts w:ascii="Calibri" w:eastAsia="Calibri" w:hAnsi="Calibri" w:cs="Calibri"/>
                <w:b/>
                <w:bCs/>
                <w:color w:val="1F3864"/>
                <w:sz w:val="19"/>
                <w:szCs w:val="19"/>
              </w:rPr>
              <w:t>-level picture missing</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3927F13F" w14:textId="77777777" w:rsidR="00A430CA" w:rsidRDefault="00000000">
            <w:pPr>
              <w:spacing w:line="264" w:lineRule="auto"/>
            </w:pPr>
            <w:r>
              <w:rPr>
                <w:rFonts w:ascii="Calibri" w:eastAsia="Calibri" w:hAnsi="Calibri" w:cs="Calibri"/>
                <w:color w:val="111111"/>
                <w:sz w:val="18"/>
                <w:szCs w:val="18"/>
              </w:rPr>
              <w:t>The Energy-Delay Product (EDP) analysis explicitly excludes gateway and blockchain energy. While this is logical for calculating battery life of sensor nodes, it creates ambiguity regarding the system's total energy footprint. Briefly clarify the continuous power draw of the Raspberry Pi cluster to provide a holistic environmental view of the system.</w:t>
            </w:r>
          </w:p>
        </w:tc>
      </w:tr>
      <w:tr w:rsidR="00A430CA" w14:paraId="0E9910A3"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A8FEE62" w14:textId="77777777" w:rsidR="00A430CA" w:rsidRDefault="00000000">
            <w:pPr>
              <w:jc w:val="center"/>
            </w:pPr>
            <w:r>
              <w:rPr>
                <w:rFonts w:ascii="Calibri" w:eastAsia="Calibri" w:hAnsi="Calibri" w:cs="Calibri"/>
                <w:b/>
                <w:bCs/>
                <w:color w:val="1F3864"/>
                <w:sz w:val="19"/>
                <w:szCs w:val="19"/>
              </w:rPr>
              <w:t>32</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EB90CC7"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C2C0CB5" w14:textId="77777777" w:rsidR="00A430CA" w:rsidRDefault="00000000">
            <w:pPr>
              <w:jc w:val="center"/>
            </w:pPr>
            <w:r>
              <w:rPr>
                <w:rFonts w:ascii="Calibri" w:eastAsia="Calibri" w:hAnsi="Calibri" w:cs="Calibri"/>
                <w:b/>
                <w:bCs/>
                <w:color w:val="333333"/>
                <w:sz w:val="19"/>
                <w:szCs w:val="19"/>
              </w:rPr>
              <w:t>Comment 2</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10F02A23" w14:textId="77777777" w:rsidR="00A430CA" w:rsidRDefault="00000000">
            <w:r>
              <w:rPr>
                <w:rFonts w:ascii="Calibri" w:eastAsia="Calibri" w:hAnsi="Calibri" w:cs="Calibri"/>
                <w:b/>
                <w:bCs/>
                <w:color w:val="1F3864"/>
                <w:sz w:val="19"/>
                <w:szCs w:val="19"/>
              </w:rPr>
              <w:t>How does gateway identify which modulus a lost residue belonged to if the header is also lost?</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688D44E6" w14:textId="77777777" w:rsidR="00A430CA" w:rsidRDefault="00000000">
            <w:pPr>
              <w:spacing w:line="264" w:lineRule="auto"/>
            </w:pPr>
            <w:r>
              <w:rPr>
                <w:rFonts w:ascii="Calibri" w:eastAsia="Calibri" w:hAnsi="Calibri" w:cs="Calibri"/>
                <w:color w:val="111111"/>
                <w:sz w:val="18"/>
                <w:szCs w:val="18"/>
              </w:rPr>
              <w:t xml:space="preserve">The study notes that losing one of the three residues still allows 100% data recovery via subset CRT. Please </w:t>
            </w:r>
            <w:proofErr w:type="gramStart"/>
            <w:r>
              <w:rPr>
                <w:rFonts w:ascii="Calibri" w:eastAsia="Calibri" w:hAnsi="Calibri" w:cs="Calibri"/>
                <w:color w:val="111111"/>
                <w:sz w:val="18"/>
                <w:szCs w:val="18"/>
              </w:rPr>
              <w:t>clarify</w:t>
            </w:r>
            <w:proofErr w:type="gramEnd"/>
            <w:r>
              <w:rPr>
                <w:rFonts w:ascii="Calibri" w:eastAsia="Calibri" w:hAnsi="Calibri" w:cs="Calibri"/>
                <w:color w:val="111111"/>
                <w:sz w:val="18"/>
                <w:szCs w:val="18"/>
              </w:rPr>
              <w:t xml:space="preserve"> how the gateway mathematically or programmatically identifies exactly which specific modulus the missing residue belonged to if the packet's identifying header itself is lost or corrupted in transit.</w:t>
            </w:r>
          </w:p>
        </w:tc>
      </w:tr>
      <w:tr w:rsidR="00A430CA" w14:paraId="54C83647"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11FF1F7" w14:textId="77777777" w:rsidR="00A430CA" w:rsidRDefault="00000000">
            <w:pPr>
              <w:jc w:val="center"/>
            </w:pPr>
            <w:r>
              <w:rPr>
                <w:rFonts w:ascii="Calibri" w:eastAsia="Calibri" w:hAnsi="Calibri" w:cs="Calibri"/>
                <w:b/>
                <w:bCs/>
                <w:color w:val="1F3864"/>
                <w:sz w:val="19"/>
                <w:szCs w:val="19"/>
              </w:rPr>
              <w:t>33</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19265C6"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48573CFD" w14:textId="77777777" w:rsidR="00A430CA" w:rsidRDefault="00000000">
            <w:pPr>
              <w:jc w:val="center"/>
            </w:pPr>
            <w:r>
              <w:rPr>
                <w:rFonts w:ascii="Calibri" w:eastAsia="Calibri" w:hAnsi="Calibri" w:cs="Calibri"/>
                <w:b/>
                <w:bCs/>
                <w:color w:val="333333"/>
                <w:sz w:val="19"/>
                <w:szCs w:val="19"/>
              </w:rPr>
              <w:t>Comment 3</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55CB8A81" w14:textId="77777777" w:rsidR="00A430CA" w:rsidRDefault="00000000">
            <w:r>
              <w:rPr>
                <w:rFonts w:ascii="Calibri" w:eastAsia="Calibri" w:hAnsi="Calibri" w:cs="Calibri"/>
                <w:b/>
                <w:bCs/>
                <w:color w:val="1F3864"/>
                <w:sz w:val="19"/>
                <w:szCs w:val="19"/>
              </w:rPr>
              <w:t>MAC-layer scheduling and collision mitigation across LoRa channels not detailed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7C8D5379" w14:textId="77777777" w:rsidR="00A430CA" w:rsidRDefault="00000000">
            <w:pPr>
              <w:spacing w:line="264" w:lineRule="auto"/>
            </w:pPr>
            <w:r>
              <w:rPr>
                <w:rFonts w:ascii="Calibri" w:eastAsia="Calibri" w:hAnsi="Calibri" w:cs="Calibri"/>
                <w:color w:val="111111"/>
                <w:sz w:val="18"/>
                <w:szCs w:val="18"/>
              </w:rPr>
              <w:t>The paper elegantly explains that CRT allows for parallel channel transmission. However, detailing the specific MAC-layer scheduling or frequency-hopping spread spectrum (FHSS) algorithm used to coordinate these transmissions across the LoRa channels would strengthen the methodology and explain how collisions are mitigated at scale.</w:t>
            </w:r>
          </w:p>
        </w:tc>
      </w:tr>
      <w:tr w:rsidR="00A430CA" w14:paraId="7D19994E"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FD71C3C" w14:textId="77777777" w:rsidR="00A430CA" w:rsidRDefault="00000000">
            <w:pPr>
              <w:jc w:val="center"/>
            </w:pPr>
            <w:r>
              <w:rPr>
                <w:rFonts w:ascii="Calibri" w:eastAsia="Calibri" w:hAnsi="Calibri" w:cs="Calibri"/>
                <w:b/>
                <w:bCs/>
                <w:color w:val="1F3864"/>
                <w:sz w:val="19"/>
                <w:szCs w:val="19"/>
              </w:rPr>
              <w:t>34</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A62E67E"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F312831" w14:textId="77777777" w:rsidR="00A430CA" w:rsidRDefault="00000000">
            <w:pPr>
              <w:jc w:val="center"/>
            </w:pPr>
            <w:r>
              <w:rPr>
                <w:rFonts w:ascii="Calibri" w:eastAsia="Calibri" w:hAnsi="Calibri" w:cs="Calibri"/>
                <w:b/>
                <w:bCs/>
                <w:color w:val="333333"/>
                <w:sz w:val="19"/>
                <w:szCs w:val="19"/>
              </w:rPr>
              <w:t>Comment 4</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7BDFD762" w14:textId="77777777" w:rsidR="00A430CA" w:rsidRDefault="00000000">
            <w:r>
              <w:rPr>
                <w:rFonts w:ascii="Calibri" w:eastAsia="Calibri" w:hAnsi="Calibri" w:cs="Calibri"/>
                <w:b/>
                <w:bCs/>
                <w:color w:val="1F3864"/>
                <w:sz w:val="19"/>
                <w:szCs w:val="19"/>
              </w:rPr>
              <w:t>Sensor degradation and calibration drift over multi-year deployment not addressed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5556C6E8" w14:textId="77777777" w:rsidR="00A430CA" w:rsidRDefault="00000000">
            <w:pPr>
              <w:spacing w:line="264" w:lineRule="auto"/>
            </w:pPr>
            <w:r>
              <w:rPr>
                <w:rFonts w:ascii="Calibri" w:eastAsia="Calibri" w:hAnsi="Calibri" w:cs="Calibri"/>
                <w:color w:val="111111"/>
                <w:sz w:val="18"/>
                <w:szCs w:val="18"/>
              </w:rPr>
              <w:t xml:space="preserve">While </w:t>
            </w:r>
            <w:proofErr w:type="gramStart"/>
            <w:r>
              <w:rPr>
                <w:rFonts w:ascii="Calibri" w:eastAsia="Calibri" w:hAnsi="Calibri" w:cs="Calibri"/>
                <w:color w:val="111111"/>
                <w:sz w:val="18"/>
                <w:szCs w:val="18"/>
              </w:rPr>
              <w:t>the smart</w:t>
            </w:r>
            <w:proofErr w:type="gramEnd"/>
            <w:r>
              <w:rPr>
                <w:rFonts w:ascii="Calibri" w:eastAsia="Calibri" w:hAnsi="Calibri" w:cs="Calibri"/>
                <w:color w:val="111111"/>
                <w:sz w:val="18"/>
                <w:szCs w:val="18"/>
              </w:rPr>
              <w:t xml:space="preserve"> contracts efficiently automate irrigation based on threshold readings, the paper does not address how the system handles physical sensor degradation or calibration drift over multi-year deployments. Discuss how the system prevents faulty automated irrigation events if a sensor begins reporting consistently skewed data.</w:t>
            </w:r>
          </w:p>
        </w:tc>
      </w:tr>
      <w:tr w:rsidR="00A430CA" w14:paraId="50CE9124"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A1B3C2C" w14:textId="77777777" w:rsidR="00A430CA" w:rsidRDefault="00000000">
            <w:pPr>
              <w:jc w:val="center"/>
            </w:pPr>
            <w:r>
              <w:rPr>
                <w:rFonts w:ascii="Calibri" w:eastAsia="Calibri" w:hAnsi="Calibri" w:cs="Calibri"/>
                <w:b/>
                <w:bCs/>
                <w:color w:val="1F3864"/>
                <w:sz w:val="19"/>
                <w:szCs w:val="19"/>
              </w:rPr>
              <w:t>35</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1E0411E"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732F13A2" w14:textId="77777777" w:rsidR="00A430CA" w:rsidRDefault="00000000">
            <w:pPr>
              <w:jc w:val="center"/>
            </w:pPr>
            <w:r>
              <w:rPr>
                <w:rFonts w:ascii="Calibri" w:eastAsia="Calibri" w:hAnsi="Calibri" w:cs="Calibri"/>
                <w:b/>
                <w:bCs/>
                <w:color w:val="333333"/>
                <w:sz w:val="19"/>
                <w:szCs w:val="19"/>
              </w:rPr>
              <w:t>Comment 5</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701111BA" w14:textId="77777777" w:rsidR="00A430CA" w:rsidRDefault="00000000">
            <w:r>
              <w:rPr>
                <w:rFonts w:ascii="Calibri" w:eastAsia="Calibri" w:hAnsi="Calibri" w:cs="Calibri"/>
                <w:b/>
                <w:bCs/>
                <w:color w:val="1F3864"/>
                <w:sz w:val="19"/>
                <w:szCs w:val="19"/>
              </w:rPr>
              <w:t>Raft CFT vs BFT trade-off for physical node tampering not acknowledged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59E211B7" w14:textId="77777777" w:rsidR="00A430CA" w:rsidRDefault="00000000">
            <w:pPr>
              <w:spacing w:line="264" w:lineRule="auto"/>
            </w:pPr>
            <w:r>
              <w:rPr>
                <w:rFonts w:ascii="Calibri" w:eastAsia="Calibri" w:hAnsi="Calibri" w:cs="Calibri"/>
                <w:color w:val="111111"/>
                <w:sz w:val="18"/>
                <w:szCs w:val="18"/>
              </w:rPr>
              <w:t>The justification for using Raft (Crash-Fault Tolerance) is logical for a permissioned network. However, physical node tampering is a reality in remote agricultural fields. Briefly acknowledge the trade-offs of omitting lightweight Byzantine Fault Tolerance (BFT) protocols for this specific deployment.</w:t>
            </w:r>
          </w:p>
        </w:tc>
      </w:tr>
      <w:tr w:rsidR="00A430CA" w14:paraId="698BA8BA"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FA2EEFE" w14:textId="77777777" w:rsidR="00A430CA" w:rsidRDefault="00000000">
            <w:pPr>
              <w:jc w:val="center"/>
            </w:pPr>
            <w:r>
              <w:rPr>
                <w:rFonts w:ascii="Calibri" w:eastAsia="Calibri" w:hAnsi="Calibri" w:cs="Calibri"/>
                <w:b/>
                <w:bCs/>
                <w:color w:val="1F3864"/>
                <w:sz w:val="19"/>
                <w:szCs w:val="19"/>
              </w:rPr>
              <w:t>36</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48B742BE"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9883CE7" w14:textId="77777777" w:rsidR="00A430CA" w:rsidRDefault="00000000">
            <w:pPr>
              <w:jc w:val="center"/>
            </w:pPr>
            <w:r>
              <w:rPr>
                <w:rFonts w:ascii="Calibri" w:eastAsia="Calibri" w:hAnsi="Calibri" w:cs="Calibri"/>
                <w:b/>
                <w:bCs/>
                <w:color w:val="333333"/>
                <w:sz w:val="19"/>
                <w:szCs w:val="19"/>
              </w:rPr>
              <w:t>Comment 6</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3A954781" w14:textId="77777777" w:rsidR="00A430CA" w:rsidRDefault="00000000">
            <w:r>
              <w:rPr>
                <w:rFonts w:ascii="Calibri" w:eastAsia="Calibri" w:hAnsi="Calibri" w:cs="Calibri"/>
                <w:b/>
                <w:bCs/>
                <w:color w:val="1F3864"/>
                <w:sz w:val="19"/>
                <w:szCs w:val="19"/>
              </w:rPr>
              <w:t>90-day on-chain hash retention insufficient for multi-year certification audits</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0BE4F4B0" w14:textId="77777777" w:rsidR="00A430CA" w:rsidRDefault="00000000">
            <w:pPr>
              <w:spacing w:line="264" w:lineRule="auto"/>
            </w:pPr>
            <w:r>
              <w:rPr>
                <w:rFonts w:ascii="Calibri" w:eastAsia="Calibri" w:hAnsi="Calibri" w:cs="Calibri"/>
                <w:color w:val="111111"/>
                <w:sz w:val="18"/>
                <w:szCs w:val="18"/>
              </w:rPr>
              <w:t>The paper mentions a 90-day on-chain hash retention. For agricultural certification (e.g., organic compliance), certifiers often require multi-year historical audits. Expand on the off-chain synchronization and long-term retrieval mechanics used to satisfy these auditing requirements.</w:t>
            </w:r>
          </w:p>
        </w:tc>
      </w:tr>
      <w:tr w:rsidR="00A430CA" w14:paraId="05ACF354"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DD4C887" w14:textId="77777777" w:rsidR="00A430CA" w:rsidRDefault="00000000">
            <w:pPr>
              <w:jc w:val="center"/>
            </w:pPr>
            <w:r>
              <w:rPr>
                <w:rFonts w:ascii="Calibri" w:eastAsia="Calibri" w:hAnsi="Calibri" w:cs="Calibri"/>
                <w:b/>
                <w:bCs/>
                <w:color w:val="1F3864"/>
                <w:sz w:val="19"/>
                <w:szCs w:val="19"/>
              </w:rPr>
              <w:lastRenderedPageBreak/>
              <w:t>37</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1DBE88"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2B2338EE" w14:textId="77777777" w:rsidR="00A430CA" w:rsidRDefault="00000000">
            <w:pPr>
              <w:jc w:val="center"/>
            </w:pPr>
            <w:r>
              <w:rPr>
                <w:rFonts w:ascii="Calibri" w:eastAsia="Calibri" w:hAnsi="Calibri" w:cs="Calibri"/>
                <w:b/>
                <w:bCs/>
                <w:color w:val="333333"/>
                <w:sz w:val="19"/>
                <w:szCs w:val="19"/>
              </w:rPr>
              <w:t>Comment 7</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014BCDEB" w14:textId="77777777" w:rsidR="00A430CA" w:rsidRDefault="00000000">
            <w:r>
              <w:rPr>
                <w:rFonts w:ascii="Calibri" w:eastAsia="Calibri" w:hAnsi="Calibri" w:cs="Calibri"/>
                <w:b/>
                <w:bCs/>
                <w:color w:val="1F3864"/>
                <w:sz w:val="19"/>
                <w:szCs w:val="19"/>
              </w:rPr>
              <w:t>Irrigation actuation behavior during gateway partition not clarified</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54276079" w14:textId="77777777" w:rsidR="00A430CA" w:rsidRDefault="00000000">
            <w:pPr>
              <w:spacing w:line="264" w:lineRule="auto"/>
            </w:pPr>
            <w:r>
              <w:rPr>
                <w:rFonts w:ascii="Calibri" w:eastAsia="Calibri" w:hAnsi="Calibri" w:cs="Calibri"/>
                <w:color w:val="111111"/>
                <w:sz w:val="18"/>
                <w:szCs w:val="18"/>
              </w:rPr>
              <w:t>When a gateway is offline and the sensor buffers data locally (up to 4 hours of readings), clarify what happens to the physical irrigation actuation in that specific zone during the partition. Does the system default to a failsafe timer, or is actuation entirely suspended?</w:t>
            </w:r>
          </w:p>
        </w:tc>
      </w:tr>
      <w:tr w:rsidR="00A430CA" w14:paraId="29D7EC5B"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6FF95A3" w14:textId="77777777" w:rsidR="00A430CA" w:rsidRDefault="00000000">
            <w:pPr>
              <w:jc w:val="center"/>
            </w:pPr>
            <w:r>
              <w:rPr>
                <w:rFonts w:ascii="Calibri" w:eastAsia="Calibri" w:hAnsi="Calibri" w:cs="Calibri"/>
                <w:b/>
                <w:bCs/>
                <w:color w:val="1F3864"/>
                <w:sz w:val="19"/>
                <w:szCs w:val="19"/>
              </w:rPr>
              <w:t>38</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61C69EE"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B188F87" w14:textId="77777777" w:rsidR="00A430CA" w:rsidRDefault="00000000">
            <w:pPr>
              <w:jc w:val="center"/>
            </w:pPr>
            <w:r>
              <w:rPr>
                <w:rFonts w:ascii="Calibri" w:eastAsia="Calibri" w:hAnsi="Calibri" w:cs="Calibri"/>
                <w:b/>
                <w:bCs/>
                <w:color w:val="333333"/>
                <w:sz w:val="19"/>
                <w:szCs w:val="19"/>
              </w:rPr>
              <w:t>Comment 8</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6846ED21" w14:textId="70C394DD" w:rsidR="00A430CA" w:rsidRDefault="00000000">
            <w:r>
              <w:rPr>
                <w:rFonts w:ascii="Calibri" w:eastAsia="Calibri" w:hAnsi="Calibri" w:cs="Calibri"/>
                <w:b/>
                <w:bCs/>
                <w:color w:val="1F3864"/>
                <w:sz w:val="19"/>
                <w:szCs w:val="19"/>
              </w:rPr>
              <w:t xml:space="preserve">Raft election timeout 2–4 s but recovery takes 8.2 </w:t>
            </w:r>
            <w:proofErr w:type="gramStart"/>
            <w:r>
              <w:rPr>
                <w:rFonts w:ascii="Calibri" w:eastAsia="Calibri" w:hAnsi="Calibri" w:cs="Calibri"/>
                <w:b/>
                <w:bCs/>
                <w:color w:val="1F3864"/>
                <w:sz w:val="19"/>
                <w:szCs w:val="19"/>
              </w:rPr>
              <w:t>s  explain</w:t>
            </w:r>
            <w:proofErr w:type="gramEnd"/>
            <w:r>
              <w:rPr>
                <w:rFonts w:ascii="Calibri" w:eastAsia="Calibri" w:hAnsi="Calibri" w:cs="Calibri"/>
                <w:b/>
                <w:bCs/>
                <w:color w:val="1F3864"/>
                <w:sz w:val="19"/>
                <w:szCs w:val="19"/>
              </w:rPr>
              <w:t xml:space="preserve"> the gap</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040408F2" w14:textId="77777777" w:rsidR="00A430CA" w:rsidRDefault="00000000">
            <w:pPr>
              <w:spacing w:line="264" w:lineRule="auto"/>
            </w:pPr>
            <w:r>
              <w:rPr>
                <w:rFonts w:ascii="Calibri" w:eastAsia="Calibri" w:hAnsi="Calibri" w:cs="Calibri"/>
                <w:color w:val="111111"/>
                <w:sz w:val="18"/>
                <w:szCs w:val="18"/>
              </w:rPr>
              <w:t>The Raft election timeout is configured to 2–4 seconds, yet the leader failure recovery time averages 8.2 seconds. Explain the mechanics behind this delay (network propagation, state synchronization overhead) to clarify why recovery takes longer than the timeout threshold.</w:t>
            </w:r>
          </w:p>
        </w:tc>
      </w:tr>
      <w:tr w:rsidR="00A430CA" w14:paraId="1362F3BC"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B931AA0" w14:textId="77777777" w:rsidR="00A430CA" w:rsidRDefault="00000000">
            <w:pPr>
              <w:jc w:val="center"/>
            </w:pPr>
            <w:r>
              <w:rPr>
                <w:rFonts w:ascii="Calibri" w:eastAsia="Calibri" w:hAnsi="Calibri" w:cs="Calibri"/>
                <w:b/>
                <w:bCs/>
                <w:color w:val="1F3864"/>
                <w:sz w:val="19"/>
                <w:szCs w:val="19"/>
              </w:rPr>
              <w:t>39</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571557A"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E8EBA1" w14:textId="77777777" w:rsidR="00A430CA" w:rsidRDefault="00000000">
            <w:pPr>
              <w:jc w:val="center"/>
            </w:pPr>
            <w:r>
              <w:rPr>
                <w:rFonts w:ascii="Calibri" w:eastAsia="Calibri" w:hAnsi="Calibri" w:cs="Calibri"/>
                <w:b/>
                <w:bCs/>
                <w:color w:val="333333"/>
                <w:sz w:val="19"/>
                <w:szCs w:val="19"/>
              </w:rPr>
              <w:t>Comment 9</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1DA4762D" w14:textId="77777777" w:rsidR="00A430CA" w:rsidRDefault="00000000">
            <w:r>
              <w:rPr>
                <w:rFonts w:ascii="Calibri" w:eastAsia="Calibri" w:hAnsi="Calibri" w:cs="Calibri"/>
                <w:b/>
                <w:bCs/>
                <w:color w:val="1F3864"/>
                <w:sz w:val="19"/>
                <w:szCs w:val="19"/>
              </w:rPr>
              <w:t>Battery capacity spec and derivation needed for reproducibility</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49566B66" w14:textId="77777777" w:rsidR="00A430CA" w:rsidRDefault="00000000">
            <w:pPr>
              <w:spacing w:line="264" w:lineRule="auto"/>
            </w:pPr>
            <w:r>
              <w:rPr>
                <w:rFonts w:ascii="Calibri" w:eastAsia="Calibri" w:hAnsi="Calibri" w:cs="Calibri"/>
                <w:color w:val="111111"/>
                <w:sz w:val="18"/>
                <w:szCs w:val="18"/>
              </w:rPr>
              <w:t>The battery life is stated as 34 days. To ensure reproducibility, provide the exact battery capacity specifications (e.g., 3.7V 3400mAh 18650) alongside the solar harvesting metrics (panel wattage and average daily generation) used to reach this calculation.</w:t>
            </w:r>
          </w:p>
        </w:tc>
      </w:tr>
      <w:tr w:rsidR="00A430CA" w14:paraId="1BB52A29"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562D384E" w14:textId="77777777" w:rsidR="00A430CA" w:rsidRDefault="00000000">
            <w:pPr>
              <w:jc w:val="center"/>
            </w:pPr>
            <w:r>
              <w:rPr>
                <w:rFonts w:ascii="Calibri" w:eastAsia="Calibri" w:hAnsi="Calibri" w:cs="Calibri"/>
                <w:b/>
                <w:bCs/>
                <w:color w:val="1F3864"/>
                <w:sz w:val="19"/>
                <w:szCs w:val="19"/>
              </w:rPr>
              <w:t>40</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1FD5ED57"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6CFEF6BF" w14:textId="77777777" w:rsidR="00A430CA" w:rsidRDefault="00000000">
            <w:pPr>
              <w:jc w:val="center"/>
            </w:pPr>
            <w:r>
              <w:rPr>
                <w:rFonts w:ascii="Calibri" w:eastAsia="Calibri" w:hAnsi="Calibri" w:cs="Calibri"/>
                <w:b/>
                <w:bCs/>
                <w:color w:val="333333"/>
                <w:sz w:val="19"/>
                <w:szCs w:val="19"/>
              </w:rPr>
              <w:t>Comment 10</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0C4CFCEB" w14:textId="77777777" w:rsidR="00A430CA" w:rsidRDefault="00000000">
            <w:r>
              <w:rPr>
                <w:rFonts w:ascii="Calibri" w:eastAsia="Calibri" w:hAnsi="Calibri" w:cs="Calibri"/>
                <w:b/>
                <w:bCs/>
                <w:color w:val="1F3864"/>
                <w:sz w:val="19"/>
                <w:szCs w:val="19"/>
              </w:rPr>
              <w:t>Thermal throttling at 39.5°C not addressed for Raspberry Pi gateways</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008F7CD8" w14:textId="77777777" w:rsidR="00A430CA" w:rsidRDefault="00000000">
            <w:pPr>
              <w:spacing w:line="264" w:lineRule="auto"/>
            </w:pPr>
            <w:r>
              <w:rPr>
                <w:rFonts w:ascii="Calibri" w:eastAsia="Calibri" w:hAnsi="Calibri" w:cs="Calibri"/>
                <w:color w:val="111111"/>
                <w:sz w:val="18"/>
                <w:szCs w:val="18"/>
              </w:rPr>
              <w:t>The deployment notes environmental temperatures reaching up to 39.5°C. Provide a brief note on whether these peak temperatures caused any thermal throttling on the Raspberry Pi 4B gateways running the computationally heavy Hyperledger Fabric processes.</w:t>
            </w:r>
          </w:p>
        </w:tc>
      </w:tr>
      <w:tr w:rsidR="00A430CA" w14:paraId="47392829"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01F2983" w14:textId="77777777" w:rsidR="00A430CA" w:rsidRDefault="00000000">
            <w:pPr>
              <w:jc w:val="center"/>
            </w:pPr>
            <w:r>
              <w:rPr>
                <w:rFonts w:ascii="Calibri" w:eastAsia="Calibri" w:hAnsi="Calibri" w:cs="Calibri"/>
                <w:b/>
                <w:bCs/>
                <w:color w:val="1F3864"/>
                <w:sz w:val="19"/>
                <w:szCs w:val="19"/>
              </w:rPr>
              <w:t>41</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6883190"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1E22E88" w14:textId="77777777" w:rsidR="00A430CA" w:rsidRDefault="00000000">
            <w:pPr>
              <w:jc w:val="center"/>
            </w:pPr>
            <w:r>
              <w:rPr>
                <w:rFonts w:ascii="Calibri" w:eastAsia="Calibri" w:hAnsi="Calibri" w:cs="Calibri"/>
                <w:b/>
                <w:bCs/>
                <w:color w:val="333333"/>
                <w:sz w:val="19"/>
                <w:szCs w:val="19"/>
              </w:rPr>
              <w:t>Comment 11</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5D1FBEA1" w14:textId="77777777" w:rsidR="00A430CA" w:rsidRDefault="00000000">
            <w:r>
              <w:rPr>
                <w:rFonts w:ascii="Calibri" w:eastAsia="Calibri" w:hAnsi="Calibri" w:cs="Calibri"/>
                <w:b/>
                <w:bCs/>
                <w:color w:val="1F3864"/>
                <w:sz w:val="19"/>
                <w:szCs w:val="19"/>
              </w:rPr>
              <w:t>Amdahl's Law: does sequential fraction include Ed25519 signing time?</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25E116EC" w14:textId="77777777" w:rsidR="00A430CA" w:rsidRDefault="00000000">
            <w:pPr>
              <w:spacing w:line="264" w:lineRule="auto"/>
            </w:pPr>
            <w:r>
              <w:rPr>
                <w:rFonts w:ascii="Calibri" w:eastAsia="Calibri" w:hAnsi="Calibri" w:cs="Calibri"/>
                <w:color w:val="111111"/>
                <w:sz w:val="18"/>
                <w:szCs w:val="18"/>
              </w:rPr>
              <w:t>The application of Amdahl's Law provides a strong theoretical baseline. Clarify if the sequential fraction (s) includes the cryptographic signing time (Ed25519) and how that fraction might scale if larger payload sizes or stronger cryptographic standards are required in the future.</w:t>
            </w:r>
          </w:p>
        </w:tc>
      </w:tr>
      <w:tr w:rsidR="00A430CA" w14:paraId="0C65F870"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6C69138" w14:textId="77777777" w:rsidR="00A430CA" w:rsidRDefault="00000000">
            <w:pPr>
              <w:jc w:val="center"/>
            </w:pPr>
            <w:r>
              <w:rPr>
                <w:rFonts w:ascii="Calibri" w:eastAsia="Calibri" w:hAnsi="Calibri" w:cs="Calibri"/>
                <w:b/>
                <w:bCs/>
                <w:color w:val="1F3864"/>
                <w:sz w:val="19"/>
                <w:szCs w:val="19"/>
              </w:rPr>
              <w:t>42</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ABE19DD"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29F30B54" w14:textId="77777777" w:rsidR="00A430CA" w:rsidRDefault="00000000">
            <w:pPr>
              <w:jc w:val="center"/>
            </w:pPr>
            <w:r>
              <w:rPr>
                <w:rFonts w:ascii="Calibri" w:eastAsia="Calibri" w:hAnsi="Calibri" w:cs="Calibri"/>
                <w:b/>
                <w:bCs/>
                <w:color w:val="333333"/>
                <w:sz w:val="19"/>
                <w:szCs w:val="19"/>
              </w:rPr>
              <w:t>Comment 12</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6C065966" w14:textId="1A32D394" w:rsidR="00A430CA" w:rsidRDefault="00000000">
            <w:r>
              <w:rPr>
                <w:rFonts w:ascii="Calibri" w:eastAsia="Calibri" w:hAnsi="Calibri" w:cs="Calibri"/>
                <w:b/>
                <w:bCs/>
                <w:color w:val="1F3864"/>
                <w:sz w:val="19"/>
                <w:szCs w:val="19"/>
              </w:rPr>
              <w:t>Pepper yield flat but marketable yield up 2.4 t/</w:t>
            </w:r>
            <w:proofErr w:type="gramStart"/>
            <w:r>
              <w:rPr>
                <w:rFonts w:ascii="Calibri" w:eastAsia="Calibri" w:hAnsi="Calibri" w:cs="Calibri"/>
                <w:b/>
                <w:bCs/>
                <w:color w:val="1F3864"/>
                <w:sz w:val="19"/>
                <w:szCs w:val="19"/>
              </w:rPr>
              <w:t>ha  source</w:t>
            </w:r>
            <w:proofErr w:type="gramEnd"/>
            <w:r>
              <w:rPr>
                <w:rFonts w:ascii="Calibri" w:eastAsia="Calibri" w:hAnsi="Calibri" w:cs="Calibri"/>
                <w:b/>
                <w:bCs/>
                <w:color w:val="1F3864"/>
                <w:sz w:val="19"/>
                <w:szCs w:val="19"/>
              </w:rPr>
              <w:t xml:space="preserve"> of shift not stated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4AA08D9F" w14:textId="77777777" w:rsidR="00A430CA" w:rsidRDefault="00000000">
            <w:pPr>
              <w:spacing w:line="264" w:lineRule="auto"/>
            </w:pPr>
            <w:r>
              <w:rPr>
                <w:rFonts w:ascii="Calibri" w:eastAsia="Calibri" w:hAnsi="Calibri" w:cs="Calibri"/>
                <w:color w:val="111111"/>
                <w:sz w:val="18"/>
                <w:szCs w:val="18"/>
              </w:rPr>
              <w:t>The paper notes total pepper yield remained flat at 33.3 t/ha while marketable yield increased by 2.4 t/ha. Explicitly state whether the measured reduction in blossom end rot and sunscald entirely accounts for this shift from unmarketable to marketable grades, or if other morphological improvements occurred.</w:t>
            </w:r>
          </w:p>
        </w:tc>
      </w:tr>
      <w:tr w:rsidR="00A430CA" w14:paraId="04FA0F1F"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3EF894D7" w14:textId="77777777" w:rsidR="00A430CA" w:rsidRDefault="00000000">
            <w:pPr>
              <w:jc w:val="center"/>
            </w:pPr>
            <w:r>
              <w:rPr>
                <w:rFonts w:ascii="Calibri" w:eastAsia="Calibri" w:hAnsi="Calibri" w:cs="Calibri"/>
                <w:b/>
                <w:bCs/>
                <w:color w:val="1F3864"/>
                <w:sz w:val="19"/>
                <w:szCs w:val="19"/>
              </w:rPr>
              <w:t>43</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6172BFC4"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A339CDF" w14:textId="77777777" w:rsidR="00A430CA" w:rsidRDefault="00000000">
            <w:pPr>
              <w:jc w:val="center"/>
            </w:pPr>
            <w:r>
              <w:rPr>
                <w:rFonts w:ascii="Calibri" w:eastAsia="Calibri" w:hAnsi="Calibri" w:cs="Calibri"/>
                <w:b/>
                <w:bCs/>
                <w:color w:val="333333"/>
                <w:sz w:val="19"/>
                <w:szCs w:val="19"/>
              </w:rPr>
              <w:t>Comment 13</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7915C23E" w14:textId="77777777" w:rsidR="00A430CA" w:rsidRDefault="00000000">
            <w:r>
              <w:rPr>
                <w:rFonts w:ascii="Calibri" w:eastAsia="Calibri" w:hAnsi="Calibri" w:cs="Calibri"/>
                <w:b/>
                <w:bCs/>
                <w:color w:val="1F3864"/>
                <w:sz w:val="19"/>
                <w:szCs w:val="19"/>
              </w:rPr>
              <w:t xml:space="preserve">Integrate five specific cited papers on reputation consensus, PUF, AES, drone </w:t>
            </w:r>
            <w:proofErr w:type="spellStart"/>
            <w:r>
              <w:rPr>
                <w:rFonts w:ascii="Calibri" w:eastAsia="Calibri" w:hAnsi="Calibri" w:cs="Calibri"/>
                <w:b/>
                <w:bCs/>
                <w:color w:val="1F3864"/>
                <w:sz w:val="19"/>
                <w:szCs w:val="19"/>
              </w:rPr>
              <w:t>IoV</w:t>
            </w:r>
            <w:proofErr w:type="spellEnd"/>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52C9BD4F" w14:textId="77777777" w:rsidR="00A430CA" w:rsidRDefault="00000000">
            <w:pPr>
              <w:spacing w:after="80" w:line="264" w:lineRule="auto"/>
            </w:pPr>
            <w:r>
              <w:rPr>
                <w:rFonts w:ascii="Calibri" w:eastAsia="Calibri" w:hAnsi="Calibri" w:cs="Calibri"/>
                <w:color w:val="111111"/>
                <w:sz w:val="18"/>
                <w:szCs w:val="18"/>
              </w:rPr>
              <w:t>To strengthen the paper's security posture, consensus design, and adaptability, integrate recent advancements from the following works:</w:t>
            </w:r>
          </w:p>
          <w:p w14:paraId="2070520C" w14:textId="2AEBA0D2" w:rsidR="00A430CA" w:rsidRDefault="00000000">
            <w:pPr>
              <w:spacing w:after="80" w:line="264" w:lineRule="auto"/>
            </w:pPr>
            <w:r>
              <w:rPr>
                <w:rFonts w:ascii="Calibri" w:eastAsia="Calibri" w:hAnsi="Calibri" w:cs="Calibri"/>
                <w:color w:val="111111"/>
                <w:sz w:val="18"/>
                <w:szCs w:val="18"/>
              </w:rPr>
              <w:t xml:space="preserve">• RBCET: reputation-based blockchain consensus for </w:t>
            </w:r>
            <w:proofErr w:type="spellStart"/>
            <w:proofErr w:type="gramStart"/>
            <w:r>
              <w:rPr>
                <w:rFonts w:ascii="Calibri" w:eastAsia="Calibri" w:hAnsi="Calibri" w:cs="Calibri"/>
                <w:color w:val="111111"/>
                <w:sz w:val="18"/>
                <w:szCs w:val="18"/>
              </w:rPr>
              <w:t>IoEV</w:t>
            </w:r>
            <w:proofErr w:type="spellEnd"/>
            <w:r>
              <w:rPr>
                <w:rFonts w:ascii="Calibri" w:eastAsia="Calibri" w:hAnsi="Calibri" w:cs="Calibri"/>
                <w:color w:val="111111"/>
                <w:sz w:val="18"/>
                <w:szCs w:val="18"/>
              </w:rPr>
              <w:t xml:space="preserve">  for</w:t>
            </w:r>
            <w:proofErr w:type="gramEnd"/>
            <w:r>
              <w:rPr>
                <w:rFonts w:ascii="Calibri" w:eastAsia="Calibri" w:hAnsi="Calibri" w:cs="Calibri"/>
                <w:color w:val="111111"/>
                <w:sz w:val="18"/>
                <w:szCs w:val="18"/>
              </w:rPr>
              <w:t xml:space="preserve"> dynamic gateway reliability weighting.</w:t>
            </w:r>
          </w:p>
          <w:p w14:paraId="100861BE" w14:textId="2C8559C7" w:rsidR="00A430CA" w:rsidRDefault="00000000">
            <w:pPr>
              <w:spacing w:after="80" w:line="264" w:lineRule="auto"/>
            </w:pPr>
            <w:r>
              <w:rPr>
                <w:rFonts w:ascii="Calibri" w:eastAsia="Calibri" w:hAnsi="Calibri" w:cs="Calibri"/>
                <w:color w:val="111111"/>
                <w:sz w:val="18"/>
                <w:szCs w:val="18"/>
              </w:rPr>
              <w:t xml:space="preserve">• </w:t>
            </w:r>
            <w:proofErr w:type="spellStart"/>
            <w:r>
              <w:rPr>
                <w:rFonts w:ascii="Calibri" w:eastAsia="Calibri" w:hAnsi="Calibri" w:cs="Calibri"/>
                <w:color w:val="111111"/>
                <w:sz w:val="18"/>
                <w:szCs w:val="18"/>
              </w:rPr>
              <w:t>RPoE</w:t>
            </w:r>
            <w:proofErr w:type="spellEnd"/>
            <w:r>
              <w:rPr>
                <w:rFonts w:ascii="Calibri" w:eastAsia="Calibri" w:hAnsi="Calibri" w:cs="Calibri"/>
                <w:color w:val="111111"/>
                <w:sz w:val="18"/>
                <w:szCs w:val="18"/>
              </w:rPr>
              <w:t xml:space="preserve">: Reputation-Aware Proof-of-Energy blockchain </w:t>
            </w:r>
            <w:proofErr w:type="gramStart"/>
            <w:r>
              <w:rPr>
                <w:rFonts w:ascii="Calibri" w:eastAsia="Calibri" w:hAnsi="Calibri" w:cs="Calibri"/>
                <w:color w:val="111111"/>
                <w:sz w:val="18"/>
                <w:szCs w:val="18"/>
              </w:rPr>
              <w:t>protocol  for</w:t>
            </w:r>
            <w:proofErr w:type="gramEnd"/>
            <w:r>
              <w:rPr>
                <w:rFonts w:ascii="Calibri" w:eastAsia="Calibri" w:hAnsi="Calibri" w:cs="Calibri"/>
                <w:color w:val="111111"/>
                <w:sz w:val="18"/>
                <w:szCs w:val="18"/>
              </w:rPr>
              <w:t xml:space="preserve"> energy trading in </w:t>
            </w:r>
            <w:proofErr w:type="spellStart"/>
            <w:r>
              <w:rPr>
                <w:rFonts w:ascii="Calibri" w:eastAsia="Calibri" w:hAnsi="Calibri" w:cs="Calibri"/>
                <w:color w:val="111111"/>
                <w:sz w:val="18"/>
                <w:szCs w:val="18"/>
              </w:rPr>
              <w:t>IoEV</w:t>
            </w:r>
            <w:proofErr w:type="spellEnd"/>
            <w:r>
              <w:rPr>
                <w:rFonts w:ascii="Calibri" w:eastAsia="Calibri" w:hAnsi="Calibri" w:cs="Calibri"/>
                <w:color w:val="111111"/>
                <w:sz w:val="18"/>
                <w:szCs w:val="18"/>
              </w:rPr>
              <w:t xml:space="preserve"> context.</w:t>
            </w:r>
          </w:p>
          <w:p w14:paraId="2C9A5F29" w14:textId="12D1F7B2" w:rsidR="00A430CA" w:rsidRDefault="00000000">
            <w:pPr>
              <w:spacing w:after="80" w:line="264" w:lineRule="auto"/>
            </w:pPr>
            <w:r>
              <w:rPr>
                <w:rFonts w:ascii="Calibri" w:eastAsia="Calibri" w:hAnsi="Calibri" w:cs="Calibri"/>
                <w:color w:val="111111"/>
                <w:sz w:val="18"/>
                <w:szCs w:val="18"/>
              </w:rPr>
              <w:t xml:space="preserve">• SECURE: Secure and Efficient Protocol Using Randomness and Edge-Computing for Drone-Assisted </w:t>
            </w:r>
            <w:proofErr w:type="spellStart"/>
            <w:proofErr w:type="gramStart"/>
            <w:r>
              <w:rPr>
                <w:rFonts w:ascii="Calibri" w:eastAsia="Calibri" w:hAnsi="Calibri" w:cs="Calibri"/>
                <w:color w:val="111111"/>
                <w:sz w:val="18"/>
                <w:szCs w:val="18"/>
              </w:rPr>
              <w:t>IoV</w:t>
            </w:r>
            <w:proofErr w:type="spellEnd"/>
            <w:r>
              <w:rPr>
                <w:rFonts w:ascii="Calibri" w:eastAsia="Calibri" w:hAnsi="Calibri" w:cs="Calibri"/>
                <w:color w:val="111111"/>
                <w:sz w:val="18"/>
                <w:szCs w:val="18"/>
              </w:rPr>
              <w:t xml:space="preserve">  for</w:t>
            </w:r>
            <w:proofErr w:type="gramEnd"/>
            <w:r>
              <w:rPr>
                <w:rFonts w:ascii="Calibri" w:eastAsia="Calibri" w:hAnsi="Calibri" w:cs="Calibri"/>
                <w:color w:val="111111"/>
                <w:sz w:val="18"/>
                <w:szCs w:val="18"/>
              </w:rPr>
              <w:t xml:space="preserve"> drone-assisted or mobile sensor deployments.</w:t>
            </w:r>
          </w:p>
          <w:p w14:paraId="39417705" w14:textId="1C181752" w:rsidR="00A430CA" w:rsidRDefault="00000000">
            <w:pPr>
              <w:spacing w:after="80" w:line="264" w:lineRule="auto"/>
            </w:pPr>
            <w:r>
              <w:rPr>
                <w:rFonts w:ascii="Calibri" w:eastAsia="Calibri" w:hAnsi="Calibri" w:cs="Calibri"/>
                <w:color w:val="111111"/>
                <w:sz w:val="18"/>
                <w:szCs w:val="18"/>
              </w:rPr>
              <w:t xml:space="preserve">• Blockchain-integrated PUF framework for secure </w:t>
            </w:r>
            <w:proofErr w:type="gramStart"/>
            <w:r>
              <w:rPr>
                <w:rFonts w:ascii="Calibri" w:eastAsia="Calibri" w:hAnsi="Calibri" w:cs="Calibri"/>
                <w:color w:val="111111"/>
                <w:sz w:val="18"/>
                <w:szCs w:val="18"/>
              </w:rPr>
              <w:t>authentication  to</w:t>
            </w:r>
            <w:proofErr w:type="gramEnd"/>
            <w:r>
              <w:rPr>
                <w:rFonts w:ascii="Calibri" w:eastAsia="Calibri" w:hAnsi="Calibri" w:cs="Calibri"/>
                <w:color w:val="111111"/>
                <w:sz w:val="18"/>
                <w:szCs w:val="18"/>
              </w:rPr>
              <w:t xml:space="preserve"> harden ESP32 hardware against physical tampering beyond OTP/</w:t>
            </w:r>
            <w:proofErr w:type="spellStart"/>
            <w:r>
              <w:rPr>
                <w:rFonts w:ascii="Calibri" w:eastAsia="Calibri" w:hAnsi="Calibri" w:cs="Calibri"/>
                <w:color w:val="111111"/>
                <w:sz w:val="18"/>
                <w:szCs w:val="18"/>
              </w:rPr>
              <w:t>eFuse</w:t>
            </w:r>
            <w:proofErr w:type="spellEnd"/>
            <w:r>
              <w:rPr>
                <w:rFonts w:ascii="Calibri" w:eastAsia="Calibri" w:hAnsi="Calibri" w:cs="Calibri"/>
                <w:color w:val="111111"/>
                <w:sz w:val="18"/>
                <w:szCs w:val="18"/>
              </w:rPr>
              <w:t>.</w:t>
            </w:r>
          </w:p>
          <w:p w14:paraId="1F7FCD77" w14:textId="63436C58" w:rsidR="00A430CA" w:rsidRDefault="00000000">
            <w:pPr>
              <w:spacing w:line="264" w:lineRule="auto"/>
            </w:pPr>
            <w:r>
              <w:rPr>
                <w:rFonts w:ascii="Calibri" w:eastAsia="Calibri" w:hAnsi="Calibri" w:cs="Calibri"/>
                <w:color w:val="111111"/>
                <w:sz w:val="18"/>
                <w:szCs w:val="18"/>
              </w:rPr>
              <w:t xml:space="preserve">• Secure IoT Communications with Optimized AES and Dynamic Threat Modeling on Embedded </w:t>
            </w:r>
            <w:proofErr w:type="gramStart"/>
            <w:r>
              <w:rPr>
                <w:rFonts w:ascii="Calibri" w:eastAsia="Calibri" w:hAnsi="Calibri" w:cs="Calibri"/>
                <w:color w:val="111111"/>
                <w:sz w:val="18"/>
                <w:szCs w:val="18"/>
              </w:rPr>
              <w:t>Systems  to</w:t>
            </w:r>
            <w:proofErr w:type="gramEnd"/>
            <w:r>
              <w:rPr>
                <w:rFonts w:ascii="Calibri" w:eastAsia="Calibri" w:hAnsi="Calibri" w:cs="Calibri"/>
                <w:color w:val="111111"/>
                <w:sz w:val="18"/>
                <w:szCs w:val="18"/>
              </w:rPr>
              <w:t xml:space="preserve"> complement the CRT energy savings with cryptographic payload optimization.</w:t>
            </w:r>
          </w:p>
        </w:tc>
      </w:tr>
      <w:tr w:rsidR="00A430CA" w14:paraId="78315E62"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0822D748" w14:textId="77777777" w:rsidR="00A430CA" w:rsidRDefault="00000000">
            <w:pPr>
              <w:jc w:val="center"/>
            </w:pPr>
            <w:r>
              <w:rPr>
                <w:rFonts w:ascii="Calibri" w:eastAsia="Calibri" w:hAnsi="Calibri" w:cs="Calibri"/>
                <w:b/>
                <w:bCs/>
                <w:color w:val="1F3864"/>
                <w:sz w:val="19"/>
                <w:szCs w:val="19"/>
              </w:rPr>
              <w:t>44</w:t>
            </w:r>
          </w:p>
        </w:tc>
        <w:tc>
          <w:tcPr>
            <w:tcW w:w="352"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3BA98F6B"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2F2F2"/>
            <w:tcMar>
              <w:top w:w="80" w:type="dxa"/>
              <w:left w:w="100" w:type="dxa"/>
              <w:bottom w:w="80" w:type="dxa"/>
              <w:right w:w="100" w:type="dxa"/>
            </w:tcMar>
          </w:tcPr>
          <w:p w14:paraId="72EFC06D" w14:textId="77777777" w:rsidR="00A430CA" w:rsidRDefault="00000000">
            <w:pPr>
              <w:jc w:val="center"/>
            </w:pPr>
            <w:r>
              <w:rPr>
                <w:rFonts w:ascii="Calibri" w:eastAsia="Calibri" w:hAnsi="Calibri" w:cs="Calibri"/>
                <w:b/>
                <w:bCs/>
                <w:color w:val="333333"/>
                <w:sz w:val="19"/>
                <w:szCs w:val="19"/>
              </w:rPr>
              <w:t>Comment 14</w:t>
            </w:r>
          </w:p>
        </w:tc>
        <w:tc>
          <w:tcPr>
            <w:tcW w:w="1273" w:type="pct"/>
            <w:tcBorders>
              <w:top w:val="single" w:sz="4" w:space="0" w:color="BBBBBB"/>
              <w:left w:val="single" w:sz="4" w:space="0" w:color="BBBBBB"/>
              <w:bottom w:val="single" w:sz="4" w:space="0" w:color="BBBBBB"/>
              <w:right w:val="single" w:sz="4" w:space="0" w:color="BBBBBB"/>
            </w:tcBorders>
            <w:shd w:val="clear" w:color="auto" w:fill="DEEAF6"/>
            <w:tcMar>
              <w:top w:w="80" w:type="dxa"/>
              <w:left w:w="100" w:type="dxa"/>
              <w:bottom w:w="80" w:type="dxa"/>
              <w:right w:w="100" w:type="dxa"/>
            </w:tcMar>
          </w:tcPr>
          <w:p w14:paraId="72B61D84" w14:textId="77777777" w:rsidR="00A430CA" w:rsidRDefault="00000000">
            <w:r>
              <w:rPr>
                <w:rFonts w:ascii="Calibri" w:eastAsia="Calibri" w:hAnsi="Calibri" w:cs="Calibri"/>
                <w:b/>
                <w:bCs/>
                <w:color w:val="1F3864"/>
                <w:sz w:val="19"/>
                <w:szCs w:val="19"/>
              </w:rPr>
              <w:t>Table 10 energy metrics: which power states are included?</w:t>
            </w:r>
          </w:p>
        </w:tc>
        <w:tc>
          <w:tcPr>
            <w:tcW w:w="2553" w:type="pct"/>
            <w:tcBorders>
              <w:top w:val="single" w:sz="4" w:space="0" w:color="BBBBBB"/>
              <w:left w:val="single" w:sz="4" w:space="0" w:color="BBBBBB"/>
              <w:bottom w:val="single" w:sz="4" w:space="0" w:color="BBBBBB"/>
              <w:right w:val="single" w:sz="4" w:space="0" w:color="BBBBBB"/>
            </w:tcBorders>
            <w:shd w:val="clear" w:color="auto" w:fill="F2F2F2"/>
            <w:tcMar>
              <w:top w:w="100" w:type="dxa"/>
              <w:left w:w="120" w:type="dxa"/>
              <w:bottom w:w="100" w:type="dxa"/>
              <w:right w:w="120" w:type="dxa"/>
            </w:tcMar>
          </w:tcPr>
          <w:p w14:paraId="4F973DF9" w14:textId="77777777" w:rsidR="00A430CA" w:rsidRDefault="00000000">
            <w:pPr>
              <w:spacing w:line="264" w:lineRule="auto"/>
            </w:pPr>
            <w:r>
              <w:rPr>
                <w:rFonts w:ascii="Calibri" w:eastAsia="Calibri" w:hAnsi="Calibri" w:cs="Calibri"/>
                <w:color w:val="111111"/>
                <w:sz w:val="18"/>
                <w:szCs w:val="18"/>
              </w:rPr>
              <w:t>In Table 10 (Transmission Cost Analysis), clearly denote which specific hardware power states (e.g., active transmission, idle listening, deep sleep) were factored into the total energy per transmission (</w:t>
            </w:r>
            <w:proofErr w:type="spellStart"/>
            <w:r>
              <w:rPr>
                <w:rFonts w:ascii="Calibri" w:eastAsia="Calibri" w:hAnsi="Calibri" w:cs="Calibri"/>
                <w:color w:val="111111"/>
                <w:sz w:val="18"/>
                <w:szCs w:val="18"/>
              </w:rPr>
              <w:t>mJ</w:t>
            </w:r>
            <w:proofErr w:type="spellEnd"/>
            <w:r>
              <w:rPr>
                <w:rFonts w:ascii="Calibri" w:eastAsia="Calibri" w:hAnsi="Calibri" w:cs="Calibri"/>
                <w:color w:val="111111"/>
                <w:sz w:val="18"/>
                <w:szCs w:val="18"/>
              </w:rPr>
              <w:t>) metrics to ensure accurate replication of your energy models.</w:t>
            </w:r>
          </w:p>
        </w:tc>
      </w:tr>
      <w:tr w:rsidR="00A430CA" w14:paraId="09C67C8F" w14:textId="77777777" w:rsidTr="002017AB">
        <w:tc>
          <w:tcPr>
            <w:tcW w:w="224"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18FEC925" w14:textId="77777777" w:rsidR="00A430CA" w:rsidRDefault="00000000">
            <w:pPr>
              <w:jc w:val="center"/>
            </w:pPr>
            <w:r>
              <w:rPr>
                <w:rFonts w:ascii="Calibri" w:eastAsia="Calibri" w:hAnsi="Calibri" w:cs="Calibri"/>
                <w:b/>
                <w:bCs/>
                <w:color w:val="1F3864"/>
                <w:sz w:val="19"/>
                <w:szCs w:val="19"/>
              </w:rPr>
              <w:lastRenderedPageBreak/>
              <w:t>45</w:t>
            </w:r>
          </w:p>
        </w:tc>
        <w:tc>
          <w:tcPr>
            <w:tcW w:w="352"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01774785" w14:textId="77777777" w:rsidR="00A430CA" w:rsidRDefault="00000000">
            <w:pPr>
              <w:jc w:val="center"/>
            </w:pPr>
            <w:r>
              <w:rPr>
                <w:rFonts w:ascii="Calibri" w:eastAsia="Calibri" w:hAnsi="Calibri" w:cs="Calibri"/>
                <w:b/>
                <w:bCs/>
                <w:color w:val="2E75B6"/>
                <w:sz w:val="19"/>
                <w:szCs w:val="19"/>
              </w:rPr>
              <w:t>Rev. 4</w:t>
            </w:r>
          </w:p>
        </w:tc>
        <w:tc>
          <w:tcPr>
            <w:tcW w:w="599" w:type="pct"/>
            <w:tcBorders>
              <w:top w:val="single" w:sz="4" w:space="0" w:color="BBBBBB"/>
              <w:left w:val="single" w:sz="4" w:space="0" w:color="BBBBBB"/>
              <w:bottom w:val="single" w:sz="4" w:space="0" w:color="BBBBBB"/>
              <w:right w:val="single" w:sz="4" w:space="0" w:color="BBBBBB"/>
            </w:tcBorders>
            <w:shd w:val="clear" w:color="auto" w:fill="FFFFFF"/>
            <w:tcMar>
              <w:top w:w="80" w:type="dxa"/>
              <w:left w:w="100" w:type="dxa"/>
              <w:bottom w:w="80" w:type="dxa"/>
              <w:right w:w="100" w:type="dxa"/>
            </w:tcMar>
          </w:tcPr>
          <w:p w14:paraId="57FF59D6" w14:textId="77777777" w:rsidR="00A430CA" w:rsidRDefault="00000000">
            <w:pPr>
              <w:jc w:val="center"/>
            </w:pPr>
            <w:r>
              <w:rPr>
                <w:rFonts w:ascii="Calibri" w:eastAsia="Calibri" w:hAnsi="Calibri" w:cs="Calibri"/>
                <w:b/>
                <w:bCs/>
                <w:color w:val="333333"/>
                <w:sz w:val="19"/>
                <w:szCs w:val="19"/>
              </w:rPr>
              <w:t>Comment 15</w:t>
            </w:r>
          </w:p>
        </w:tc>
        <w:tc>
          <w:tcPr>
            <w:tcW w:w="1273" w:type="pct"/>
            <w:tcBorders>
              <w:top w:val="single" w:sz="4" w:space="0" w:color="BBBBBB"/>
              <w:left w:val="single" w:sz="4" w:space="0" w:color="BBBBBB"/>
              <w:bottom w:val="single" w:sz="4" w:space="0" w:color="BBBBBB"/>
              <w:right w:val="single" w:sz="4" w:space="0" w:color="BBBBBB"/>
            </w:tcBorders>
            <w:shd w:val="clear" w:color="auto" w:fill="EBF3FB"/>
            <w:tcMar>
              <w:top w:w="80" w:type="dxa"/>
              <w:left w:w="100" w:type="dxa"/>
              <w:bottom w:w="80" w:type="dxa"/>
              <w:right w:w="100" w:type="dxa"/>
            </w:tcMar>
          </w:tcPr>
          <w:p w14:paraId="7A263A23" w14:textId="77777777" w:rsidR="00A430CA" w:rsidRDefault="00000000">
            <w:r>
              <w:rPr>
                <w:rFonts w:ascii="Calibri" w:eastAsia="Calibri" w:hAnsi="Calibri" w:cs="Calibri"/>
                <w:b/>
                <w:bCs/>
                <w:color w:val="1F3864"/>
                <w:sz w:val="19"/>
                <w:szCs w:val="19"/>
              </w:rPr>
              <w:t>Figures 10 and 11 need confidence intervals or error bars</w:t>
            </w:r>
          </w:p>
        </w:tc>
        <w:tc>
          <w:tcPr>
            <w:tcW w:w="2553" w:type="pct"/>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27913C63" w14:textId="77777777" w:rsidR="00A430CA" w:rsidRDefault="00000000">
            <w:pPr>
              <w:spacing w:line="264" w:lineRule="auto"/>
            </w:pPr>
            <w:r>
              <w:rPr>
                <w:rFonts w:ascii="Calibri" w:eastAsia="Calibri" w:hAnsi="Calibri" w:cs="Calibri"/>
                <w:color w:val="111111"/>
                <w:sz w:val="18"/>
                <w:szCs w:val="18"/>
              </w:rPr>
              <w:t>Ensure that all graphs, particularly Figures 10 (Latency/Throughput) and 11 (Projected Latency Scaling), include explicit confidence intervals or error bars to accurately represent the variance observed during the field deployment.</w:t>
            </w:r>
          </w:p>
        </w:tc>
      </w:tr>
    </w:tbl>
    <w:p w14:paraId="1EA51E38" w14:textId="77777777" w:rsidR="00B4467B" w:rsidRDefault="00B4467B"/>
    <w:sectPr w:rsidR="00B4467B">
      <w:footerReference w:type="default" r:id="rId7"/>
      <w:pgSz w:w="15840" w:h="12240"/>
      <w:pgMar w:top="72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0CE9" w14:textId="77777777" w:rsidR="00AB3310" w:rsidRDefault="00AB3310">
      <w:r>
        <w:separator/>
      </w:r>
    </w:p>
  </w:endnote>
  <w:endnote w:type="continuationSeparator" w:id="0">
    <w:p w14:paraId="20C71228" w14:textId="77777777" w:rsidR="00AB3310" w:rsidRDefault="00AB3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6F53" w14:textId="71F9B917" w:rsidR="00A430CA" w:rsidRDefault="00A430C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B8E3" w14:textId="77777777" w:rsidR="00AB3310" w:rsidRDefault="00AB3310">
      <w:r>
        <w:separator/>
      </w:r>
    </w:p>
  </w:footnote>
  <w:footnote w:type="continuationSeparator" w:id="0">
    <w:p w14:paraId="22745348" w14:textId="77777777" w:rsidR="00AB3310" w:rsidRDefault="00AB33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C5243"/>
    <w:multiLevelType w:val="hybridMultilevel"/>
    <w:tmpl w:val="3EBAD508"/>
    <w:lvl w:ilvl="0" w:tplc="502E6B04">
      <w:start w:val="1"/>
      <w:numFmt w:val="bullet"/>
      <w:lvlText w:val="●"/>
      <w:lvlJc w:val="left"/>
      <w:pPr>
        <w:ind w:left="720" w:hanging="360"/>
      </w:pPr>
    </w:lvl>
    <w:lvl w:ilvl="1" w:tplc="FF18FD8E">
      <w:start w:val="1"/>
      <w:numFmt w:val="bullet"/>
      <w:lvlText w:val="○"/>
      <w:lvlJc w:val="left"/>
      <w:pPr>
        <w:ind w:left="1440" w:hanging="360"/>
      </w:pPr>
    </w:lvl>
    <w:lvl w:ilvl="2" w:tplc="B7E6A600">
      <w:start w:val="1"/>
      <w:numFmt w:val="bullet"/>
      <w:lvlText w:val="■"/>
      <w:lvlJc w:val="left"/>
      <w:pPr>
        <w:ind w:left="2160" w:hanging="360"/>
      </w:pPr>
    </w:lvl>
    <w:lvl w:ilvl="3" w:tplc="FCB40A96">
      <w:start w:val="1"/>
      <w:numFmt w:val="bullet"/>
      <w:lvlText w:val="●"/>
      <w:lvlJc w:val="left"/>
      <w:pPr>
        <w:ind w:left="2880" w:hanging="360"/>
      </w:pPr>
    </w:lvl>
    <w:lvl w:ilvl="4" w:tplc="67384C38">
      <w:start w:val="1"/>
      <w:numFmt w:val="bullet"/>
      <w:lvlText w:val="○"/>
      <w:lvlJc w:val="left"/>
      <w:pPr>
        <w:ind w:left="3600" w:hanging="360"/>
      </w:pPr>
    </w:lvl>
    <w:lvl w:ilvl="5" w:tplc="67C8C6BE">
      <w:start w:val="1"/>
      <w:numFmt w:val="bullet"/>
      <w:lvlText w:val="■"/>
      <w:lvlJc w:val="left"/>
      <w:pPr>
        <w:ind w:left="4320" w:hanging="360"/>
      </w:pPr>
    </w:lvl>
    <w:lvl w:ilvl="6" w:tplc="E544FE22">
      <w:start w:val="1"/>
      <w:numFmt w:val="bullet"/>
      <w:lvlText w:val="●"/>
      <w:lvlJc w:val="left"/>
      <w:pPr>
        <w:ind w:left="5040" w:hanging="360"/>
      </w:pPr>
    </w:lvl>
    <w:lvl w:ilvl="7" w:tplc="F20C7638">
      <w:start w:val="1"/>
      <w:numFmt w:val="bullet"/>
      <w:lvlText w:val="●"/>
      <w:lvlJc w:val="left"/>
      <w:pPr>
        <w:ind w:left="5760" w:hanging="360"/>
      </w:pPr>
    </w:lvl>
    <w:lvl w:ilvl="8" w:tplc="A5BA5C84">
      <w:start w:val="1"/>
      <w:numFmt w:val="bullet"/>
      <w:lvlText w:val="●"/>
      <w:lvlJc w:val="left"/>
      <w:pPr>
        <w:ind w:left="6480" w:hanging="360"/>
      </w:pPr>
    </w:lvl>
  </w:abstractNum>
  <w:num w:numId="1" w16cid:durableId="1648171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0CA"/>
    <w:rsid w:val="002017AB"/>
    <w:rsid w:val="00255E31"/>
    <w:rsid w:val="008141DB"/>
    <w:rsid w:val="00A430CA"/>
    <w:rsid w:val="00AB3310"/>
    <w:rsid w:val="00B4467B"/>
    <w:rsid w:val="00D6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D6BD1"/>
  <w15:docId w15:val="{E58CC94A-ACDA-4D1C-95EE-DC70B980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17AB"/>
    <w:pPr>
      <w:tabs>
        <w:tab w:val="center" w:pos="4703"/>
        <w:tab w:val="right" w:pos="9406"/>
      </w:tabs>
    </w:pPr>
  </w:style>
  <w:style w:type="character" w:customStyle="1" w:styleId="HeaderChar">
    <w:name w:val="Header Char"/>
    <w:basedOn w:val="DefaultParagraphFont"/>
    <w:link w:val="Header"/>
    <w:uiPriority w:val="99"/>
    <w:rsid w:val="002017AB"/>
  </w:style>
  <w:style w:type="paragraph" w:styleId="Footer">
    <w:name w:val="footer"/>
    <w:basedOn w:val="Normal"/>
    <w:link w:val="FooterChar"/>
    <w:uiPriority w:val="99"/>
    <w:unhideWhenUsed/>
    <w:rsid w:val="002017AB"/>
    <w:pPr>
      <w:tabs>
        <w:tab w:val="center" w:pos="4703"/>
        <w:tab w:val="right" w:pos="9406"/>
      </w:tabs>
    </w:pPr>
  </w:style>
  <w:style w:type="character" w:customStyle="1" w:styleId="FooterChar">
    <w:name w:val="Footer Char"/>
    <w:basedOn w:val="DefaultParagraphFont"/>
    <w:link w:val="Footer"/>
    <w:uiPriority w:val="99"/>
    <w:rsid w:val="00201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3110</Words>
  <Characters>17729</Characters>
  <Application>Microsoft Office Word</Application>
  <DocSecurity>0</DocSecurity>
  <Lines>147</Lines>
  <Paragraphs>41</Paragraphs>
  <ScaleCrop>false</ScaleCrop>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forcha glen</cp:lastModifiedBy>
  <cp:revision>2</cp:revision>
  <dcterms:created xsi:type="dcterms:W3CDTF">2026-06-22T13:06:00Z</dcterms:created>
  <dcterms:modified xsi:type="dcterms:W3CDTF">2026-06-22T13:06:00Z</dcterms:modified>
</cp:coreProperties>
</file>