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(Matriculation Number: XXXXXXXX)</w:t>
      </w:r>
      <w:r>
        <w:br/>
      </w:r>
      <w:r>
        <w:t xml:space="preserve">M.Eng. in Computer Engineering</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Professor</w:t>
      </w:r>
    </w:p>
    <w:p>
      <w:pPr>
        <w:pStyle w:val="BodyText"/>
      </w:pPr>
      <w:r>
        <w:rPr>
          <w:bCs/>
          <w:b/>
        </w:rPr>
        <w:t xml:space="preserve">Co-Supervisor</w:t>
      </w:r>
      <w:r>
        <w:br/>
      </w:r>
      <w:r>
        <w:t xml:space="preserve">Elie FUTE TAGNE, PhD</w:t>
      </w:r>
      <w:r>
        <w:br/>
      </w:r>
      <w:r>
        <w:t xml:space="preserve">Associate Professor</w:t>
      </w:r>
    </w:p>
    <w:p>
      <w:pPr>
        <w:pStyle w:val="BodyText"/>
      </w:pPr>
    </w:p>
    <w:p>
      <w:pPr>
        <w:pStyle w:val="BodyText"/>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(Matriculation Number: XXXXXXXX)</w:t>
      </w:r>
      <w:r>
        <w:br/>
      </w:r>
      <w:r>
        <w:t xml:space="preserve">M.Eng. in Computer Engineering</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Professor</w:t>
      </w:r>
    </w:p>
    <w:p>
      <w:pPr>
        <w:pStyle w:val="BodyText"/>
      </w:pPr>
      <w:r>
        <w:rPr>
          <w:bCs/>
          <w:b/>
        </w:rPr>
        <w:t xml:space="preserve">Co-Supervisor</w:t>
      </w:r>
      <w:r>
        <w:br/>
      </w:r>
      <w: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ZKP</w:t>
      </w:r>
    </w:p>
    <w:p>
      <w:pPr>
        <w:pStyle w:val="Definition"/>
      </w:pPr>
      <w:r>
        <w:t xml:space="preserve">Zero-Knowledge Proof</w:t>
      </w:r>
    </w:p>
    <w:bookmarkEnd w:id="27"/>
    <w:bookmarkStart w:id="7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 afford </w:t>
      </w:r>
      <w:r>
        <w:t xml:space="preserve">(Marcelloni and Vecchio 2008, 2010)</w:t>
      </w:r>
      <w:r>
        <w:t xml:space="preserve">.</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 long</w:t>
      </w:r>
      <w:r>
        <w:t xml:space="preserve"> </w:t>
      </w:r>
      <w:r>
        <w:t xml:space="preserve">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 which</w:t>
      </w:r>
      <w:r>
        <w:t xml:space="preserve"> </w:t>
      </w:r>
      <w:r>
        <w:t xml:space="preserve">is precisely the quantity that governs gateway capacity.</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Agricultural data processing systems are currently forced into a choice between</w:t>
      </w:r>
      <w:r>
        <w:t xml:space="preserve"> </w:t>
      </w:r>
      <w:r>
        <w:t xml:space="preserve">three properties that ought to hold simultaneously.</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off-chain in a way that reintroduces the</w:t>
      </w:r>
      <w:r>
        <w:t xml:space="preserve"> </w:t>
      </w:r>
      <w:r>
        <w:t xml:space="preserve">trusted intermediary the ledger was meant to remove.</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The problem this thesis addresses is therefore:</w:t>
      </w:r>
      <w:r>
        <w:t xml:space="preserve"> </w:t>
      </w:r>
      <w:r>
        <w:rPr>
          <w:iCs/>
          <w:i/>
        </w:rPr>
        <w:t xml:space="preserve">how can identity,</w:t>
      </w:r>
      <w:r>
        <w:rPr>
          <w:iCs/>
          <w:i/>
        </w:rPr>
        <w:t xml:space="preserve"> </w:t>
      </w:r>
      <w:r>
        <w:rPr>
          <w:iCs/>
          <w:i/>
        </w:rPr>
        <w:t xml:space="preserve">integrity and privacy be protected simultaneously in an agricultural data</w:t>
      </w:r>
      <w:r>
        <w:rPr>
          <w:iCs/>
          <w:i/>
        </w:rPr>
        <w:t xml:space="preserve"> </w:t>
      </w:r>
      <w:r>
        <w:rPr>
          <w:iCs/>
          <w:i/>
        </w:rPr>
        <w:t xml:space="preserve">processing pipeline, end to end from constrained sensing node to distributed</w:t>
      </w:r>
      <w:r>
        <w:rPr>
          <w:iCs/>
          <w:i/>
        </w:rPr>
        <w:t xml:space="preserve"> </w:t>
      </w:r>
      <w:r>
        <w:rPr>
          <w:iCs/>
          <w:i/>
        </w:rPr>
        <w:t xml:space="preserve">ledger, within the energy, memory and channel-capacity budgets that field</w:t>
      </w:r>
      <w:r>
        <w:rPr>
          <w:iCs/>
          <w:i/>
        </w:rPr>
        <w:t xml:space="preserve"> </w:t>
      </w:r>
      <w:r>
        <w:rPr>
          <w:iCs/>
          <w:i/>
        </w:rP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rationale rests on an observation about where the budget comes from.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work is further motivated by an evidential gap. Claims about edge blockchain</w:t>
      </w:r>
      <w:r>
        <w:t xml:space="preserve"> </w:t>
      </w:r>
      <w:r>
        <w:t xml:space="preserve">feasibility are 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 —</w:t>
      </w:r>
      <w:r>
        <w:t xml:space="preserve"> </w:t>
      </w:r>
      <w:r>
        <w:t xml:space="preserve">including the failure modes that simulation does not generate.</w:t>
      </w:r>
    </w:p>
    <w:p>
      <w:pPr>
        <w:pStyle w:val="BodyText"/>
      </w:pPr>
      <w:r>
        <w:t xml:space="preserve">Finally, the applied case is direct. Smallholder and arid-region agriculture is</w:t>
      </w:r>
      <w:r>
        <w:t xml:space="preserve"> </w:t>
      </w:r>
      <w:r>
        <w:t xml:space="preserve">where 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p>
      <w:pPr>
        <w:pStyle w:val="FirstParagraph"/>
      </w:pPr>
      <w:r>
        <w:t xml:space="preserve">Objectives are formulated using Bloom’s revised taxonomy, with the cognitive</w:t>
      </w:r>
      <w:r>
        <w:t xml:space="preserve"> </w:t>
      </w:r>
      <w:r>
        <w:t xml:space="preserve">level of each objective stated explicitly so that the verb, the expected</w:t>
      </w:r>
      <w:r>
        <w:t xml:space="preserve"> </w:t>
      </w:r>
      <w:r>
        <w:t xml:space="preserve">evidence and the assessment criterion remain aligned.</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r>
        <w:t xml:space="preserve"> </w:t>
      </w:r>
      <w:r>
        <w:rPr>
          <w:iCs/>
          <w:i/>
        </w:rPr>
        <w:t xml:space="preserve">(Bloom level: Create)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and decompose the threat surface from</w:t>
      </w:r>
      <w:r>
        <w:t xml:space="preserve"> </w:t>
      </w:r>
      <w:r>
        <w:t xml:space="preserve">sensing node through gateway to ledger into an attacker model with</w:t>
      </w:r>
      <w:r>
        <w:t xml:space="preserve"> </w:t>
      </w:r>
      <w:r>
        <w:t xml:space="preserve">stated capabilities and assumptions.</w:t>
      </w:r>
      <w:r>
        <w:t xml:space="preserve"> </w:t>
      </w:r>
      <w:r>
        <w:rPr>
          <w:iCs/>
          <w:i/>
        </w:rPr>
        <w:t xml:space="preserve">(Analyse)</w:t>
      </w:r>
    </w:p>
    <w:p>
      <w:pPr>
        <w:numPr>
          <w:ilvl w:val="0"/>
          <w:numId w:val="1001"/>
        </w:numPr>
      </w:pPr>
      <w:r>
        <w:rPr>
          <w:bCs/>
          <w:b/>
        </w:rPr>
        <w:t xml:space="preserve">Design</w:t>
      </w:r>
      <w:r>
        <w:t xml:space="preserve"> </w:t>
      </w:r>
      <w:r>
        <w:t xml:space="preserve">a CRT-based multi-channel residue transmission</w:t>
      </w:r>
      <w:r>
        <w:t xml:space="preserve"> </w:t>
      </w:r>
      <w:r>
        <w:t xml:space="preserve">scheme that lowers per-packet airtime while preserving exact</w:t>
      </w:r>
      <w:r>
        <w:t xml:space="preserve"> </w:t>
      </w:r>
      <w:r>
        <w:t xml:space="preserve">reconstruction, and formulate the conditions under which individual</w:t>
      </w:r>
      <w:r>
        <w:t xml:space="preserve"> </w:t>
      </w:r>
      <w:r>
        <w:t xml:space="preserve">residues leak no usable information about the underlying reading.</w:t>
      </w:r>
      <w:r>
        <w:t xml:space="preserve"> </w:t>
      </w:r>
      <w:r>
        <w:rPr>
          <w:iCs/>
          <w:i/>
        </w:rPr>
        <w:t xml:space="preserve">(Create)</w:t>
      </w:r>
    </w:p>
    <w:p>
      <w:pPr>
        <w:numPr>
          <w:ilvl w:val="0"/>
          <w:numId w:val="1001"/>
        </w:numPr>
      </w:pPr>
      <w:r>
        <w:rPr>
          <w:bCs/>
          <w:b/>
        </w:rPr>
        <w:t xml:space="preserve">Develop</w:t>
      </w:r>
      <w:r>
        <w:t xml:space="preserve"> </w:t>
      </w:r>
      <w:r>
        <w:t xml:space="preserve">an identity and access-control layer that binds each</w:t>
      </w:r>
      <w:r>
        <w:t xml:space="preserve"> </w:t>
      </w:r>
      <w:r>
        <w:t xml:space="preserve">reading to an authenticated originating node, combining HLF</w:t>
      </w:r>
      <w:r>
        <w:t xml:space="preserve"> </w:t>
      </w:r>
      <w:r>
        <w:t xml:space="preserve">MSP credentials with Hierarchical Role-Based Access Control (HRBAC) policy enforced in chaincode.</w:t>
      </w:r>
      <w:r>
        <w:t xml:space="preserve"> </w:t>
      </w:r>
      <w:r>
        <w:rPr>
          <w:iCs/>
          <w:i/>
        </w:rPr>
        <w:t xml:space="preserve">(Create)</w:t>
      </w:r>
    </w:p>
    <w:p>
      <w:pPr>
        <w:numPr>
          <w:ilvl w:val="0"/>
          <w:numId w:val="1001"/>
        </w:numPr>
      </w:pPr>
      <w:r>
        <w:rPr>
          <w:bCs/>
          <w:b/>
        </w:rPr>
        <w:t xml:space="preserve">Implement</w:t>
      </w:r>
      <w:r>
        <w:t xml:space="preserve"> </w:t>
      </w:r>
      <w:r>
        <w:t xml:space="preserve">the integrated framework on a heterogeneous edge</w:t>
      </w:r>
      <w:r>
        <w:t xml:space="preserve"> </w:t>
      </w:r>
      <w:r>
        <w:t xml:space="preserve">cluster of ESP32 sensing nodes and ARM64 Raspberry Pi (RPi) gateways</w:t>
      </w:r>
      <w:r>
        <w:t xml:space="preserve"> </w:t>
      </w:r>
      <w:r>
        <w:t xml:space="preserve">running HLF under Raft ordering.</w:t>
      </w:r>
      <w:r>
        <w:t xml:space="preserve"> </w:t>
      </w:r>
      <w:r>
        <w:rPr>
          <w:iCs/>
          <w:i/>
        </w:rPr>
        <w:t xml:space="preserve">(Apply)</w:t>
      </w:r>
    </w:p>
    <w:p>
      <w:pPr>
        <w:numPr>
          <w:ilvl w:val="0"/>
          <w:numId w:val="1001"/>
        </w:numPr>
      </w:pPr>
      <w:r>
        <w:rPr>
          <w:bCs/>
          <w:b/>
        </w:rPr>
        <w:t xml:space="preserve">Evaluate</w:t>
      </w:r>
      <w:r>
        <w:t xml:space="preserve"> </w:t>
      </w:r>
      <w:r>
        <w:t xml:space="preserve">the transmission, blockchain and access-control layers</w:t>
      </w:r>
      <w:r>
        <w:t xml:space="preserve"> </w:t>
      </w:r>
      <w:r>
        <w:t xml:space="preserve">against compression and centralised baselines on airtime, energy,</w:t>
      </w:r>
      <w:r>
        <w:t xml:space="preserve"> </w:t>
      </w:r>
      <w:r>
        <w:t xml:space="preserve">throughput, latency and memory footprint, using a sustained field</w:t>
      </w:r>
      <w:r>
        <w:t xml:space="preserve"> </w:t>
      </w:r>
      <w:r>
        <w:t xml:space="preserve">deployment rather than simulation alone.</w:t>
      </w:r>
      <w:r>
        <w:t xml:space="preserve"> </w:t>
      </w:r>
      <w:r>
        <w:rPr>
          <w:iCs/>
          <w:i/>
        </w:rPr>
        <w:t xml:space="preserve">(Evaluate)</w:t>
      </w:r>
    </w:p>
    <w:p>
      <w:pPr>
        <w:numPr>
          <w:ilvl w:val="0"/>
          <w:numId w:val="1001"/>
        </w:numPr>
      </w:pPr>
      <w:r>
        <w:rPr>
          <w:bCs/>
          <w:b/>
        </w:rPr>
        <w:t xml:space="preserve">Assess</w:t>
      </w:r>
      <w:r>
        <w:t xml:space="preserve"> </w:t>
      </w:r>
      <w:r>
        <w:t xml:space="preserve">the scalability and fault-tolerance envelope of the</w:t>
      </w:r>
      <w:r>
        <w:t xml:space="preserve"> </w:t>
      </w:r>
      <w:r>
        <w:t xml:space="preserve">framework through queuing-theoretic analysis validated against measured</w:t>
      </w:r>
      <w:r>
        <w:t xml:space="preserve"> </w:t>
      </w:r>
      <w:r>
        <w:t xml:space="preserve">load, and determine the conditions under which the architecture</w:t>
      </w:r>
      <w:r>
        <w:t xml:space="preserve"> </w:t>
      </w:r>
      <w:r>
        <w:t xml:space="preserve">saturates or degrades.</w:t>
      </w:r>
      <w:r>
        <w:t xml:space="preserve"> </w:t>
      </w:r>
      <w:r>
        <w:rPr>
          <w:iCs/>
          <w:i/>
        </w:rPr>
        <w:t xml:space="preserve">(Evaluate)</w:t>
      </w:r>
    </w:p>
    <w:p>
      <w:pPr>
        <w:numPr>
          <w:ilvl w:val="0"/>
          <w:numId w:val="1001"/>
        </w:numPr>
      </w:pPr>
      <w:r>
        <w:rPr>
          <w:bCs/>
          <w:b/>
        </w:rPr>
        <w:t xml:space="preserve">Formulate</w:t>
      </w:r>
      <w:r>
        <w:t xml:space="preserve"> </w:t>
      </w:r>
      <w:r>
        <w:t xml:space="preserve">design guidance for deploying privacy-preserving</w:t>
      </w:r>
      <w:r>
        <w:t xml:space="preserve"> </w:t>
      </w:r>
      <w:r>
        <w:t xml:space="preserve">distributed ledgers in resource-constrained agricultural settings,</w:t>
      </w:r>
      <w:r>
        <w:t xml:space="preserve"> </w:t>
      </w:r>
      <w:r>
        <w:t xml:space="preserve">generalising beyond the specific deployment studied.</w:t>
      </w:r>
      <w:r>
        <w:t xml:space="preserve"> </w:t>
      </w:r>
      <w:r>
        <w:rPr>
          <w:iCs/>
          <w:i/>
        </w:rPr>
        <w:t xml:space="preserve">(Create)</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 residue arithmetic for communication efficiency, and</w:t>
      </w:r>
      <w:r>
        <w:t xml:space="preserve"> </w:t>
      </w:r>
      <w:r>
        <w:t xml:space="preserve">distributed ledgers for data provenance — and shows that the first can subsidise</w:t>
      </w:r>
      <w:r>
        <w:t xml:space="preserve"> </w:t>
      </w:r>
      <w:r>
        <w:t xml:space="preserve">the second.</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Internet of Things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Start w:id="69" w:name="references"/>
    <w:p>
      <w:pPr>
        <w:pStyle w:val="Heading2"/>
      </w:pPr>
      <w:r>
        <w:t xml:space="preserve">REFERENCES</w:t>
      </w:r>
    </w:p>
    <w:bookmarkStart w:id="68" w:name="refs"/>
    <w:bookmarkStart w:id="41"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40">
        <w:r>
          <w:rPr>
            <w:rStyle w:val="Hyperlink"/>
          </w:rPr>
          <w:t xml:space="preserve">https://doi.org/10.1016/j.compag.2020.105441</w:t>
        </w:r>
      </w:hyperlink>
      <w:r>
        <w:t xml:space="preserve">.</w:t>
      </w:r>
    </w:p>
    <w:bookmarkEnd w:id="41"/>
    <w:bookmarkStart w:id="43"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42">
        <w:r>
          <w:rPr>
            <w:rStyle w:val="Hyperlink"/>
          </w:rPr>
          <w:t xml:space="preserve">https://doi.org/10.1109/MCOM.2017.1600613</w:t>
        </w:r>
      </w:hyperlink>
      <w:r>
        <w:t xml:space="preserve">.</w:t>
      </w:r>
    </w:p>
    <w:bookmarkEnd w:id="43"/>
    <w:bookmarkStart w:id="45"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44">
        <w:r>
          <w:rPr>
            <w:rStyle w:val="Hyperlink"/>
          </w:rPr>
          <w:t xml:space="preserve">https://doi.org/10.1145/3190508.3190538</w:t>
        </w:r>
      </w:hyperlink>
      <w:r>
        <w:t xml:space="preserve">.</w:t>
      </w:r>
    </w:p>
    <w:bookmarkEnd w:id="45"/>
    <w:bookmarkStart w:id="47"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46">
        <w:r>
          <w:rPr>
            <w:rStyle w:val="Hyperlink"/>
          </w:rPr>
          <w:t xml:space="preserve">https://doi.org/10.1142/2893</w:t>
        </w:r>
      </w:hyperlink>
      <w:r>
        <w:t xml:space="preserve">.</w:t>
      </w:r>
    </w:p>
    <w:bookmarkEnd w:id="47"/>
    <w:bookmarkStart w:id="49"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48">
        <w:r>
          <w:rPr>
            <w:rStyle w:val="Hyperlink"/>
          </w:rPr>
          <w:t xml:space="preserve">https://doi.org/10.1016/j.agwat.2010.01.025</w:t>
        </w:r>
      </w:hyperlink>
      <w:r>
        <w:t xml:space="preserve">.</w:t>
      </w:r>
    </w:p>
    <w:bookmarkEnd w:id="49"/>
    <w:bookmarkStart w:id="51"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50">
        <w:r>
          <w:rPr>
            <w:rStyle w:val="Hyperlink"/>
          </w:rPr>
          <w:t xml:space="preserve">https://doi.org/10.1109/TEC.1959.5219515</w:t>
        </w:r>
      </w:hyperlink>
      <w:r>
        <w:t xml:space="preserve">.</w:t>
      </w:r>
    </w:p>
    <w:bookmarkEnd w:id="51"/>
    <w:bookmarkStart w:id="53"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52">
        <w:r>
          <w:rPr>
            <w:rStyle w:val="Hyperlink"/>
          </w:rPr>
          <w:t xml:space="preserve">https://doi.org/10.3390/s18113995</w:t>
        </w:r>
      </w:hyperlink>
      <w:r>
        <w:t xml:space="preserve">.</w:t>
      </w:r>
    </w:p>
    <w:bookmarkEnd w:id="53"/>
    <w:bookmarkStart w:id="55"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54">
        <w:r>
          <w:rPr>
            <w:rStyle w:val="Hyperlink"/>
          </w:rPr>
          <w:t xml:space="preserve">https://doi.org/10.1109/LCOMM.2008.080300</w:t>
        </w:r>
      </w:hyperlink>
      <w:r>
        <w:t xml:space="preserve">.</w:t>
      </w:r>
    </w:p>
    <w:bookmarkEnd w:id="55"/>
    <w:bookmarkStart w:id="57"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56">
        <w:r>
          <w:rPr>
            <w:rStyle w:val="Hyperlink"/>
          </w:rPr>
          <w:t xml:space="preserve">https://doi.org/10.1093/comjnl/bxp118</w:t>
        </w:r>
      </w:hyperlink>
      <w:r>
        <w:t xml:space="preserve">.</w:t>
      </w:r>
    </w:p>
    <w:bookmarkEnd w:id="57"/>
    <w:bookmarkStart w:id="59"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58">
        <w:r>
          <w:rPr>
            <w:rStyle w:val="Hyperlink"/>
          </w:rPr>
          <w:t xml:space="preserve">https://doi.org/10.3390/s22134868</w:t>
        </w:r>
      </w:hyperlink>
      <w:r>
        <w:t xml:space="preserve">.</w:t>
      </w:r>
    </w:p>
    <w:bookmarkEnd w:id="59"/>
    <w:bookmarkStart w:id="61"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60">
        <w:r>
          <w:rPr>
            <w:rStyle w:val="Hyperlink"/>
          </w:rPr>
          <w:t xml:space="preserve">https://doi.org/10.1016/S0378-3774(02)00075-6</w:t>
        </w:r>
      </w:hyperlink>
      <w:r>
        <w:t xml:space="preserve">.</w:t>
      </w:r>
    </w:p>
    <w:bookmarkEnd w:id="61"/>
    <w:bookmarkStart w:id="63"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62">
        <w:r>
          <w:rPr>
            <w:rStyle w:val="Hyperlink"/>
          </w:rPr>
          <w:t xml:space="preserve">https://doi.org/10.3389/frcmn.2025.1587402</w:t>
        </w:r>
      </w:hyperlink>
      <w:r>
        <w:t xml:space="preserve">.</w:t>
      </w:r>
    </w:p>
    <w:bookmarkEnd w:id="63"/>
    <w:bookmarkStart w:id="65"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64">
        <w:r>
          <w:rPr>
            <w:rStyle w:val="Hyperlink"/>
          </w:rPr>
          <w:t xml:space="preserve">https://doi.org/10.1109/MASCOTS.2018.00034</w:t>
        </w:r>
      </w:hyperlink>
      <w:r>
        <w:t xml:space="preserve">.</w:t>
      </w:r>
    </w:p>
    <w:bookmarkEnd w:id="65"/>
    <w:bookmarkStart w:id="67"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66">
        <w:r>
          <w:rPr>
            <w:rStyle w:val="Hyperlink"/>
          </w:rPr>
          <w:t xml:space="preserve">https://doi.org/10.3390/s23146332</w:t>
        </w:r>
      </w:hyperlink>
      <w:r>
        <w:t xml:space="preserve">.</w:t>
      </w:r>
    </w:p>
    <w:bookmarkEnd w:id="67"/>
    <w:bookmarkEnd w:id="68"/>
    <w:bookmarkEnd w:id="69"/>
    <w:bookmarkEnd w:id="70"/>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before="0" w:line="480" w:lineRule="auto"/>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4"/>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line="240" w:lineRule="auto"/>
    </w:pPr>
    <w:rPr>
      <w:rFonts w:ascii="Times New Roman" w:cs="Times New Roman" w:eastAsia="Times New Roman" w:hAnsi="Times New Roman"/>
      <w:b w:val="0"/>
      <w:sz w:val="24"/>
      <w:color w:val="000000"/>
    </w:rPr>
  </w:style>
  <w:style w:customStyle="1" w:styleId="ImageCaption" w:type="paragraph">
    <w:name w:val="Image Caption"/>
    <w:basedOn w:val="Caption"/>
    <w:pPr>
      <w:spacing w:line="240" w:lineRule="auto"/>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0" Target="https://doi.org/10.1016/S0378-3774(02)00075-6" TargetMode="External" /><Relationship Type="http://schemas.openxmlformats.org/officeDocument/2006/relationships/hyperlink" Id="rId48" Target="https://doi.org/10.1016/j.agwat.2010.01.025" TargetMode="External" /><Relationship Type="http://schemas.openxmlformats.org/officeDocument/2006/relationships/hyperlink" Id="rId40" Target="https://doi.org/10.1016/j.compag.2020.105441" TargetMode="External" /><Relationship Type="http://schemas.openxmlformats.org/officeDocument/2006/relationships/hyperlink" Id="rId56" Target="https://doi.org/10.1093/comjnl/bxp118" TargetMode="External" /><Relationship Type="http://schemas.openxmlformats.org/officeDocument/2006/relationships/hyperlink" Id="rId54" Target="https://doi.org/10.1109/LCOMM.2008.080300" TargetMode="External" /><Relationship Type="http://schemas.openxmlformats.org/officeDocument/2006/relationships/hyperlink" Id="rId64" Target="https://doi.org/10.1109/MASCOTS.2018.00034" TargetMode="External" /><Relationship Type="http://schemas.openxmlformats.org/officeDocument/2006/relationships/hyperlink" Id="rId42" Target="https://doi.org/10.1109/MCOM.2017.1600613" TargetMode="External" /><Relationship Type="http://schemas.openxmlformats.org/officeDocument/2006/relationships/hyperlink" Id="rId50" Target="https://doi.org/10.1109/TEC.1959.5219515" TargetMode="External" /><Relationship Type="http://schemas.openxmlformats.org/officeDocument/2006/relationships/hyperlink" Id="rId46" Target="https://doi.org/10.1142/2893" TargetMode="External" /><Relationship Type="http://schemas.openxmlformats.org/officeDocument/2006/relationships/hyperlink" Id="rId44" Target="https://doi.org/10.1145/3190508.3190538" TargetMode="External" /><Relationship Type="http://schemas.openxmlformats.org/officeDocument/2006/relationships/hyperlink" Id="rId62" Target="https://doi.org/10.3389/frcmn.2025.1587402" TargetMode="External" /><Relationship Type="http://schemas.openxmlformats.org/officeDocument/2006/relationships/hyperlink" Id="rId52" Target="https://doi.org/10.3390/s18113995" TargetMode="External" /><Relationship Type="http://schemas.openxmlformats.org/officeDocument/2006/relationships/hyperlink" Id="rId58" Target="https://doi.org/10.3390/s22134868" TargetMode="External" /><Relationship Type="http://schemas.openxmlformats.org/officeDocument/2006/relationships/hyperlink" Id="rId66" Target="https://doi.org/10.3390/s23146332"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16/S0378-3774(02)00075-6" TargetMode="External" /><Relationship Type="http://schemas.openxmlformats.org/officeDocument/2006/relationships/hyperlink" Id="rId48" Target="https://doi.org/10.1016/j.agwat.2010.01.025" TargetMode="External" /><Relationship Type="http://schemas.openxmlformats.org/officeDocument/2006/relationships/hyperlink" Id="rId40" Target="https://doi.org/10.1016/j.compag.2020.105441" TargetMode="External" /><Relationship Type="http://schemas.openxmlformats.org/officeDocument/2006/relationships/hyperlink" Id="rId56" Target="https://doi.org/10.1093/comjnl/bxp118" TargetMode="External" /><Relationship Type="http://schemas.openxmlformats.org/officeDocument/2006/relationships/hyperlink" Id="rId54" Target="https://doi.org/10.1109/LCOMM.2008.080300" TargetMode="External" /><Relationship Type="http://schemas.openxmlformats.org/officeDocument/2006/relationships/hyperlink" Id="rId64" Target="https://doi.org/10.1109/MASCOTS.2018.00034" TargetMode="External" /><Relationship Type="http://schemas.openxmlformats.org/officeDocument/2006/relationships/hyperlink" Id="rId42" Target="https://doi.org/10.1109/MCOM.2017.1600613" TargetMode="External" /><Relationship Type="http://schemas.openxmlformats.org/officeDocument/2006/relationships/hyperlink" Id="rId50" Target="https://doi.org/10.1109/TEC.1959.5219515" TargetMode="External" /><Relationship Type="http://schemas.openxmlformats.org/officeDocument/2006/relationships/hyperlink" Id="rId46" Target="https://doi.org/10.1142/2893" TargetMode="External" /><Relationship Type="http://schemas.openxmlformats.org/officeDocument/2006/relationships/hyperlink" Id="rId44" Target="https://doi.org/10.1145/3190508.3190538" TargetMode="External" /><Relationship Type="http://schemas.openxmlformats.org/officeDocument/2006/relationships/hyperlink" Id="rId62" Target="https://doi.org/10.3389/frcmn.2025.1587402" TargetMode="External" /><Relationship Type="http://schemas.openxmlformats.org/officeDocument/2006/relationships/hyperlink" Id="rId52" Target="https://doi.org/10.3390/s18113995" TargetMode="External" /><Relationship Type="http://schemas.openxmlformats.org/officeDocument/2006/relationships/hyperlink" Id="rId58" Target="https://doi.org/10.3390/s22134868" TargetMode="External" /><Relationship Type="http://schemas.openxmlformats.org/officeDocument/2006/relationships/hyperlink" Id="rId66" Target="https://doi.org/10.3390/s231463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2026-08-16T07:21:20Z</dcterms:created>
  <dcterms:modified xsi:type="dcterms:W3CDTF">2026-08-16T07:21:20Z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