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p>
      <w:pPr>
        <w:pStyle w:val="BodyText"/>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ZKP</w:t>
      </w:r>
    </w:p>
    <w:p>
      <w:pPr>
        <w:pStyle w:val="Definition"/>
      </w:pPr>
      <w:r>
        <w:t xml:space="preserve">Zero-Knowledge Proof</w:t>
      </w:r>
    </w:p>
    <w:bookmarkEnd w:id="27"/>
    <w:bookmarkStart w:id="7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Agricultural data processing systems are currently forced into a choice between</w:t>
      </w:r>
      <w:r>
        <w:t xml:space="preserve"> </w:t>
      </w:r>
      <w:r>
        <w:t xml:space="preserve">three properties that ought to hold simultaneously.</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Figure </w:t>
      </w:r>
      <w:hyperlink w:anchor="fig:three-properties">
        <w:r>
          <w:rPr>
            <w:rStyle w:val="Hyperlink"/>
          </w:rPr>
          <w:t xml:space="preserve">1.2</w:t>
        </w:r>
      </w:hyperlink>
      <w:r>
        <w:t xml:space="preserve"> </w:t>
      </w:r>
      <w:r>
        <w:t xml:space="preserve">places the three shortfalls together. They are</w:t>
      </w:r>
      <w:r>
        <w:t xml:space="preserve"> </w:t>
      </w:r>
      <w:r>
        <w:t xml:space="preserve">not independent faults to be repaired one at a time; each is a consequence of</w:t>
      </w:r>
      <w:r>
        <w:t xml:space="preserve"> </w:t>
      </w:r>
      <w:r>
        <w:t xml:space="preserve">the same scarcity, and a remedy applied to one is paid for out of the budget</w:t>
      </w:r>
      <w:r>
        <w:t xml:space="preserve"> </w:t>
      </w:r>
      <w:r>
        <w:t xml:space="preserve">available 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The problem this thesis addresses is therefore the following: how can identity,</w:t>
      </w:r>
      <w:r>
        <w:t xml:space="preserve"> </w:t>
      </w:r>
      <w:r>
        <w:t xml:space="preserve">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rationale rests on an observation about where the budget comes from.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work is further motivated by an evidential gap. Claims about edge blockchain</w:t>
      </w:r>
      <w:r>
        <w:t xml:space="preserve"> </w:t>
      </w:r>
      <w:r>
        <w:t xml:space="preserve">feasibility are 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Finally, the applied case is direct. Smallholder and arid-region agriculture is</w:t>
      </w:r>
      <w:r>
        <w:t xml:space="preserve"> </w:t>
      </w:r>
      <w:r>
        <w:t xml:space="preserve">where 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p>
      <w:pPr>
        <w:pStyle w:val="FirstParagraph"/>
      </w:pPr>
      <w:r>
        <w:t xml:space="preserve">Objectives are formulated using Bloom’s revised taxonomy, with the cognitive</w:t>
      </w:r>
      <w:r>
        <w:t xml:space="preserve"> </w:t>
      </w:r>
      <w:r>
        <w:t xml:space="preserve">level of each objective stated explicitly so that the verb, the expected</w:t>
      </w:r>
      <w:r>
        <w:t xml:space="preserve"> </w:t>
      </w:r>
      <w:r>
        <w:t xml:space="preserve">evidence and the assessment criterion remain aligned.</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r>
        <w:t xml:space="preserve"> </w:t>
      </w:r>
      <w:r>
        <w:rPr>
          <w:iCs/>
          <w:i/>
        </w:rPr>
        <w:t xml:space="preserve">(Bloom level: Create)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r>
        <w:t xml:space="preserve"> </w:t>
      </w:r>
      <w:r>
        <w:rPr>
          <w:iCs/>
          <w:i/>
        </w:rPr>
        <w:t xml:space="preserve">(Analyse)</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r>
        <w:t xml:space="preserve"> </w:t>
      </w:r>
      <w:r>
        <w:rPr>
          <w:iCs/>
          <w:i/>
        </w:rPr>
        <w:t xml:space="preserve">(Create)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r>
        <w:t xml:space="preserve"> </w:t>
      </w:r>
      <w:r>
        <w:rPr>
          <w:iCs/>
          <w:i/>
        </w:rPr>
        <w:t xml:space="preserve">(Apply)</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r>
        <w:t xml:space="preserve"> </w:t>
      </w:r>
      <w:r>
        <w:rPr>
          <w:iCs/>
          <w:i/>
        </w:rPr>
        <w:t xml:space="preserve">(Evaluate)</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t xml:space="preserve">Figure </w:t>
      </w:r>
      <w:hyperlink w:anchor="fig:roadmap">
        <w:r>
          <w:rPr>
            <w:rStyle w:val="Hyperlink"/>
          </w:rPr>
          <w:t xml:space="preserve">1.3</w:t>
        </w:r>
      </w:hyperlink>
      <w:r>
        <w:t xml:space="preserve"> </w:t>
      </w:r>
      <w:r>
        <w:t xml:space="preserve">shows how the five chapters relate to the four</w:t>
      </w:r>
      <w:r>
        <w:t xml:space="preserve"> </w:t>
      </w:r>
      <w:r>
        <w:t xml:space="preserve">specific objectives of Section </w:t>
      </w:r>
      <w:hyperlink w:anchor="subsec:specific_objectives">
        <w:r>
          <w:rPr>
            <w:rStyle w:val="Hyperlink"/>
          </w:rPr>
          <w:t xml:space="preserve">1.4.2</w:t>
        </w:r>
      </w:hyperlink>
      <w:r>
        <w:t xml:space="preserve">.</w:t>
      </w:r>
    </w:p>
    <w:tbl>
      <w:tblPr>
        <w:tblStyle w:val="FigureTable"/>
        <w:tblW w:type="auto" w:w="0"/>
        <w:tblLook w:firstRow="0" w:lastRow="0" w:firstColumn="0" w:lastColumn="0"/>
        <w:jc w:val="center"/>
      </w:tblPr>
      <w:tblGrid/>
      <w:tr/>
    </w:tbl>
    <w:p>
      <w:pPr>
        <w:pStyle w:val="ImageCaption"/>
      </w:pPr>
      <w:r>
        <w:t xml:space="preserve">Organisation of the thesis and the chapter in which each specific</w:t>
      </w:r>
      <w:r>
        <w:t xml:space="preserve"> </w:t>
      </w:r>
      <w:r>
        <w:t xml:space="preserve">objective is discharged.</w:t>
      </w:r>
    </w:p>
    <w:p>
      <w:pPr>
        <w:pStyle w:val="BodyText"/>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Internet of Things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Start w:id="69" w:name="references"/>
    <w:p>
      <w:pPr>
        <w:pStyle w:val="Heading2"/>
      </w:pPr>
      <w:r>
        <w:t xml:space="preserve">REFERENCES</w:t>
      </w:r>
    </w:p>
    <w:bookmarkStart w:id="68" w:name="refs"/>
    <w:bookmarkStart w:id="41"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40">
        <w:r>
          <w:rPr>
            <w:rStyle w:val="Hyperlink"/>
          </w:rPr>
          <w:t xml:space="preserve">https://doi.org/10.1016/j.compag.2020.105441</w:t>
        </w:r>
      </w:hyperlink>
      <w:r>
        <w:t xml:space="preserve">.</w:t>
      </w:r>
    </w:p>
    <w:bookmarkEnd w:id="41"/>
    <w:bookmarkStart w:id="43"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42">
        <w:r>
          <w:rPr>
            <w:rStyle w:val="Hyperlink"/>
          </w:rPr>
          <w:t xml:space="preserve">https://doi.org/10.1109/MCOM.2017.1600613</w:t>
        </w:r>
      </w:hyperlink>
      <w:r>
        <w:t xml:space="preserve">.</w:t>
      </w:r>
    </w:p>
    <w:bookmarkEnd w:id="43"/>
    <w:bookmarkStart w:id="45"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44">
        <w:r>
          <w:rPr>
            <w:rStyle w:val="Hyperlink"/>
          </w:rPr>
          <w:t xml:space="preserve">https://doi.org/10.1145/3190508.3190538</w:t>
        </w:r>
      </w:hyperlink>
      <w:r>
        <w:t xml:space="preserve">.</w:t>
      </w:r>
    </w:p>
    <w:bookmarkEnd w:id="45"/>
    <w:bookmarkStart w:id="47"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46">
        <w:r>
          <w:rPr>
            <w:rStyle w:val="Hyperlink"/>
          </w:rPr>
          <w:t xml:space="preserve">https://doi.org/10.1142/2893</w:t>
        </w:r>
      </w:hyperlink>
      <w:r>
        <w:t xml:space="preserve">.</w:t>
      </w:r>
    </w:p>
    <w:bookmarkEnd w:id="47"/>
    <w:bookmarkStart w:id="49"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48">
        <w:r>
          <w:rPr>
            <w:rStyle w:val="Hyperlink"/>
          </w:rPr>
          <w:t xml:space="preserve">https://doi.org/10.1016/j.agwat.2010.01.025</w:t>
        </w:r>
      </w:hyperlink>
      <w:r>
        <w:t xml:space="preserve">.</w:t>
      </w:r>
    </w:p>
    <w:bookmarkEnd w:id="49"/>
    <w:bookmarkStart w:id="51"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50">
        <w:r>
          <w:rPr>
            <w:rStyle w:val="Hyperlink"/>
          </w:rPr>
          <w:t xml:space="preserve">https://doi.org/10.1109/TEC.1959.5219515</w:t>
        </w:r>
      </w:hyperlink>
      <w:r>
        <w:t xml:space="preserve">.</w:t>
      </w:r>
    </w:p>
    <w:bookmarkEnd w:id="51"/>
    <w:bookmarkStart w:id="53"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52">
        <w:r>
          <w:rPr>
            <w:rStyle w:val="Hyperlink"/>
          </w:rPr>
          <w:t xml:space="preserve">https://doi.org/10.3390/s18113995</w:t>
        </w:r>
      </w:hyperlink>
      <w:r>
        <w:t xml:space="preserve">.</w:t>
      </w:r>
    </w:p>
    <w:bookmarkEnd w:id="53"/>
    <w:bookmarkStart w:id="55"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54">
        <w:r>
          <w:rPr>
            <w:rStyle w:val="Hyperlink"/>
          </w:rPr>
          <w:t xml:space="preserve">https://doi.org/10.1109/LCOMM.2008.080300</w:t>
        </w:r>
      </w:hyperlink>
      <w:r>
        <w:t xml:space="preserve">.</w:t>
      </w:r>
    </w:p>
    <w:bookmarkEnd w:id="55"/>
    <w:bookmarkStart w:id="57"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56">
        <w:r>
          <w:rPr>
            <w:rStyle w:val="Hyperlink"/>
          </w:rPr>
          <w:t xml:space="preserve">https://doi.org/10.1093/comjnl/bxp118</w:t>
        </w:r>
      </w:hyperlink>
      <w:r>
        <w:t xml:space="preserve">.</w:t>
      </w:r>
    </w:p>
    <w:bookmarkEnd w:id="57"/>
    <w:bookmarkStart w:id="59"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58">
        <w:r>
          <w:rPr>
            <w:rStyle w:val="Hyperlink"/>
          </w:rPr>
          <w:t xml:space="preserve">https://doi.org/10.3390/s22134868</w:t>
        </w:r>
      </w:hyperlink>
      <w:r>
        <w:t xml:space="preserve">.</w:t>
      </w:r>
    </w:p>
    <w:bookmarkEnd w:id="59"/>
    <w:bookmarkStart w:id="61"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60">
        <w:r>
          <w:rPr>
            <w:rStyle w:val="Hyperlink"/>
          </w:rPr>
          <w:t xml:space="preserve">https://doi.org/10.1016/S0378-3774(02)00075-6</w:t>
        </w:r>
      </w:hyperlink>
      <w:r>
        <w:t xml:space="preserve">.</w:t>
      </w:r>
    </w:p>
    <w:bookmarkEnd w:id="61"/>
    <w:bookmarkStart w:id="63"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62">
        <w:r>
          <w:rPr>
            <w:rStyle w:val="Hyperlink"/>
          </w:rPr>
          <w:t xml:space="preserve">https://doi.org/10.3389/frcmn.2025.1587402</w:t>
        </w:r>
      </w:hyperlink>
      <w:r>
        <w:t xml:space="preserve">.</w:t>
      </w:r>
    </w:p>
    <w:bookmarkEnd w:id="63"/>
    <w:bookmarkStart w:id="65"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64">
        <w:r>
          <w:rPr>
            <w:rStyle w:val="Hyperlink"/>
          </w:rPr>
          <w:t xml:space="preserve">https://doi.org/10.1109/MASCOTS.2018.00034</w:t>
        </w:r>
      </w:hyperlink>
      <w:r>
        <w:t xml:space="preserve">.</w:t>
      </w:r>
    </w:p>
    <w:bookmarkEnd w:id="65"/>
    <w:bookmarkStart w:id="67"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66">
        <w:r>
          <w:rPr>
            <w:rStyle w:val="Hyperlink"/>
          </w:rPr>
          <w:t xml:space="preserve">https://doi.org/10.3390/s23146332</w:t>
        </w:r>
      </w:hyperlink>
      <w:r>
        <w:t xml:space="preserve">.</w:t>
      </w:r>
    </w:p>
    <w:bookmarkEnd w:id="67"/>
    <w:bookmarkEnd w:id="68"/>
    <w:bookmarkEnd w:id="69"/>
    <w:bookmarkEnd w:id="70"/>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4"/>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0" Target="https://doi.org/10.1016/S0378-3774(02)00075-6" TargetMode="External" /><Relationship Type="http://schemas.openxmlformats.org/officeDocument/2006/relationships/hyperlink" Id="rId48" Target="https://doi.org/10.1016/j.agwat.2010.01.025" TargetMode="External" /><Relationship Type="http://schemas.openxmlformats.org/officeDocument/2006/relationships/hyperlink" Id="rId40" Target="https://doi.org/10.1016/j.compag.2020.105441" TargetMode="External" /><Relationship Type="http://schemas.openxmlformats.org/officeDocument/2006/relationships/hyperlink" Id="rId56" Target="https://doi.org/10.1093/comjnl/bxp118" TargetMode="External" /><Relationship Type="http://schemas.openxmlformats.org/officeDocument/2006/relationships/hyperlink" Id="rId54" Target="https://doi.org/10.1109/LCOMM.2008.080300" TargetMode="External" /><Relationship Type="http://schemas.openxmlformats.org/officeDocument/2006/relationships/hyperlink" Id="rId64" Target="https://doi.org/10.1109/MASCOTS.2018.00034" TargetMode="External" /><Relationship Type="http://schemas.openxmlformats.org/officeDocument/2006/relationships/hyperlink" Id="rId42" Target="https://doi.org/10.1109/MCOM.2017.1600613" TargetMode="External" /><Relationship Type="http://schemas.openxmlformats.org/officeDocument/2006/relationships/hyperlink" Id="rId50" Target="https://doi.org/10.1109/TEC.1959.5219515" TargetMode="External" /><Relationship Type="http://schemas.openxmlformats.org/officeDocument/2006/relationships/hyperlink" Id="rId46" Target="https://doi.org/10.1142/2893" TargetMode="External" /><Relationship Type="http://schemas.openxmlformats.org/officeDocument/2006/relationships/hyperlink" Id="rId44" Target="https://doi.org/10.1145/3190508.3190538" TargetMode="External" /><Relationship Type="http://schemas.openxmlformats.org/officeDocument/2006/relationships/hyperlink" Id="rId62" Target="https://doi.org/10.3389/frcmn.2025.1587402" TargetMode="External" /><Relationship Type="http://schemas.openxmlformats.org/officeDocument/2006/relationships/hyperlink" Id="rId52" Target="https://doi.org/10.3390/s18113995" TargetMode="External" /><Relationship Type="http://schemas.openxmlformats.org/officeDocument/2006/relationships/hyperlink" Id="rId58" Target="https://doi.org/10.3390/s22134868" TargetMode="External" /><Relationship Type="http://schemas.openxmlformats.org/officeDocument/2006/relationships/hyperlink" Id="rId66" Target="https://doi.org/10.3390/s23146332"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16/S0378-3774(02)00075-6" TargetMode="External" /><Relationship Type="http://schemas.openxmlformats.org/officeDocument/2006/relationships/hyperlink" Id="rId48" Target="https://doi.org/10.1016/j.agwat.2010.01.025" TargetMode="External" /><Relationship Type="http://schemas.openxmlformats.org/officeDocument/2006/relationships/hyperlink" Id="rId40" Target="https://doi.org/10.1016/j.compag.2020.105441" TargetMode="External" /><Relationship Type="http://schemas.openxmlformats.org/officeDocument/2006/relationships/hyperlink" Id="rId56" Target="https://doi.org/10.1093/comjnl/bxp118" TargetMode="External" /><Relationship Type="http://schemas.openxmlformats.org/officeDocument/2006/relationships/hyperlink" Id="rId54" Target="https://doi.org/10.1109/LCOMM.2008.080300" TargetMode="External" /><Relationship Type="http://schemas.openxmlformats.org/officeDocument/2006/relationships/hyperlink" Id="rId64" Target="https://doi.org/10.1109/MASCOTS.2018.00034" TargetMode="External" /><Relationship Type="http://schemas.openxmlformats.org/officeDocument/2006/relationships/hyperlink" Id="rId42" Target="https://doi.org/10.1109/MCOM.2017.1600613" TargetMode="External" /><Relationship Type="http://schemas.openxmlformats.org/officeDocument/2006/relationships/hyperlink" Id="rId50" Target="https://doi.org/10.1109/TEC.1959.5219515" TargetMode="External" /><Relationship Type="http://schemas.openxmlformats.org/officeDocument/2006/relationships/hyperlink" Id="rId46" Target="https://doi.org/10.1142/2893" TargetMode="External" /><Relationship Type="http://schemas.openxmlformats.org/officeDocument/2006/relationships/hyperlink" Id="rId44" Target="https://doi.org/10.1145/3190508.3190538" TargetMode="External" /><Relationship Type="http://schemas.openxmlformats.org/officeDocument/2006/relationships/hyperlink" Id="rId62" Target="https://doi.org/10.3389/frcmn.2025.1587402" TargetMode="External" /><Relationship Type="http://schemas.openxmlformats.org/officeDocument/2006/relationships/hyperlink" Id="rId52" Target="https://doi.org/10.3390/s18113995" TargetMode="External" /><Relationship Type="http://schemas.openxmlformats.org/officeDocument/2006/relationships/hyperlink" Id="rId58" Target="https://doi.org/10.3390/s22134868" TargetMode="External" /><Relationship Type="http://schemas.openxmlformats.org/officeDocument/2006/relationships/hyperlink" Id="rId66" Target="https://doi.org/10.3390/s231463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2026-08-16T08:04:55Z</dcterms:created>
  <dcterms:modified xsi:type="dcterms:W3CDTF">2026-08-16T08:04:55Z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