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(FE22P049)</w:t>
      </w:r>
      <w:r>
        <w:br/>
      </w:r>
      <w:r>
        <w:t xml:space="preserve">M.Eng. in Telecommunications and Networks</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Associate Professor</w:t>
      </w:r>
    </w:p>
    <w:p>
      <w:pPr>
        <w:pStyle w:val="BodyText"/>
      </w:pPr>
      <w:r>
        <w:rPr>
          <w:bCs/>
          <w:b/>
        </w:rPr>
        <w:t xml:space="preserve">Co-Supervisor</w:t>
      </w:r>
      <w:r>
        <w:br/>
      </w:r>
      <w:r>
        <w:t xml:space="preserve">Elie FUTE TAGNE, PhD</w:t>
      </w:r>
      <w:r>
        <w:br/>
      </w:r>
      <w:r>
        <w:t xml:space="preserve">Associate Professor</w:t>
      </w:r>
    </w:p>
    <w:p>
      <w:pPr>
        <w:pStyle w:val="BodyText"/>
      </w:pPr>
    </w:p>
    <w:p>
      <w:pPr>
        <w:pStyle w:val="BodyText"/>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(FE22P049)</w:t>
      </w:r>
      <w:r>
        <w:br/>
      </w:r>
      <w:r>
        <w:t xml:space="preserve">M.Eng. in Telecommunications and Networks</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Associate Professor</w:t>
      </w:r>
    </w:p>
    <w:p>
      <w:pPr>
        <w:pStyle w:val="BodyText"/>
      </w:pPr>
      <w:r>
        <w:rPr>
          <w:bCs/>
          <w:b/>
        </w:rPr>
        <w:t xml:space="preserve">Co-Supervisor</w:t>
      </w:r>
      <w:r>
        <w:br/>
      </w:r>
      <w: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ZKP</w:t>
      </w:r>
    </w:p>
    <w:p>
      <w:pPr>
        <w:pStyle w:val="Definition"/>
      </w:pPr>
      <w:r>
        <w:t xml:space="preserve">Zero-Knowledge Proof</w:t>
      </w:r>
    </w:p>
    <w:bookmarkEnd w:id="27"/>
    <w:bookmarkStart w:id="7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 record</w:t>
      </w:r>
      <w:r>
        <w:t xml:space="preserve"> </w:t>
      </w:r>
      <w:r>
        <w:t xml:space="preserve">that is consumed by parties outside the farm, and the value those</w:t>
      </w:r>
      <w:r>
        <w:t xml:space="preserve"> </w:t>
      </w:r>
      <w:r>
        <w:t xml:space="preserve">parties attach to it is what makes falsification worthwhile.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Internet of Things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 has</w:t>
      </w:r>
      <w:r>
        <w:t xml:space="preserve"> </w:t>
      </w:r>
      <w:r>
        <w:t xml:space="preserve">been applied to the throughput problem in permissionless blockchains, where</w:t>
      </w:r>
      <w:r>
        <w:t xml:space="preserve"> </w:t>
      </w:r>
      <w:r>
        <w:t xml:space="preserve">splitting work across residue classes permits parallel processing of operations</w:t>
      </w:r>
      <w:r>
        <w:t xml:space="preserve"> </w:t>
      </w:r>
      <w:r>
        <w:t xml:space="preserve">that would otherwise serialise. That line of work establishes the arithmetic and</w:t>
      </w:r>
      <w:r>
        <w:t xml:space="preserve"> </w:t>
      </w:r>
      <w:r>
        <w:t xml:space="preserve">the parallelisation argument; what it does not address is the constrained radio</w:t>
      </w:r>
      <w:r>
        <w:t xml:space="preserve"> </w:t>
      </w:r>
      <w:r>
        <w:t xml:space="preserve">link, where the payoff is airtime rather than processor cycles, nor the identity</w:t>
      </w:r>
      <w:r>
        <w:t xml:space="preserve"> </w:t>
      </w:r>
      <w:r>
        <w:t xml:space="preserve">and confidentiality questions that arise when the residues cross a shared</w:t>
      </w:r>
      <w:r>
        <w:t xml:space="preserve"> </w:t>
      </w:r>
      <w:r>
        <w:t xml:space="preserve">medium. This thesis takes the arithmetic as established and asks what it is</w:t>
      </w:r>
      <w:r>
        <w:t xml:space="preserve"> </w:t>
      </w:r>
      <w:r>
        <w:t xml:space="preserve">worth on the edge of the network rather than at its centre.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Agricultural data processing systems are currently forced into a choice between</w:t>
      </w:r>
      <w:r>
        <w:t xml:space="preserve"> </w:t>
      </w:r>
      <w:r>
        <w:t xml:space="preserve">three properties that ought to hold simultaneously.</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Figure </w:t>
      </w:r>
      <w:hyperlink w:anchor="fig:three-properties">
        <w:r>
          <w:rPr>
            <w:rStyle w:val="Hyperlink"/>
          </w:rPr>
          <w:t xml:space="preserve">1.2</w:t>
        </w:r>
      </w:hyperlink>
      <w:r>
        <w:t xml:space="preserve"> </w:t>
      </w:r>
      <w:r>
        <w:t xml:space="preserve">places the three shortfalls together. They are</w:t>
      </w:r>
      <w:r>
        <w:t xml:space="preserve"> </w:t>
      </w:r>
      <w:r>
        <w:t xml:space="preserve">not independent faults to be repaired one at a time; each is a consequence of</w:t>
      </w:r>
      <w:r>
        <w:t xml:space="preserve"> </w:t>
      </w:r>
      <w:r>
        <w:t xml:space="preserve">the same scarcity, and a remedy applied to one is paid for out of the budget</w:t>
      </w:r>
      <w:r>
        <w:t xml:space="preserve"> </w:t>
      </w:r>
      <w:r>
        <w:t xml:space="preserve">available to the others.</w:t>
      </w:r>
    </w:p>
    <w:tbl>
      <w:tblPr>
        <w:tblStyle w:val="FigureTable"/>
        <w:tblW w:type="auto" w:w="0"/>
        <w:tblLook w:firstRow="0" w:lastRow="0" w:firstColumn="0" w:lastColumn="0"/>
        <w:jc w:val="center"/>
      </w:tblPr>
      <w:tblGrid/>
      <w:tr/>
    </w:tbl>
    <w:p>
      <w:pPr>
        <w:pStyle w:val="ImageCaption"/>
      </w:pPr>
      <w:r>
        <w:t xml:space="preserve">The three protection properties and the shortfall in each. Because</w:t>
      </w:r>
      <w:r>
        <w:t xml:space="preserve"> </w:t>
      </w:r>
      <w:r>
        <w:t xml:space="preserve">all three draw on a single constrained budget, they form one design</w:t>
      </w:r>
      <w:r>
        <w:t xml:space="preserve"> </w:t>
      </w:r>
      <w:r>
        <w:t xml:space="preserve">problem rather than three independent ones.</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The problem this thesis addresses is therefore the following: how can identity,</w:t>
      </w:r>
      <w:r>
        <w:t xml:space="preserve"> </w:t>
      </w:r>
      <w:r>
        <w:t xml:space="preserve">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rationale rests on an observation about where the budget comes from.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There is also a structural reason to expect the combination to work.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 work is further motivated by an evidential gap. Claims about edge blockchain</w:t>
      </w:r>
      <w:r>
        <w:t xml:space="preserve"> </w:t>
      </w:r>
      <w:r>
        <w:t xml:space="preserve">feasibility are 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Finally, the applied case is direct. Smallholder and arid-region agriculture is</w:t>
      </w:r>
      <w:r>
        <w:t xml:space="preserve"> </w:t>
      </w:r>
      <w:r>
        <w:t xml:space="preserve">where 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p>
      <w:pPr>
        <w:pStyle w:val="FirstParagraph"/>
      </w:pPr>
      <w:r>
        <w:t xml:space="preserve">Objectives are formulated using Bloom’s revised taxonomy, with the cognitive</w:t>
      </w:r>
      <w:r>
        <w:t xml:space="preserve"> </w:t>
      </w:r>
      <w:r>
        <w:t xml:space="preserve">level of each objective stated explicitly so that the verb, the expected</w:t>
      </w:r>
      <w:r>
        <w:t xml:space="preserve"> </w:t>
      </w:r>
      <w:r>
        <w:t xml:space="preserve">evidence and the assessment criterion remain aligned.</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r>
        <w:t xml:space="preserve"> </w:t>
      </w:r>
      <w:r>
        <w:rPr>
          <w:iCs/>
          <w:i/>
        </w:rPr>
        <w:t xml:space="preserve">(Bloom level: Create)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r>
        <w:t xml:space="preserve"> </w:t>
      </w:r>
      <w:r>
        <w:rPr>
          <w:iCs/>
          <w:i/>
        </w:rPr>
        <w:t xml:space="preserve">(Analyse)</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r>
        <w:t xml:space="preserve"> </w:t>
      </w:r>
      <w:r>
        <w:rPr>
          <w:iCs/>
          <w:i/>
        </w:rPr>
        <w:t xml:space="preserve">(Create)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r>
        <w:t xml:space="preserve"> </w:t>
      </w:r>
      <w:r>
        <w:rPr>
          <w:iCs/>
          <w:i/>
        </w:rPr>
        <w:t xml:space="preserve">(Apply)</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r>
        <w:t xml:space="preserve"> </w:t>
      </w:r>
      <w:r>
        <w:rPr>
          <w:iCs/>
          <w:i/>
        </w:rPr>
        <w:t xml:space="preserve">(Evaluate)</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Start w:id="69" w:name="references"/>
    <w:p>
      <w:pPr>
        <w:pStyle w:val="Heading2"/>
      </w:pPr>
      <w:r>
        <w:t xml:space="preserve">REFERENCES</w:t>
      </w:r>
    </w:p>
    <w:bookmarkStart w:id="68" w:name="refs"/>
    <w:bookmarkStart w:id="41"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40">
        <w:r>
          <w:rPr>
            <w:rStyle w:val="Hyperlink"/>
          </w:rPr>
          <w:t xml:space="preserve">https://doi.org/10.1016/j.compag.2020.105441</w:t>
        </w:r>
      </w:hyperlink>
      <w:r>
        <w:t xml:space="preserve">.</w:t>
      </w:r>
    </w:p>
    <w:bookmarkEnd w:id="41"/>
    <w:bookmarkStart w:id="43"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42">
        <w:r>
          <w:rPr>
            <w:rStyle w:val="Hyperlink"/>
          </w:rPr>
          <w:t xml:space="preserve">https://doi.org/10.1109/MCOM.2017.1600613</w:t>
        </w:r>
      </w:hyperlink>
      <w:r>
        <w:t xml:space="preserve">.</w:t>
      </w:r>
    </w:p>
    <w:bookmarkEnd w:id="43"/>
    <w:bookmarkStart w:id="45" w:name="ref-jayaram2023hyperledger"/>
    <w:p>
      <w:pPr>
        <w:pStyle w:val="Bibliography"/>
      </w:pPr>
      <w:r>
        <w:t xml:space="preserve">Androulaki, Elli, Artem Barger, Vita Bortnikov, Christian Cachin, Konstantinos Christidis, Angelo De Caro, David Enyeart, et al. 2018.</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44">
        <w:r>
          <w:rPr>
            <w:rStyle w:val="Hyperlink"/>
          </w:rPr>
          <w:t xml:space="preserve">https://doi.org/10.1145/3190508.3190538</w:t>
        </w:r>
      </w:hyperlink>
      <w:r>
        <w:t xml:space="preserve">.</w:t>
      </w:r>
    </w:p>
    <w:bookmarkEnd w:id="45"/>
    <w:bookmarkStart w:id="47"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46">
        <w:r>
          <w:rPr>
            <w:rStyle w:val="Hyperlink"/>
          </w:rPr>
          <w:t xml:space="preserve">https://doi.org/10.1142/2893</w:t>
        </w:r>
      </w:hyperlink>
      <w:r>
        <w:t xml:space="preserve">.</w:t>
      </w:r>
    </w:p>
    <w:bookmarkEnd w:id="47"/>
    <w:bookmarkStart w:id="49"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48">
        <w:r>
          <w:rPr>
            <w:rStyle w:val="Hyperlink"/>
          </w:rPr>
          <w:t xml:space="preserve">https://doi.org/10.1016/j.agwat.2010.01.025</w:t>
        </w:r>
      </w:hyperlink>
      <w:r>
        <w:t xml:space="preserve">.</w:t>
      </w:r>
    </w:p>
    <w:bookmarkEnd w:id="49"/>
    <w:bookmarkStart w:id="51"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50">
        <w:r>
          <w:rPr>
            <w:rStyle w:val="Hyperlink"/>
          </w:rPr>
          <w:t xml:space="preserve">https://doi.org/10.1109/TEC.1959.5219515</w:t>
        </w:r>
      </w:hyperlink>
      <w:r>
        <w:t xml:space="preserve">.</w:t>
      </w:r>
    </w:p>
    <w:bookmarkEnd w:id="51"/>
    <w:bookmarkStart w:id="53"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52">
        <w:r>
          <w:rPr>
            <w:rStyle w:val="Hyperlink"/>
          </w:rPr>
          <w:t xml:space="preserve">https://doi.org/10.3390/s18113995</w:t>
        </w:r>
      </w:hyperlink>
      <w:r>
        <w:t xml:space="preserve">.</w:t>
      </w:r>
    </w:p>
    <w:bookmarkEnd w:id="53"/>
    <w:bookmarkStart w:id="55"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54">
        <w:r>
          <w:rPr>
            <w:rStyle w:val="Hyperlink"/>
          </w:rPr>
          <w:t xml:space="preserve">https://doi.org/10.1109/LCOMM.2008.080300</w:t>
        </w:r>
      </w:hyperlink>
      <w:r>
        <w:t xml:space="preserve">.</w:t>
      </w:r>
    </w:p>
    <w:bookmarkEnd w:id="55"/>
    <w:bookmarkStart w:id="57"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56">
        <w:r>
          <w:rPr>
            <w:rStyle w:val="Hyperlink"/>
          </w:rPr>
          <w:t xml:space="preserve">https://doi.org/10.1093/comjnl/bxp118</w:t>
        </w:r>
      </w:hyperlink>
      <w:r>
        <w:t xml:space="preserve">.</w:t>
      </w:r>
    </w:p>
    <w:bookmarkEnd w:id="57"/>
    <w:bookmarkStart w:id="59"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58">
        <w:r>
          <w:rPr>
            <w:rStyle w:val="Hyperlink"/>
          </w:rPr>
          <w:t xml:space="preserve">https://doi.org/10.3390/s22134868</w:t>
        </w:r>
      </w:hyperlink>
      <w:r>
        <w:t xml:space="preserve">.</w:t>
      </w:r>
    </w:p>
    <w:bookmarkEnd w:id="59"/>
    <w:bookmarkStart w:id="61"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60">
        <w:r>
          <w:rPr>
            <w:rStyle w:val="Hyperlink"/>
          </w:rPr>
          <w:t xml:space="preserve">https://doi.org/10.1016/S0378-3774(02)00075-6</w:t>
        </w:r>
      </w:hyperlink>
      <w:r>
        <w:t xml:space="preserve">.</w:t>
      </w:r>
    </w:p>
    <w:bookmarkEnd w:id="61"/>
    <w:bookmarkStart w:id="63"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62">
        <w:r>
          <w:rPr>
            <w:rStyle w:val="Hyperlink"/>
          </w:rPr>
          <w:t xml:space="preserve">https://doi.org/10.3389/frcmn.2025.1587402</w:t>
        </w:r>
      </w:hyperlink>
      <w:r>
        <w:t xml:space="preserve">.</w:t>
      </w:r>
    </w:p>
    <w:bookmarkEnd w:id="63"/>
    <w:bookmarkStart w:id="65"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64">
        <w:r>
          <w:rPr>
            <w:rStyle w:val="Hyperlink"/>
          </w:rPr>
          <w:t xml:space="preserve">https://doi.org/10.1109/MASCOTS.2018.00034</w:t>
        </w:r>
      </w:hyperlink>
      <w:r>
        <w:t xml:space="preserve">.</w:t>
      </w:r>
    </w:p>
    <w:bookmarkEnd w:id="65"/>
    <w:bookmarkStart w:id="67"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66">
        <w:r>
          <w:rPr>
            <w:rStyle w:val="Hyperlink"/>
          </w:rPr>
          <w:t xml:space="preserve">https://doi.org/10.3390/s23146332</w:t>
        </w:r>
      </w:hyperlink>
      <w:r>
        <w:t xml:space="preserve">.</w:t>
      </w:r>
    </w:p>
    <w:bookmarkEnd w:id="67"/>
    <w:bookmarkEnd w:id="68"/>
    <w:bookmarkEnd w:id="69"/>
    <w:bookmarkEnd w:id="70"/>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60" Target="https://doi.org/10.1016/S0378-3774(02)00075-6" TargetMode="External" /><Relationship Type="http://schemas.openxmlformats.org/officeDocument/2006/relationships/hyperlink" Id="rId48" Target="https://doi.org/10.1016/j.agwat.2010.01.025" TargetMode="External" /><Relationship Type="http://schemas.openxmlformats.org/officeDocument/2006/relationships/hyperlink" Id="rId40" Target="https://doi.org/10.1016/j.compag.2020.105441" TargetMode="External" /><Relationship Type="http://schemas.openxmlformats.org/officeDocument/2006/relationships/hyperlink" Id="rId56" Target="https://doi.org/10.1093/comjnl/bxp118" TargetMode="External" /><Relationship Type="http://schemas.openxmlformats.org/officeDocument/2006/relationships/hyperlink" Id="rId54" Target="https://doi.org/10.1109/LCOMM.2008.080300" TargetMode="External" /><Relationship Type="http://schemas.openxmlformats.org/officeDocument/2006/relationships/hyperlink" Id="rId64" Target="https://doi.org/10.1109/MASCOTS.2018.00034" TargetMode="External" /><Relationship Type="http://schemas.openxmlformats.org/officeDocument/2006/relationships/hyperlink" Id="rId42" Target="https://doi.org/10.1109/MCOM.2017.1600613" TargetMode="External" /><Relationship Type="http://schemas.openxmlformats.org/officeDocument/2006/relationships/hyperlink" Id="rId50" Target="https://doi.org/10.1109/TEC.1959.5219515" TargetMode="External" /><Relationship Type="http://schemas.openxmlformats.org/officeDocument/2006/relationships/hyperlink" Id="rId46" Target="https://doi.org/10.1142/2893" TargetMode="External" /><Relationship Type="http://schemas.openxmlformats.org/officeDocument/2006/relationships/hyperlink" Id="rId44" Target="https://doi.org/10.1145/3190508.3190538" TargetMode="External" /><Relationship Type="http://schemas.openxmlformats.org/officeDocument/2006/relationships/hyperlink" Id="rId62" Target="https://doi.org/10.3389/frcmn.2025.1587402" TargetMode="External" /><Relationship Type="http://schemas.openxmlformats.org/officeDocument/2006/relationships/hyperlink" Id="rId52" Target="https://doi.org/10.3390/s18113995" TargetMode="External" /><Relationship Type="http://schemas.openxmlformats.org/officeDocument/2006/relationships/hyperlink" Id="rId58" Target="https://doi.org/10.3390/s22134868" TargetMode="External" /><Relationship Type="http://schemas.openxmlformats.org/officeDocument/2006/relationships/hyperlink" Id="rId66" Target="https://doi.org/10.3390/s23146332"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16/S0378-3774(02)00075-6" TargetMode="External" /><Relationship Type="http://schemas.openxmlformats.org/officeDocument/2006/relationships/hyperlink" Id="rId48" Target="https://doi.org/10.1016/j.agwat.2010.01.025" TargetMode="External" /><Relationship Type="http://schemas.openxmlformats.org/officeDocument/2006/relationships/hyperlink" Id="rId40" Target="https://doi.org/10.1016/j.compag.2020.105441" TargetMode="External" /><Relationship Type="http://schemas.openxmlformats.org/officeDocument/2006/relationships/hyperlink" Id="rId56" Target="https://doi.org/10.1093/comjnl/bxp118" TargetMode="External" /><Relationship Type="http://schemas.openxmlformats.org/officeDocument/2006/relationships/hyperlink" Id="rId54" Target="https://doi.org/10.1109/LCOMM.2008.080300" TargetMode="External" /><Relationship Type="http://schemas.openxmlformats.org/officeDocument/2006/relationships/hyperlink" Id="rId64" Target="https://doi.org/10.1109/MASCOTS.2018.00034" TargetMode="External" /><Relationship Type="http://schemas.openxmlformats.org/officeDocument/2006/relationships/hyperlink" Id="rId42" Target="https://doi.org/10.1109/MCOM.2017.1600613" TargetMode="External" /><Relationship Type="http://schemas.openxmlformats.org/officeDocument/2006/relationships/hyperlink" Id="rId50" Target="https://doi.org/10.1109/TEC.1959.5219515" TargetMode="External" /><Relationship Type="http://schemas.openxmlformats.org/officeDocument/2006/relationships/hyperlink" Id="rId46" Target="https://doi.org/10.1142/2893" TargetMode="External" /><Relationship Type="http://schemas.openxmlformats.org/officeDocument/2006/relationships/hyperlink" Id="rId44" Target="https://doi.org/10.1145/3190508.3190538" TargetMode="External" /><Relationship Type="http://schemas.openxmlformats.org/officeDocument/2006/relationships/hyperlink" Id="rId62" Target="https://doi.org/10.3389/frcmn.2025.1587402" TargetMode="External" /><Relationship Type="http://schemas.openxmlformats.org/officeDocument/2006/relationships/hyperlink" Id="rId52" Target="https://doi.org/10.3390/s18113995" TargetMode="External" /><Relationship Type="http://schemas.openxmlformats.org/officeDocument/2006/relationships/hyperlink" Id="rId58" Target="https://doi.org/10.3390/s22134868" TargetMode="External" /><Relationship Type="http://schemas.openxmlformats.org/officeDocument/2006/relationships/hyperlink" Id="rId66" Target="https://doi.org/10.3390/s231463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2026-08-16T08:47:22Z</dcterms:created>
  <dcterms:modified xsi:type="dcterms:W3CDTF">2026-08-16T08:47:22Z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