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(FE22P049)</w:t>
      </w:r>
      <w:r>
        <w:br/>
      </w:r>
      <w:r>
        <w:t xml:space="preserve">M.Eng. in Telecommunications and Networks</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Associate Professor</w:t>
      </w:r>
    </w:p>
    <w:p>
      <w:pPr>
        <w:pStyle w:val="BodyText"/>
      </w:pPr>
      <w:r>
        <w:rPr>
          <w:bCs/>
          <w:b/>
        </w:rPr>
        <w:t xml:space="preserve">Co-Supervisor</w:t>
      </w:r>
      <w:r>
        <w:br/>
      </w:r>
      <w:r>
        <w:t xml:space="preserve">Elie FUTE TAGNE, PhD</w:t>
      </w:r>
      <w:r>
        <w:br/>
      </w:r>
      <w:r>
        <w:t xml:space="preserve">Associate Professor</w:t>
      </w:r>
    </w:p>
    <w:p>
      <w:pPr>
        <w:pStyle w:val="BodyText"/>
      </w:pPr>
    </w:p>
    <w:p>
      <w:pPr>
        <w:pStyle w:val="BodyText"/>
      </w:pPr>
      <w:r>
        <w:rPr>
          <w:bCs/>
          <w:b/>
        </w:rPr>
        <w:t xml:space="preserve">UNIVERSITY OF BUEA</w:t>
      </w:r>
      <w:r>
        <w:br/>
      </w:r>
      <w:r>
        <w:rPr>
          <w:bCs/>
          <w:b/>
        </w:rPr>
        <w:t xml:space="preserve">FACULTY OF ENGINEERING AND TECHNOLOGY</w:t>
      </w:r>
      <w:r>
        <w:br/>
      </w:r>
      <w:r>
        <w:rPr>
          <w:bCs/>
          <w:b/>
        </w:rPr>
        <w:t xml:space="preserve">DEPARTMENT OF COMPUTER ENGINEERING</w:t>
      </w:r>
    </w:p>
    <w:p>
      <w:pPr>
        <w:pStyle w:val="BodyText"/>
      </w:pPr>
      <w:r>
        <w:t xml:space="preserve"> </w:t>
      </w:r>
      <w:r>
        <w:rPr>
          <w:bCs/>
          <w:b/>
        </w:rPr>
        <w:t xml:space="preserve">A DISTRIBUTED BLOCKCHAIN-BASED APPROACH TO PROTECT IDENTITY,</w:t>
      </w:r>
      <w:r>
        <w:rPr>
          <w:bCs/>
          <w:b/>
        </w:rPr>
        <w:t xml:space="preserve"> </w:t>
      </w:r>
      <w:r>
        <w:rPr>
          <w:bCs/>
          <w:b/>
        </w:rPr>
        <w:t xml:space="preserve">INTEGRITY AND PRIVACY IN AGRICULTURAL DATA PROCESSING</w:t>
      </w:r>
    </w:p>
    <w:p>
      <w:pPr>
        <w:pStyle w:val="BodyText"/>
      </w:pPr>
      <w:r>
        <w:t xml:space="preserve">BY</w:t>
      </w:r>
      <w:r>
        <w:br/>
      </w:r>
      <w:r>
        <w:rPr>
          <w:bCs/>
          <w:b/>
        </w:rPr>
        <w:t xml:space="preserve">FORCHA GLEN BELOA</w:t>
      </w:r>
      <w:r>
        <w:br/>
      </w:r>
      <w:r>
        <w:t xml:space="preserve">(FE22P049)</w:t>
      </w:r>
      <w:r>
        <w:br/>
      </w:r>
      <w:r>
        <w:t xml:space="preserve">M.Eng. in Telecommunications and Networks</w:t>
      </w:r>
    </w:p>
    <w:p>
      <w:pPr>
        <w:pStyle w:val="BodyText"/>
      </w:pPr>
      <w:r>
        <w:t xml:space="preserve"> </w:t>
      </w:r>
      <w:r>
        <w:t xml:space="preserve">A thesis submitted to the Faculty of Engineering and Technology of the</w:t>
      </w:r>
      <w:r>
        <w:br/>
      </w:r>
      <w:r>
        <w:t xml:space="preserve">University of Buea in partial fulfilment of the requirements for the</w:t>
      </w:r>
      <w:r>
        <w:br/>
      </w:r>
      <w:r>
        <w:t xml:space="preserve">degree of Doctor of Philosophy (PhD) in Computer Engineering</w:t>
      </w:r>
    </w:p>
    <w:p>
      <w:pPr>
        <w:pStyle w:val="BodyText"/>
      </w:pPr>
      <w:r>
        <w:rPr>
          <w:bCs/>
          <w:b/>
        </w:rPr>
        <w:t xml:space="preserve">Supervisor</w:t>
      </w:r>
      <w:r>
        <w:br/>
      </w:r>
      <w:r>
        <w:t xml:space="preserve">Michael Ekonde SONE, PhD</w:t>
      </w:r>
      <w:r>
        <w:br/>
      </w:r>
      <w:r>
        <w:t xml:space="preserve">Associate Professor</w:t>
      </w:r>
    </w:p>
    <w:p>
      <w:pPr>
        <w:pStyle w:val="BodyText"/>
      </w:pPr>
      <w:r>
        <w:rPr>
          <w:bCs/>
          <w:b/>
        </w:rPr>
        <w:t xml:space="preserve">Co-Supervisor</w:t>
      </w:r>
      <w:r>
        <w:br/>
      </w:r>
      <w: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r>
        <w:br/>
      </w:r>
      <w:r>
        <w:rPr>
          <w:bCs/>
          <w:b/>
        </w:rPr>
        <w:t xml:space="preserve">FACULTY OF ENGINEERING AND TECHNOLOGY</w:t>
      </w:r>
    </w:p>
    <w:p>
      <w:pPr>
        <w:pStyle w:val="BodyText"/>
      </w:pPr>
      <w:r>
        <w:t xml:space="preserve">This is to certify that the work described in the thesis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p>
    <w:p>
      <w:pPr>
        <w:pStyle w:val="BodyText"/>
      </w:pPr>
      <w:r>
        <w:t xml:space="preserve">By</w:t>
      </w:r>
    </w:p>
    <w:p>
      <w:pPr>
        <w:pStyle w:val="BodyText"/>
      </w:pPr>
      <w:r>
        <w:t xml:space="preserve">Was carried out in the Department of Computer Engineering</w:t>
      </w:r>
    </w:p>
    <w:p>
      <w:pPr>
        <w:pStyle w:val="BodyText"/>
      </w:pPr>
      <w:r>
        <w:t xml:space="preserve">Under the supervision of</w:t>
      </w:r>
    </w:p>
    <w:p>
      <w:pPr>
        <w:pStyle w:val="BodyText"/>
      </w:pPr>
      <w:r>
        <w:br/>
      </w:r>
      <w:r>
        <w:t xml:space="preserve">(Name and Signature of Supervisor)</w:t>
      </w:r>
    </w:p>
    <w:p>
      <w:pPr>
        <w:pStyle w:val="BodyText"/>
      </w:pPr>
      <w:r>
        <w:t xml:space="preserve">Date</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ACID</w:t>
      </w:r>
    </w:p>
    <w:p>
      <w:pPr>
        <w:pStyle w:val="Definition"/>
      </w:pPr>
      <w:r>
        <w:t xml:space="preserve">Atomicity, Consistency, Isolation, Durability</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CFT</w:t>
      </w:r>
    </w:p>
    <w:p>
      <w:pPr>
        <w:pStyle w:val="Definition"/>
      </w:pPr>
      <w:r>
        <w:t xml:space="preserve">Crash Fault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ECDSA</w:t>
      </w:r>
    </w:p>
    <w:p>
      <w:pPr>
        <w:pStyle w:val="Definition"/>
      </w:pPr>
      <w:r>
        <w:t xml:space="preserve">Elliptic Curve Digital Signature Algorithm</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ETSI</w:t>
      </w:r>
    </w:p>
    <w:p>
      <w:pPr>
        <w:pStyle w:val="Definition"/>
      </w:pPr>
      <w:r>
        <w:t xml:space="preserve">European Telecommunications Standards Institute</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LPWAN</w:t>
      </w:r>
    </w:p>
    <w:p>
      <w:pPr>
        <w:pStyle w:val="Definition"/>
      </w:pPr>
      <w:r>
        <w:t xml:space="preserve">Low-Power Wide-Area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RNS</w:t>
      </w:r>
    </w:p>
    <w:p>
      <w:pPr>
        <w:pStyle w:val="Definition"/>
      </w:pPr>
      <w:r>
        <w:t xml:space="preserve">Residue Number System</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WSN</w:t>
      </w:r>
    </w:p>
    <w:p>
      <w:pPr>
        <w:pStyle w:val="Definition"/>
      </w:pPr>
      <w:r>
        <w:t xml:space="preserve">Wireless Sensor Network</w:t>
      </w:r>
    </w:p>
    <w:p>
      <w:pPr>
        <w:pStyle w:val="DefinitionTerm"/>
      </w:pPr>
      <w:r>
        <w:t xml:space="preserve">X.509</w:t>
      </w:r>
    </w:p>
    <w:p>
      <w:pPr>
        <w:pStyle w:val="Definition"/>
      </w:pPr>
      <w:r>
        <w:t xml:space="preserve">ITU-T public-key certificate standard</w:t>
      </w:r>
    </w:p>
    <w:p>
      <w:pPr>
        <w:pStyle w:val="DefinitionTerm"/>
      </w:pPr>
      <w:r>
        <w:t xml:space="preserve">ZKP</w:t>
      </w:r>
    </w:p>
    <w:p>
      <w:pPr>
        <w:pStyle w:val="Definition"/>
      </w:pPr>
      <w:r>
        <w:t xml:space="preserve">Zero-Knowledge Proof</w:t>
      </w:r>
    </w:p>
    <w:bookmarkEnd w:id="27"/>
    <w:bookmarkStart w:id="4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tbl>
      <w:tblPr>
        <w:tblStyle w:val="FigureTable"/>
        <w:tblW w:type="auto" w:w="0"/>
        <w:tblLook w:firstRow="0" w:lastRow="0" w:firstColumn="0" w:lastColumn="0"/>
        <w:jc w:val="center"/>
      </w:tblPr>
      <w:tblGrid/>
      <w:tr/>
    </w:tbl>
    <w:p>
      <w:pPr>
        <w:pStyle w:val="ImageCaption"/>
      </w:pPr>
      <w:r>
        <w:t xml:space="preserve">Lifecycle of an agricultural measurement. A reading becomes a record</w:t>
      </w:r>
      <w:r>
        <w:t xml:space="preserve"> </w:t>
      </w:r>
      <w:r>
        <w:t xml:space="preserve">that is consumed by parties outside the farm, and the value those</w:t>
      </w:r>
      <w:r>
        <w:t xml:space="preserve"> </w:t>
      </w:r>
      <w:r>
        <w:t xml:space="preserve">parties attach to it is what makes falsification worthwhile.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Internet of Things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 has</w:t>
      </w:r>
      <w:r>
        <w:t xml:space="preserve"> </w:t>
      </w:r>
      <w:r>
        <w:t xml:space="preserve">been applied to the throughput problem in permissionless blockchains, where</w:t>
      </w:r>
      <w:r>
        <w:t xml:space="preserve"> </w:t>
      </w:r>
      <w:r>
        <w:t xml:space="preserve">splitting work across residue classes permits parallel processing of operations</w:t>
      </w:r>
      <w:r>
        <w:t xml:space="preserve"> </w:t>
      </w:r>
      <w:r>
        <w:t xml:space="preserve">that would otherwise serialise. That line of work establishes the arithmetic and</w:t>
      </w:r>
      <w:r>
        <w:t xml:space="preserve"> </w:t>
      </w:r>
      <w:r>
        <w:t xml:space="preserve">the parallelisation argument; what it does not address is the constrained radio</w:t>
      </w:r>
      <w:r>
        <w:t xml:space="preserve"> </w:t>
      </w:r>
      <w:r>
        <w:t xml:space="preserve">link, where the payoff is airtime rather than processor cycles, nor the identity</w:t>
      </w:r>
      <w:r>
        <w:t xml:space="preserve"> </w:t>
      </w:r>
      <w:r>
        <w:t xml:space="preserve">and confidentiality questions that arise when the residues cross a shared</w:t>
      </w:r>
      <w:r>
        <w:t xml:space="preserve"> </w:t>
      </w:r>
      <w:r>
        <w:t xml:space="preserve">medium. This thesis takes the arithmetic as established and asks what it is</w:t>
      </w:r>
      <w:r>
        <w:t xml:space="preserve"> </w:t>
      </w:r>
      <w:r>
        <w:t xml:space="preserve">worth on the edge of the network rather than at its centre.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2018a;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Agricultural data processing systems are currently forced into a choice between</w:t>
      </w:r>
      <w:r>
        <w:t xml:space="preserve"> </w:t>
      </w:r>
      <w:r>
        <w:t xml:space="preserve">three properties that ought to hold simultaneously.</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Figure </w:t>
      </w:r>
      <w:hyperlink w:anchor="fig:three-properties">
        <w:r>
          <w:rPr>
            <w:rStyle w:val="Hyperlink"/>
          </w:rPr>
          <w:t xml:space="preserve">1.2</w:t>
        </w:r>
      </w:hyperlink>
      <w:r>
        <w:t xml:space="preserve"> </w:t>
      </w:r>
      <w:r>
        <w:t xml:space="preserve">places the three shortfalls together. They are</w:t>
      </w:r>
      <w:r>
        <w:t xml:space="preserve"> </w:t>
      </w:r>
      <w:r>
        <w:t xml:space="preserve">not independent faults to be repaired one at a time; each is a consequence of</w:t>
      </w:r>
      <w:r>
        <w:t xml:space="preserve"> </w:t>
      </w:r>
      <w:r>
        <w:t xml:space="preserve">the same scarcity, and a remedy applied to one is paid for out of the budget</w:t>
      </w:r>
      <w:r>
        <w:t xml:space="preserve"> </w:t>
      </w:r>
      <w:r>
        <w:t xml:space="preserve">available to the others.</w:t>
      </w:r>
    </w:p>
    <w:tbl>
      <w:tblPr>
        <w:tblStyle w:val="FigureTable"/>
        <w:tblW w:type="auto" w:w="0"/>
        <w:tblLook w:firstRow="0" w:lastRow="0" w:firstColumn="0" w:lastColumn="0"/>
        <w:jc w:val="center"/>
      </w:tblPr>
      <w:tblGrid/>
      <w:tr/>
    </w:tbl>
    <w:p>
      <w:pPr>
        <w:pStyle w:val="ImageCaption"/>
      </w:pPr>
      <w:r>
        <w:t xml:space="preserve">The three protection properties and the shortfall in each. Because</w:t>
      </w:r>
      <w:r>
        <w:t xml:space="preserve"> </w:t>
      </w:r>
      <w:r>
        <w:t xml:space="preserve">all three draw on a single constrained budget, they form one design</w:t>
      </w:r>
      <w:r>
        <w:t xml:space="preserve"> </w:t>
      </w:r>
      <w:r>
        <w:t xml:space="preserve">problem rather than three independent ones.</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The problem this thesis addresses is therefore the following: how can identity,</w:t>
      </w:r>
      <w:r>
        <w:t xml:space="preserve"> </w:t>
      </w:r>
      <w:r>
        <w:t xml:space="preserve">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rationale rests on an observation about where the budget comes from.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There is also a structural reason to expect the combination to work.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 work is further motivated by an evidential gap. Claims about edge blockchain</w:t>
      </w:r>
      <w:r>
        <w:t xml:space="preserve"> </w:t>
      </w:r>
      <w:r>
        <w:t xml:space="preserve">feasibility are 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Finally, the applied case is direct. Smallholder and arid-region agriculture is</w:t>
      </w:r>
      <w:r>
        <w:t xml:space="preserve"> </w:t>
      </w:r>
      <w:r>
        <w:t xml:space="preserve">where 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End w:id="40"/>
    <w:bookmarkStart w:id="57" w:name="ch:literature"/>
    <w:p>
      <w:pPr>
        <w:pStyle w:val="Heading1"/>
      </w:pPr>
      <w:r>
        <w:rPr>
          <w:rStyle w:val="SectionNumber"/>
        </w:rPr>
        <w:t xml:space="preserve">2</w:t>
      </w:r>
      <w:r>
        <w:tab/>
      </w:r>
      <w:r>
        <w:t xml:space="preserve">Review of the Literature</w:t>
      </w:r>
    </w:p>
    <w:bookmarkStart w:id="41" w:name="sec:lit_history"/>
    <w:p>
      <w:pPr>
        <w:pStyle w:val="Heading2"/>
      </w:pPr>
      <w:r>
        <w:rPr>
          <w:rStyle w:val="SectionNumber"/>
        </w:rPr>
        <w:t xml:space="preserve">2.1</w:t>
      </w:r>
      <w:r>
        <w:tab/>
      </w:r>
      <w:r>
        <w:t xml:space="preserve">Historical Overview of the Theory and Research Literature</w:t>
      </w:r>
    </w:p>
    <w:p>
      <w:pPr>
        <w:pStyle w:val="FirstParagraph"/>
      </w:pPr>
      <w:r>
        <w:t xml:space="preserve">Three lines of research, developed largely apart from one another, converge on</w:t>
      </w:r>
      <w:r>
        <w:t xml:space="preserve"> </w:t>
      </w:r>
      <w:r>
        <w:t xml:space="preserve">the problem this thesis addresses.</w:t>
      </w:r>
    </w:p>
    <w:p>
      <w:pPr>
        <w:pStyle w:val="BodyText"/>
      </w:pPr>
      <w:r>
        <w:t xml:space="preserve">The first is the instrumentation of agriculture itself. Wireless sensor</w:t>
      </w:r>
      <w:r>
        <w:t xml:space="preserve"> </w:t>
      </w:r>
      <w:r>
        <w:t xml:space="preserve">networks for environmental monitoring emerged in the early 2000s as a</w:t>
      </w:r>
      <w:r>
        <w:t xml:space="preserve"> </w:t>
      </w:r>
      <w:r>
        <w:t xml:space="preserve">low-cost alternative to wired instrumentation, with early deployments</w:t>
      </w:r>
      <w:r>
        <w:t xml:space="preserve"> </w:t>
      </w:r>
      <w:r>
        <w:t xml:space="preserve">demonstrating that battery-powered nodes could report soil and microclimate</w:t>
      </w:r>
      <w:r>
        <w:t xml:space="preserve"> </w:t>
      </w:r>
      <w:r>
        <w:t xml:space="preserve">variables over months without maintenance </w:t>
      </w:r>
      <w:r>
        <w:t xml:space="preserve">(N. Wang, Zhang, and Wang 2006; Pierce and Nowak 1999)</w:t>
      </w:r>
      <w:r>
        <w:t xml:space="preserve">. Soil-moisture networks matured through the 2000s and 2010s</w:t>
      </w:r>
      <w:r>
        <w:t xml:space="preserve"> </w:t>
      </w:r>
      <w:r>
        <w:t xml:space="preserve">into standard tools for irrigation scheduling </w:t>
      </w:r>
      <w:r>
        <w:t xml:space="preserve">(Bogena et al. 2010; Evans, Iversen, and Kim 2008)</w:t>
      </w:r>
      <w:r>
        <w:t xml:space="preserve">, and the arrival of Low-Power Wide-Area Network (LPWAN) radios after 2015</w:t>
      </w:r>
      <w:r>
        <w:t xml:space="preserve"> </w:t>
      </w:r>
      <w:r>
        <w:t xml:space="preserve">extended the useful range of such networks from tens of metres to several</w:t>
      </w:r>
      <w:r>
        <w:t xml:space="preserve"> </w:t>
      </w:r>
      <w:r>
        <w:t xml:space="preserve">kilometres, at the cost of a severely constrained airtime</w:t>
      </w:r>
      <w:r>
        <w:t xml:space="preserve"> </w:t>
      </w:r>
      <w:r>
        <w:t xml:space="preserve">budget </w:t>
      </w:r>
      <w:r>
        <w:t xml:space="preserve">(Adelantado et al. 2017; Raj and Prasad 2017)</w:t>
      </w:r>
      <w:r>
        <w:t xml:space="preserve">. Precision</w:t>
      </w:r>
      <w:r>
        <w:t xml:space="preserve"> </w:t>
      </w:r>
      <w:r>
        <w:t xml:space="preserve">agriculture as a discipline absorbed this instrumentation gradually, and by</w:t>
      </w:r>
      <w:r>
        <w:t xml:space="preserve"> </w:t>
      </w:r>
      <w:r>
        <w:t xml:space="preserve">the early 2020s the technical barrier to dense sensing had largely fallen,</w:t>
      </w:r>
      <w:r>
        <w:t xml:space="preserve"> </w:t>
      </w:r>
      <w:r>
        <w:t xml:space="preserve">while the barrier to trustworthy, verifiable use of the resulting data had</w:t>
      </w:r>
      <w:r>
        <w:t xml:space="preserve"> </w:t>
      </w:r>
      <w:r>
        <w:t xml:space="preserve">not </w:t>
      </w:r>
      <w:r>
        <w:t xml:space="preserve">(McBratney, Whelan, and Ancev 2005; Aydin and Hall 2021)</w:t>
      </w:r>
      <w:r>
        <w:t xml:space="preserve">.</w:t>
      </w:r>
    </w:p>
    <w:p>
      <w:pPr>
        <w:pStyle w:val="BodyText"/>
      </w:pPr>
      <w:r>
        <w:t xml:space="preserve">The second lineage is arithmetic rather than agricultural. The Chinese</w:t>
      </w:r>
      <w:r>
        <w:t xml:space="preserve"> </w:t>
      </w:r>
      <w:r>
        <w:t xml:space="preserve">Remainder Theorem states a result on simultaneous congruences known in</w:t>
      </w:r>
      <w:r>
        <w:t xml:space="preserve"> </w:t>
      </w:r>
      <w:r>
        <w:t xml:space="preserve">essentially its modern form since antiquity, formalised for modern</w:t>
      </w:r>
      <w:r>
        <w:t xml:space="preserve"> </w:t>
      </w:r>
      <w:r>
        <w:t xml:space="preserve">computation by Garner’s constructive reconstruction</w:t>
      </w:r>
      <w:r>
        <w:t xml:space="preserve"> </w:t>
      </w:r>
      <w:r>
        <w:t xml:space="preserve">procedure </w:t>
      </w:r>
      <w:r>
        <w:t xml:space="preserve">(Garner 1959)</w:t>
      </w:r>
      <w:r>
        <w:t xml:space="preserve"> </w:t>
      </w:r>
      <w:r>
        <w:t xml:space="preserve">and developed since as the mathematical</w:t>
      </w:r>
      <w:r>
        <w:t xml:space="preserve"> </w:t>
      </w:r>
      <w:r>
        <w:t xml:space="preserve">basis of residue number systems for fast, parallel, fault-tolerant</w:t>
      </w:r>
      <w:r>
        <w:t xml:space="preserve"> </w:t>
      </w:r>
      <w:r>
        <w:t xml:space="preserve">arithmetic </w:t>
      </w:r>
      <w:r>
        <w:t xml:space="preserve">(Ding, Pei, and Salomaa 1996; Parhami 2010)</w:t>
      </w:r>
      <w:r>
        <w:t xml:space="preserve">. That literature</w:t>
      </w:r>
      <w:r>
        <w:t xml:space="preserve"> </w:t>
      </w:r>
      <w:r>
        <w:t xml:space="preserve">has run for decades inside computer arithmetic and cryptography, largely</w:t>
      </w:r>
      <w:r>
        <w:t xml:space="preserve"> </w:t>
      </w:r>
      <w:r>
        <w:t xml:space="preserve">untouched by networking or agriculture, its natural home being hardware</w:t>
      </w:r>
      <w:r>
        <w:t xml:space="preserve"> </w:t>
      </w:r>
      <w:r>
        <w:t xml:space="preserve">multipliers, error-correcting codes and, more recently, the parallel</w:t>
      </w:r>
      <w:r>
        <w:t xml:space="preserve"> </w:t>
      </w:r>
      <w:r>
        <w:t xml:space="preserve">verification of cryptographic</w:t>
      </w:r>
      <w:r>
        <w:t xml:space="preserve"> </w:t>
      </w:r>
      <w:r>
        <w:t xml:space="preserve">signatures </w:t>
      </w:r>
      <w:r>
        <w:t xml:space="preserve">(Knuth 1997; Hardy et al. 2008; Shoup 2009)</w:t>
      </w:r>
      <w:r>
        <w:t xml:space="preserve">.</w:t>
      </w:r>
    </w:p>
    <w:p>
      <w:pPr>
        <w:pStyle w:val="BodyText"/>
      </w:pPr>
      <w:r>
        <w:t xml:space="preserve">The third lineage is distributed ledgers. Blockchain moved from a</w:t>
      </w:r>
      <w:r>
        <w:t xml:space="preserve"> </w:t>
      </w:r>
      <w:r>
        <w:t xml:space="preserve">cryptocurrency mechanism to a general tamper-evident data structure once</w:t>
      </w:r>
      <w:r>
        <w:t xml:space="preserve"> </w:t>
      </w:r>
      <w:r>
        <w:t xml:space="preserve">enterprises recognised that a hash-linked, replicated log could substitute</w:t>
      </w:r>
      <w:r>
        <w:t xml:space="preserve"> </w:t>
      </w:r>
      <w:r>
        <w:t xml:space="preserve">for a trusted central database among mutually</w:t>
      </w:r>
      <w:r>
        <w:t xml:space="preserve"> </w:t>
      </w:r>
      <w:r>
        <w:t xml:space="preserve">distrusting parties </w:t>
      </w:r>
      <w:r>
        <w:t xml:space="preserve">(Christidis and Devetsikiotis 2016; Gubbi et al. 2013)</w:t>
      </w:r>
      <w:r>
        <w:t xml:space="preserve">.</w:t>
      </w:r>
      <w:r>
        <w:t xml:space="preserve"> </w:t>
      </w:r>
      <w:r>
        <w:t xml:space="preserve">Permissioned platforms such as Hyperledger Fabric formalised that idea for</w:t>
      </w:r>
      <w:r>
        <w:t xml:space="preserve"> </w:t>
      </w:r>
      <w:r>
        <w:t xml:space="preserve">consortium settings, adding an identity layer through a</w:t>
      </w:r>
      <w:r>
        <w:t xml:space="preserve"> </w:t>
      </w:r>
      <w:r>
        <w:t xml:space="preserve">MSP </w:t>
      </w:r>
      <w:r>
        <w:t xml:space="preserve">(Androulaki et al. 2018a; Hyperledger Fabric Documentation 2022)</w:t>
      </w:r>
      <w:r>
        <w:t xml:space="preserve">, and agricultural</w:t>
      </w:r>
      <w:r>
        <w:t xml:space="preserve"> </w:t>
      </w:r>
      <w:r>
        <w:t xml:space="preserve">supply chains were an early, natural application because certification and</w:t>
      </w:r>
      <w:r>
        <w:t xml:space="preserve"> </w:t>
      </w:r>
      <w:r>
        <w:t xml:space="preserve">provenance are exactly the tamper-evidence problem the ledger</w:t>
      </w:r>
      <w:r>
        <w:t xml:space="preserve"> </w:t>
      </w:r>
      <w:r>
        <w:t xml:space="preserve">solves </w:t>
      </w:r>
      <w:r>
        <w:t xml:space="preserve">(F. Tian 2016; X. Xu et al. 2016; Salah et al. 2019a)</w:t>
      </w:r>
      <w:r>
        <w:t xml:space="preserve">.</w:t>
      </w:r>
    </w:p>
    <w:p>
      <w:pPr>
        <w:pStyle w:val="BodyText"/>
      </w:pPr>
      <w:r>
        <w:t xml:space="preserve">Figure </w:t>
      </w:r>
      <w:hyperlink w:anchor="fig:lit-timeline">
        <w:r>
          <w:rPr>
            <w:rStyle w:val="Hyperlink"/>
          </w:rPr>
          <w:t xml:space="preserve">2.1</w:t>
        </w:r>
      </w:hyperlink>
      <w:r>
        <w:t xml:space="preserve"> </w:t>
      </w:r>
      <w:r>
        <w:t xml:space="preserve">places these three lineages on one timeline.</w:t>
      </w:r>
      <w:r>
        <w:t xml:space="preserve"> </w:t>
      </w:r>
      <w:r>
        <w:t xml:space="preserve">They do not meet until the last five years, and even where they meet, as</w:t>
      </w:r>
      <w:r>
        <w:t xml:space="preserve"> </w:t>
      </w:r>
      <w:r>
        <w:t xml:space="preserve">Section </w:t>
      </w:r>
      <w:hyperlink w:anchor="sec:lit_specific">
        <w:r>
          <w:rPr>
            <w:rStyle w:val="Hyperlink"/>
          </w:rPr>
          <w:t xml:space="preserve">2.2</w:t>
        </w:r>
      </w:hyperlink>
      <w:r>
        <w:t xml:space="preserve"> </w:t>
      </w:r>
      <w:r>
        <w:t xml:space="preserve">shows, they meet pairwise rather than as a</w:t>
      </w:r>
      <w:r>
        <w:t xml:space="preserve"> </w:t>
      </w:r>
      <w:r>
        <w:t xml:space="preserve">single design.</w:t>
      </w:r>
    </w:p>
    <w:tbl>
      <w:tblPr>
        <w:tblStyle w:val="FigureTable"/>
        <w:tblW w:type="auto" w:w="0"/>
        <w:tblLook w:firstRow="0" w:lastRow="0" w:firstColumn="0" w:lastColumn="0"/>
        <w:jc w:val="center"/>
      </w:tblPr>
      <w:tblGrid/>
      <w:tr/>
    </w:tbl>
    <w:p>
      <w:pPr>
        <w:pStyle w:val="ImageCaption"/>
      </w:pPr>
      <w:r>
        <w:t xml:space="preserve">Three lineages of literature underlying this thesis: agricultural</w:t>
      </w:r>
      <w:r>
        <w:t xml:space="preserve"> </w:t>
      </w:r>
      <w:r>
        <w:t xml:space="preserve">sensing, residue arithmetic, and distributed ledgers. Each</w:t>
      </w:r>
      <w:r>
        <w:t xml:space="preserve"> </w:t>
      </w:r>
      <w:r>
        <w:t xml:space="preserve">developed largely independently for decades before beginning to</w:t>
      </w:r>
      <w:r>
        <w:t xml:space="preserve"> </w:t>
      </w:r>
      <w:r>
        <w:t xml:space="preserve">intersect in the 2020s.</w:t>
      </w:r>
    </w:p>
    <w:bookmarkEnd w:id="41"/>
    <w:bookmarkStart w:id="51" w:name="sec:lit_specific"/>
    <w:p>
      <w:pPr>
        <w:pStyle w:val="Heading2"/>
      </w:pPr>
      <w:r>
        <w:rPr>
          <w:rStyle w:val="SectionNumber"/>
        </w:rPr>
        <w:t xml:space="preserve">2.2</w:t>
      </w:r>
      <w:r>
        <w:tab/>
      </w:r>
      <w:r>
        <w:t xml:space="preserve">The Theory and Research Literature Specific to the Topic</w:t>
      </w:r>
    </w:p>
    <w:bookmarkStart w:id="42" w:name="subsec:lit_precision_ag"/>
    <w:p>
      <w:pPr>
        <w:pStyle w:val="Heading3"/>
      </w:pPr>
      <w:r>
        <w:rPr>
          <w:rStyle w:val="SectionNumber"/>
        </w:rPr>
        <w:t xml:space="preserve">2.2.1</w:t>
      </w:r>
      <w:r>
        <w:tab/>
      </w:r>
      <w:r>
        <w:t xml:space="preserve">Precision Agriculture and Internet of Things Sensing</w:t>
      </w:r>
    </w:p>
    <w:p>
      <w:pPr>
        <w:pStyle w:val="FirstParagraph"/>
      </w:pPr>
      <w:r>
        <w:t xml:space="preserve">Precision agriculture research has consistently found that sensing density</w:t>
      </w:r>
      <w:r>
        <w:t xml:space="preserve"> </w:t>
      </w:r>
      <w:r>
        <w:t xml:space="preserve">and irrigation efficiency move together. IoT soil and canopy sensing</w:t>
      </w:r>
      <w:r>
        <w:t xml:space="preserve"> </w:t>
      </w:r>
      <w:r>
        <w:t xml:space="preserve">networks demonstrated early that automated, sensor-driven scheduling</w:t>
      </w:r>
      <w:r>
        <w:t xml:space="preserve"> </w:t>
      </w:r>
      <w:r>
        <w:t xml:space="preserve">outperforms calendar-based irrigation on both water use and</w:t>
      </w:r>
      <w:r>
        <w:t xml:space="preserve"> </w:t>
      </w:r>
      <w:r>
        <w:t xml:space="preserve">yield </w:t>
      </w:r>
      <w:r>
        <w:t xml:space="preserve">(Rathi and Gomathy 2025; Pereira, Oweis, and Zairi 2002; Verdouw et al. 2021; Gondchawar and Kawitkar 2016)</w:t>
      </w:r>
      <w:r>
        <w:t xml:space="preserve">, a finding replicated across arid and</w:t>
      </w:r>
      <w:r>
        <w:t xml:space="preserve"> </w:t>
      </w:r>
      <w:r>
        <w:t xml:space="preserve">semi-arid contexts where the water-saving incentive is</w:t>
      </w:r>
      <w:r>
        <w:t xml:space="preserve"> </w:t>
      </w:r>
      <w:r>
        <w:t xml:space="preserve">largest </w:t>
      </w:r>
      <w:r>
        <w:t xml:space="preserve">(Abioye et al. 2020; Dono, Giraldo, and Severini 2010; Iglesias and Garrote 2015)</w:t>
      </w:r>
      <w:r>
        <w:t xml:space="preserve">. Reviews of the field converge on the same three</w:t>
      </w:r>
      <w:r>
        <w:t xml:space="preserve"> </w:t>
      </w:r>
      <w:r>
        <w:t xml:space="preserve">limitations. First, decision-support integration remains</w:t>
      </w:r>
      <w:r>
        <w:t xml:space="preserve"> </w:t>
      </w:r>
      <w:r>
        <w:t xml:space="preserve">fragmented: sensor data reaches a dashboard but rarely a closed-loop</w:t>
      </w:r>
      <w:r>
        <w:t xml:space="preserve"> </w:t>
      </w:r>
      <w:r>
        <w:t xml:space="preserve">controller with an auditable</w:t>
      </w:r>
      <w:r>
        <w:t xml:space="preserve"> </w:t>
      </w:r>
      <w:r>
        <w:t xml:space="preserve">rationale </w:t>
      </w:r>
      <w:r>
        <w:t xml:space="preserve">(Aydin and Hall 2021; N. Zhang, Wang, and Wang 2002; Gebbers and Adamchuk 2010; McBratney, Whelan, and Ancev 2005)</w:t>
      </w:r>
      <w:r>
        <w:t xml:space="preserve">. Second, most systems evaluate</w:t>
      </w:r>
      <w:r>
        <w:t xml:space="preserve"> </w:t>
      </w:r>
      <w:r>
        <w:t xml:space="preserve">the analytics rather than the network that feeds them, so machine-learning</w:t>
      </w:r>
      <w:r>
        <w:t xml:space="preserve"> </w:t>
      </w:r>
      <w:r>
        <w:t xml:space="preserve">yield and stress models are reported against clean, simulated input streams</w:t>
      </w:r>
      <w:r>
        <w:t xml:space="preserve"> </w:t>
      </w:r>
      <w:r>
        <w:t xml:space="preserve">rather than the loss and jitter that a field deployment actually</w:t>
      </w:r>
      <w:r>
        <w:t xml:space="preserve"> </w:t>
      </w:r>
      <w:r>
        <w:t xml:space="preserve">produces </w:t>
      </w:r>
      <w:r>
        <w:t xml:space="preserve">(Chlingaryan, Sukkarieh, and Whelan 2018; Goap et al. 2018a; Mohanty, Hughes, and Salathé 2016; Van Klompenburg, Kassahun, and Catal 2020)</w:t>
      </w:r>
      <w:r>
        <w:t xml:space="preserve">. Third, sensing accuracy in the field degrades in ways a</w:t>
      </w:r>
      <w:r>
        <w:t xml:space="preserve"> </w:t>
      </w:r>
      <w:r>
        <w:t xml:space="preserve">laboratory calibration does not capture, drift, fouling and intermittent</w:t>
      </w:r>
      <w:r>
        <w:t xml:space="preserve"> </w:t>
      </w:r>
      <w:r>
        <w:t xml:space="preserve">failure among them, and few studies report the resulting error</w:t>
      </w:r>
      <w:r>
        <w:t xml:space="preserve"> </w:t>
      </w:r>
      <w:r>
        <w:t xml:space="preserve">budget </w:t>
      </w:r>
      <w:r>
        <w:t xml:space="preserve">(Vaz et al. 2013; Molina-Cuevas, Quijano-Velasco, and Guerrero-González 2021; Botta et al. 2016; Hang and Kim 2019)</w:t>
      </w:r>
      <w:r>
        <w:t xml:space="preserve">. Later generations of this</w:t>
      </w:r>
      <w:r>
        <w:t xml:space="preserve"> </w:t>
      </w:r>
      <w:r>
        <w:t xml:space="preserve">literature push toward higher automation, describing four- and</w:t>
      </w:r>
      <w:r>
        <w:t xml:space="preserve"> </w:t>
      </w:r>
      <w:r>
        <w:t xml:space="preserve">five-generation smart-farming stacks that assume the identity and integrity</w:t>
      </w:r>
      <w:r>
        <w:t xml:space="preserve"> </w:t>
      </w:r>
      <w:r>
        <w:t xml:space="preserve">of every reading rather than establishing</w:t>
      </w:r>
      <w:r>
        <w:t xml:space="preserve"> </w:t>
      </w:r>
      <w:r>
        <w:t xml:space="preserve">it </w:t>
      </w:r>
      <w:r>
        <w:t xml:space="preserve">(Jagan Mohan, Rayanoothala, and Praneetha Sree 2026; Xiaoding Wang et al. 2025; Tzounis et al. 2017; García et al. 2020; Jin, Du, and Jin 2025b)</w:t>
      </w:r>
      <w:r>
        <w:t xml:space="preserve">. That assumption is exactly</w:t>
      </w:r>
      <w:r>
        <w:t xml:space="preserve"> </w:t>
      </w:r>
      <w:r>
        <w:t xml:space="preserve">the gap Section </w:t>
      </w:r>
      <w:hyperlink w:anchor="subsec:lit_blockchain_ag">
        <w:r>
          <w:rPr>
            <w:rStyle w:val="Hyperlink"/>
          </w:rPr>
          <w:t xml:space="preserve">2.2.4</w:t>
        </w:r>
      </w:hyperlink>
      <w:r>
        <w:t xml:space="preserve"> </w:t>
      </w:r>
      <w:r>
        <w:t xml:space="preserve">returns to.</w:t>
      </w:r>
    </w:p>
    <w:bookmarkEnd w:id="42"/>
    <w:bookmarkStart w:id="44" w:name="subsec:lit_lpwan"/>
    <w:p>
      <w:pPr>
        <w:pStyle w:val="Heading3"/>
      </w:pPr>
      <w:r>
        <w:rPr>
          <w:rStyle w:val="SectionNumber"/>
        </w:rPr>
        <w:t xml:space="preserve">2.2.2</w:t>
      </w:r>
      <w:r>
        <w:tab/>
      </w:r>
      <w:r>
        <w:t xml:space="preserve">Low-Power Wide-Area Network Transmission Optimisation and Energy</w:t>
      </w:r>
      <w:r>
        <w:t xml:space="preserve"> </w:t>
      </w:r>
      <w:r>
        <w:t xml:space="preserve">Modelling</w:t>
      </w:r>
    </w:p>
    <w:p>
      <w:pPr>
        <w:pStyle w:val="FirstParagraph"/>
      </w:pPr>
      <w:r>
        <w:t xml:space="preserve">LoRa is the dominant physical layer in this literature because it</w:t>
      </w:r>
      <w:r>
        <w:t xml:space="preserve"> </w:t>
      </w:r>
      <w:r>
        <w:t xml:space="preserve">reaches farm-scale distances, of the order of kilometres in rural terrain,</w:t>
      </w:r>
      <w:r>
        <w:t xml:space="preserve"> </w:t>
      </w:r>
      <w:r>
        <w:t xml:space="preserve">from a battery node at sub-milliwatt receive</w:t>
      </w:r>
      <w:r>
        <w:t xml:space="preserve"> </w:t>
      </w:r>
      <w:r>
        <w:t xml:space="preserve">power </w:t>
      </w:r>
      <w:r>
        <w:t xml:space="preserve">(Haxhibeqiri et al. 2018; Li et al. 2020; Raj and Prasad 2017)</w:t>
      </w:r>
      <w:r>
        <w:t xml:space="preserve">. The</w:t>
      </w:r>
      <w:r>
        <w:t xml:space="preserve"> </w:t>
      </w:r>
      <w:r>
        <w:t xml:space="preserve">cost is airtime. The Semtech chirp spread-spectrum design fixes the time to</w:t>
      </w:r>
      <w:r>
        <w:t xml:space="preserve"> </w:t>
      </w:r>
      <w:r>
        <w:t xml:space="preserve">transmit a payload of</w:t>
      </w:r>
      <w:r>
        <w:t xml:space="preserve"> </w:t>
      </w:r>
      <m:oMath>
        <m:r>
          <m:t>P</m:t>
        </m:r>
        <m:r>
          <m:t>L</m:t>
        </m:r>
      </m:oMath>
      <w:r>
        <w:t xml:space="preserve"> </w:t>
      </w:r>
      <w:r>
        <w:t xml:space="preserve">bytes as a function of spreading factor</w:t>
      </w:r>
      <w:r>
        <w:t xml:space="preserve"> </w:t>
      </w:r>
      <m:oMath>
        <m:r>
          <m:rPr>
            <m:sty m:val="p"/>
          </m:rPr>
          <m:t>S</m:t>
        </m:r>
        <m:r>
          <m:rPr>
            <m:sty m:val="p"/>
          </m:rPr>
          <m:t>F</m:t>
        </m:r>
      </m:oMath>
      <w:r>
        <w:t xml:space="preserve">,</w:t>
      </w:r>
      <w:r>
        <w:t xml:space="preserve"> </w:t>
      </w:r>
      <w:r>
        <w:t xml:space="preserve">bandwidth</w:t>
      </w:r>
      <w:r>
        <w:t xml:space="preserve"> </w:t>
      </w:r>
      <m:oMath>
        <m:r>
          <m:rPr>
            <m:sty m:val="p"/>
          </m:rPr>
          <m:t>B</m:t>
        </m:r>
        <m:r>
          <m:rPr>
            <m:sty m:val="p"/>
          </m:rPr>
          <m:t>W</m:t>
        </m:r>
      </m:oMath>
      <w:r>
        <w:t xml:space="preserve">, coding rate</w:t>
      </w:r>
      <w:r>
        <w:t xml:space="preserve"> </w:t>
      </w:r>
      <m:oMath>
        <m:r>
          <m:rPr>
            <m:sty m:val="p"/>
          </m:rPr>
          <m:t>C</m:t>
        </m:r>
        <m:r>
          <m:rPr>
            <m:sty m:val="p"/>
          </m:rPr>
          <m:t>R</m:t>
        </m:r>
      </m:oMath>
      <w:r>
        <w:t xml:space="preserve"> </w:t>
      </w:r>
      <w:r>
        <w:t xml:space="preserve">and the low-data-rate</w:t>
      </w:r>
      <w:r>
        <w:t xml:space="preserve"> </w:t>
      </w:r>
      <w:r>
        <w:t xml:space="preserve">optimisation flag</w:t>
      </w:r>
      <w:r>
        <w:t xml:space="preserve"> </w:t>
      </w:r>
      <m:oMath>
        <m:r>
          <m:rPr>
            <m:sty m:val="p"/>
          </m:rPr>
          <m:t>D</m:t>
        </m:r>
        <m:r>
          <m:rPr>
            <m:sty m:val="p"/>
          </m:rPr>
          <m:t>E</m:t>
        </m:r>
      </m:oMath>
      <w:r>
        <w:t xml:space="preserve"> </w:t>
      </w:r>
      <w:r>
        <w:t xml:space="preserve">(Semtech Corporation 2015; Bor et al. 2016)</w:t>
      </w:r>
      <w:r>
        <w:t xml:space="preserve">.</w:t>
      </w:r>
      <w:r>
        <w:t xml:space="preserve"> </w:t>
      </w:r>
      <w:r>
        <w:t xml:space="preserve">The symbol period is</w:t>
      </w:r>
    </w:p>
    <w:p>
      <w:pPr>
        <w:pStyle w:val="BodyText"/>
      </w:pPr>
      <m:oMathPara>
        <m:oMathParaPr>
          <m:jc m:val="center"/>
        </m:oMathParaPr>
        <m:oMath>
          <m:sSub>
            <m:e>
              <m:r>
                <m:t>T</m:t>
              </m:r>
            </m:e>
            <m:sub>
              <m:r>
                <m:rPr>
                  <m:nor/>
                  <m:sty m:val="p"/>
                </m:rPr>
                <m:t>sym</m:t>
              </m:r>
            </m:sub>
          </m:sSub>
          <m:r>
            <m:rPr>
              <m:sty m:val="p"/>
            </m:rPr>
            <m:t>=</m:t>
          </m:r>
          <m:f>
            <m:fPr>
              <m:type m:val="bar"/>
            </m:fPr>
            <m:num>
              <m:sSup>
                <m:e>
                  <m:r>
                    <m:t>2</m:t>
                  </m:r>
                </m:e>
                <m:sup>
                  <m:r>
                    <m:rPr>
                      <m:sty m:val="p"/>
                    </m:rPr>
                    <m:t>S</m:t>
                  </m:r>
                  <m:r>
                    <m:rPr>
                      <m:sty m:val="p"/>
                    </m:rPr>
                    <m:t>F</m:t>
                  </m:r>
                </m:sup>
              </m:sSup>
            </m:num>
            <m:den>
              <m:r>
                <m:rPr>
                  <m:sty m:val="p"/>
                </m:rPr>
                <m:t>B</m:t>
              </m:r>
              <m:r>
                <m:rPr>
                  <m:sty m:val="p"/>
                </m:rPr>
                <m:t>W</m:t>
              </m:r>
            </m:den>
          </m:f>
          <m:r>
            <m:rPr>
              <m:sty m:val="p"/>
            </m:rPr>
            <m:t>,</m:t>
          </m:r>
        </m:oMath>
      </m:oMathPara>
    </w:p>
    <w:p>
      <w:pPr>
        <w:pStyle w:val="FirstParagraph"/>
      </w:pPr>
      <w:r>
        <w:t xml:space="preserve">the payload requires</w:t>
      </w:r>
    </w:p>
    <w:p>
      <w:pPr>
        <w:pStyle w:val="BodyText"/>
      </w:pPr>
      <m:oMathPara>
        <m:oMathParaPr>
          <m:jc m:val="center"/>
        </m:oMathParaPr>
        <m:oMath>
          <m:sSub>
            <m:e>
              <m:r>
                <m:t>n</m:t>
              </m:r>
            </m:e>
            <m:sub>
              <m:r>
                <m:rPr>
                  <m:nor/>
                  <m:sty m:val="p"/>
                </m:rPr>
                <m:t>payload</m:t>
              </m:r>
            </m:sub>
          </m:sSub>
          <m:r>
            <m:rPr>
              <m:sty m:val="p"/>
            </m:rPr>
            <m:t>=</m:t>
          </m:r>
          <m:r>
            <m:t>8</m:t>
          </m:r>
          <m:r>
            <m:rPr>
              <m:sty m:val="p"/>
            </m:rPr>
            <m:t>+</m:t>
          </m:r>
          <m:r>
            <m:rPr>
              <m:sty m:val="p"/>
            </m:rPr>
            <m:t>max</m:t>
          </m:r>
          <m:r>
            <m:t>​</m:t>
          </m:r>
          <m:d>
            <m:dPr>
              <m:begChr m:val="("/>
              <m:endChr m:val=")"/>
              <m:sepChr m:val=""/>
              <m:grow/>
            </m:dPr>
            <m:e>
              <m:d>
                <m:dPr>
                  <m:begChr m:val="⌈"/>
                  <m:endChr m:val="⌉"/>
                  <m:sepChr m:val=""/>
                  <m:grow/>
                </m:dPr>
                <m:e>
                  <m:f>
                    <m:fPr>
                      <m:type m:val="bar"/>
                    </m:fPr>
                    <m:num>
                      <m:r>
                        <m:t>8</m:t>
                      </m:r>
                      <m:r>
                        <m:t> </m:t>
                      </m:r>
                      <m:r>
                        <m:t>P</m:t>
                      </m:r>
                      <m:r>
                        <m:t>L</m:t>
                      </m:r>
                      <m:r>
                        <m:rPr>
                          <m:sty m:val="p"/>
                        </m:rPr>
                        <m:t>−</m:t>
                      </m:r>
                      <m:r>
                        <m:t>4</m:t>
                      </m:r>
                      <m:r>
                        <m:t> </m:t>
                      </m:r>
                      <m:r>
                        <m:rPr>
                          <m:sty m:val="p"/>
                        </m:rPr>
                        <m:t>S</m:t>
                      </m:r>
                      <m:r>
                        <m:rPr>
                          <m:sty m:val="p"/>
                        </m:rPr>
                        <m:t>F</m:t>
                      </m:r>
                      <m:r>
                        <m:rPr>
                          <m:sty m:val="p"/>
                        </m:rPr>
                        <m:t>+</m:t>
                      </m:r>
                      <m:r>
                        <m:t>28</m:t>
                      </m:r>
                      <m:r>
                        <m:rPr>
                          <m:sty m:val="p"/>
                        </m:rPr>
                        <m:t>+</m:t>
                      </m:r>
                      <m:r>
                        <m:t>16</m:t>
                      </m:r>
                      <m:r>
                        <m:t> </m:t>
                      </m:r>
                      <m:r>
                        <m:rPr>
                          <m:sty m:val="p"/>
                        </m:rPr>
                        <m:t>C</m:t>
                      </m:r>
                      <m:r>
                        <m:rPr>
                          <m:sty m:val="p"/>
                        </m:rPr>
                        <m:t>R</m:t>
                      </m:r>
                      <m:r>
                        <m:rPr>
                          <m:sty m:val="p"/>
                        </m:rPr>
                        <m:t>C</m:t>
                      </m:r>
                      <m:r>
                        <m:rPr>
                          <m:sty m:val="p"/>
                        </m:rPr>
                        <m:t>−</m:t>
                      </m:r>
                      <m:r>
                        <m:t>20</m:t>
                      </m:r>
                      <m:r>
                        <m:t> </m:t>
                      </m:r>
                      <m:r>
                        <m:rPr>
                          <m:sty m:val="p"/>
                        </m:rPr>
                        <m:t>I</m:t>
                      </m:r>
                      <m:r>
                        <m:rPr>
                          <m:sty m:val="p"/>
                        </m:rPr>
                        <m:t>H</m:t>
                      </m:r>
                    </m:num>
                    <m:den>
                      <m:r>
                        <m:t>4</m:t>
                      </m:r>
                      <m:d>
                        <m:dPr>
                          <m:begChr m:val="("/>
                          <m:endChr m:val=")"/>
                          <m:sepChr m:val=""/>
                          <m:grow/>
                        </m:dPr>
                        <m:e>
                          <m:r>
                            <m:rPr>
                              <m:sty m:val="p"/>
                            </m:rPr>
                            <m:t>S</m:t>
                          </m:r>
                          <m:r>
                            <m:rPr>
                              <m:sty m:val="p"/>
                            </m:rPr>
                            <m:t>F</m:t>
                          </m:r>
                          <m:r>
                            <m:rPr>
                              <m:sty m:val="p"/>
                            </m:rPr>
                            <m:t>−</m:t>
                          </m:r>
                          <m:r>
                            <m:t>2</m:t>
                          </m:r>
                          <m:r>
                            <m:t> </m:t>
                          </m:r>
                          <m:r>
                            <m:rPr>
                              <m:sty m:val="p"/>
                            </m:rPr>
                            <m:t>D</m:t>
                          </m:r>
                          <m:r>
                            <m:rPr>
                              <m:sty m:val="p"/>
                            </m:rPr>
                            <m:t>E</m:t>
                          </m:r>
                        </m:e>
                      </m:d>
                    </m:den>
                  </m:f>
                </m:e>
              </m:d>
              <m:d>
                <m:dPr>
                  <m:begChr m:val="("/>
                  <m:endChr m:val=")"/>
                  <m:sepChr m:val=""/>
                  <m:grow/>
                </m:dPr>
                <m:e>
                  <m:r>
                    <m:rPr>
                      <m:sty m:val="p"/>
                    </m:rPr>
                    <m:t>C</m:t>
                  </m:r>
                  <m:r>
                    <m:rPr>
                      <m:sty m:val="p"/>
                    </m:rPr>
                    <m:t>R</m:t>
                  </m:r>
                  <m:r>
                    <m:rPr>
                      <m:sty m:val="p"/>
                    </m:rPr>
                    <m:t>+</m:t>
                  </m:r>
                  <m:r>
                    <m:t>4</m:t>
                  </m:r>
                </m:e>
              </m:d>
              <m:r>
                <m:rPr>
                  <m:sty m:val="p"/>
                </m:rPr>
                <m:t>,</m:t>
              </m:r>
              <m:r>
                <m:t> </m:t>
              </m:r>
              <m:r>
                <m:t>0</m:t>
              </m:r>
            </m:e>
          </m:d>
        </m:oMath>
      </m:oMathPara>
    </w:p>
    <w:p>
      <w:pPr>
        <w:pStyle w:val="FirstParagraph"/>
      </w:pPr>
      <w:r>
        <w:t xml:space="preserve">symbols, and total airtime is</w:t>
      </w:r>
    </w:p>
    <w:p>
      <w:pPr>
        <w:pStyle w:val="BodyText"/>
      </w:pPr>
      <m:oMathPara>
        <m:oMathParaPr>
          <m:jc m:val="center"/>
        </m:oMathParaPr>
        <m:oMath>
          <m:sSub>
            <m:e>
              <m:r>
                <m:t>T</m:t>
              </m:r>
            </m:e>
            <m:sub>
              <m:r>
                <m:rPr>
                  <m:nor/>
                  <m:sty m:val="p"/>
                </m:rPr>
                <m:t>air</m:t>
              </m:r>
            </m:sub>
          </m:sSub>
          <m:r>
            <m:rPr>
              <m:sty m:val="p"/>
            </m:rPr>
            <m:t>=</m:t>
          </m:r>
          <m:limLow>
            <m:e>
              <m:limLow>
                <m:e>
                  <m:d>
                    <m:dPr>
                      <m:begChr m:val="("/>
                      <m:endChr m:val=")"/>
                      <m:sepChr m:val=""/>
                      <m:grow/>
                    </m:dPr>
                    <m:e>
                      <m:sSub>
                        <m:e>
                          <m:r>
                            <m:t>n</m:t>
                          </m:r>
                        </m:e>
                        <m:sub>
                          <m:r>
                            <m:rPr>
                              <m:nor/>
                              <m:sty m:val="p"/>
                            </m:rPr>
                            <m:t>preamble</m:t>
                          </m:r>
                        </m:sub>
                      </m:sSub>
                      <m:r>
                        <m:rPr>
                          <m:sty m:val="p"/>
                        </m:rPr>
                        <m:t>+</m:t>
                      </m:r>
                      <m:r>
                        <m:t>4.25</m:t>
                      </m:r>
                    </m:e>
                  </m:d>
                  <m:r>
                    <m:t> </m:t>
                  </m:r>
                  <m:sSub>
                    <m:e>
                      <m:r>
                        <m:t>T</m:t>
                      </m:r>
                    </m:e>
                    <m:sub>
                      <m:r>
                        <m:rPr>
                          <m:nor/>
                          <m:sty m:val="p"/>
                        </m:rPr>
                        <m:t>sym</m:t>
                      </m:r>
                    </m:sub>
                  </m:sSub>
                </m:e>
                <m:lim>
                  <m:r>
                    <m:rPr>
                      <m:sty m:val="p"/>
                    </m:rPr>
                    <m:t>⏟</m:t>
                  </m:r>
                </m:lim>
              </m:limLow>
            </m:e>
            <m:lim>
              <m:r>
                <m:rPr>
                  <m:nor/>
                  <m:sty m:val="p"/>
                </m:rPr>
                <m:t>preamble</m:t>
              </m:r>
            </m:lim>
          </m:limLow>
          <m:r>
            <m:rPr>
              <m:sty m:val="p"/>
            </m:rPr>
            <m:t>+</m:t>
          </m:r>
          <m:sSub>
            <m:e>
              <m:r>
                <m:t>n</m:t>
              </m:r>
            </m:e>
            <m:sub>
              <m:r>
                <m:rPr>
                  <m:nor/>
                  <m:sty m:val="p"/>
                </m:rPr>
                <m:t>payload</m:t>
              </m:r>
            </m:sub>
          </m:sSub>
          <m:r>
            <m:t> </m:t>
          </m:r>
          <m:sSub>
            <m:e>
              <m:r>
                <m:t>T</m:t>
              </m:r>
            </m:e>
            <m:sub>
              <m:r>
                <m:rPr>
                  <m:nor/>
                  <m:sty m:val="p"/>
                </m:rPr>
                <m:t>sym</m:t>
              </m:r>
            </m:sub>
          </m:sSub>
          <m:r>
            <m:rPr>
              <m:sty m:val="p"/>
            </m:rPr>
            <m:t>.</m:t>
          </m:r>
        </m:oMath>
      </m:oMathPara>
    </w:p>
    <w:p>
      <w:pPr>
        <w:pStyle w:val="FirstParagraph"/>
      </w:pPr>
      <w:r>
        <w:t xml:space="preserve">Equation </w:t>
      </w:r>
      <w:hyperlink w:anchor="eq:lora_airtime">
        <w:r>
          <w:rPr>
            <w:rStyle w:val="Hyperlink"/>
          </w:rPr>
          <w:t xml:space="preserve">[eq:lora_airtime]</w:t>
        </w:r>
      </w:hyperlink>
      <w:r>
        <w:t xml:space="preserve"> </w:t>
      </w:r>
      <w:r>
        <w:t xml:space="preserve">is the quantity every optimisation in this</w:t>
      </w:r>
      <w:r>
        <w:t xml:space="preserve"> </w:t>
      </w:r>
      <w:r>
        <w:t xml:space="preserve">literature ultimately reduces: for a fixed</w:t>
      </w:r>
      <w:r>
        <w:t xml:space="preserve"> </w:t>
      </w:r>
      <m:oMath>
        <m:r>
          <m:rPr>
            <m:sty m:val="p"/>
          </m:rPr>
          <m:t>S</m:t>
        </m:r>
        <m:r>
          <m:rPr>
            <m:sty m:val="p"/>
          </m:rPr>
          <m:t>F</m:t>
        </m:r>
      </m:oMath>
      <w:r>
        <w:t xml:space="preserve"> </w:t>
      </w:r>
      <w:r>
        <w:t xml:space="preserve">and</w:t>
      </w:r>
      <w:r>
        <w:t xml:space="preserve"> </w:t>
      </w:r>
      <m:oMath>
        <m:r>
          <m:rPr>
            <m:sty m:val="p"/>
          </m:rPr>
          <m:t>B</m:t>
        </m:r>
        <m:r>
          <m:rPr>
            <m:sty m:val="p"/>
          </m:rPr>
          <m:t>W</m:t>
        </m:r>
      </m:oMath>
      <w:r>
        <w:t xml:space="preserve">,</w:t>
      </w:r>
      <w:r>
        <w:t xml:space="preserve"> </w:t>
      </w:r>
      <w:r>
        <w:t xml:space="preserve">airtime is affine in payload length, so a shorter payload is the only lever</w:t>
      </w:r>
      <w:r>
        <w:t xml:space="preserve"> </w:t>
      </w:r>
      <w:r>
        <w:t xml:space="preserve">available once the modulation is chosen. Regulatory duty-cycle limits then</w:t>
      </w:r>
      <w:r>
        <w:t xml:space="preserve"> </w:t>
      </w:r>
      <w:r>
        <w:t xml:space="preserve">convert that airtime into a rate ceiling rather than merely an energy cost.</w:t>
      </w:r>
      <w:r>
        <w:t xml:space="preserve"> </w:t>
      </w:r>
      <w:r>
        <w:t xml:space="preserve">Under European Telecommunications Standards Institute (ETSI) EN 300 220, a sub-GHz node may occupy its channel for at</w:t>
      </w:r>
      <w:r>
        <w:t xml:space="preserve"> </w:t>
      </w:r>
      <w:r>
        <w:t xml:space="preserve">most a fixed fraction</w:t>
      </w:r>
      <w:r>
        <w:t xml:space="preserve"> </w:t>
      </w:r>
      <m:oMath>
        <m:sSub>
          <m:e>
            <m:r>
              <m:rPr>
                <m:sty m:val="p"/>
              </m:rPr>
              <m:t>D</m:t>
            </m:r>
            <m:r>
              <m:rPr>
                <m:sty m:val="p"/>
              </m:rPr>
              <m:t>C</m:t>
            </m:r>
          </m:e>
          <m:sub>
            <m:r>
              <m:rPr>
                <m:sty m:val="p"/>
              </m:rPr>
              <m:t>max</m:t>
            </m:r>
          </m:sub>
        </m:sSub>
      </m:oMath>
      <w:r>
        <w:t xml:space="preserve"> </w:t>
      </w:r>
      <w:r>
        <w:t xml:space="preserve">of any observation</w:t>
      </w:r>
      <w:r>
        <w:t xml:space="preserve"> </w:t>
      </w:r>
      <w:r>
        <w:t xml:space="preserve">window </w:t>
      </w:r>
      <w:r>
        <w:t xml:space="preserve">(Network 2024; Alliance 2021)</w:t>
      </w:r>
      <w:r>
        <w:t xml:space="preserve">, so a single reading</w:t>
      </w:r>
      <w:r>
        <w:t xml:space="preserve"> </w:t>
      </w:r>
      <w:r>
        <w:t xml:space="preserve">consumes</w:t>
      </w:r>
    </w:p>
    <w:p>
      <w:pPr>
        <w:pStyle w:val="BodyText"/>
      </w:pPr>
      <m:oMathPara>
        <m:oMathParaPr>
          <m:jc m:val="center"/>
        </m:oMathParaPr>
        <m:oMath>
          <m:r>
            <m:rPr>
              <m:sty m:val="p"/>
            </m:rPr>
            <m:t>D</m:t>
          </m:r>
          <m:r>
            <m:rPr>
              <m:sty m:val="p"/>
            </m:rPr>
            <m:t>C</m:t>
          </m:r>
          <m:r>
            <m:rPr>
              <m:sty m:val="p"/>
            </m:rPr>
            <m:t>=</m:t>
          </m:r>
          <m:f>
            <m:fPr>
              <m:type m:val="bar"/>
            </m:fPr>
            <m:num>
              <m:sSub>
                <m:e>
                  <m:r>
                    <m:t>T</m:t>
                  </m:r>
                </m:e>
                <m:sub>
                  <m:r>
                    <m:rPr>
                      <m:nor/>
                      <m:sty m:val="p"/>
                    </m:rPr>
                    <m:t>air</m:t>
                  </m:r>
                </m:sub>
              </m:sSub>
            </m:num>
            <m:den>
              <m:sSub>
                <m:e>
                  <m:r>
                    <m:t>T</m:t>
                  </m:r>
                </m:e>
                <m:sub>
                  <m:r>
                    <m:rPr>
                      <m:nor/>
                      <m:sty m:val="p"/>
                    </m:rPr>
                    <m:t>window</m:t>
                  </m:r>
                </m:sub>
              </m:sSub>
            </m:den>
          </m:f>
          <m:r>
            <m:rPr>
              <m:sty m:val="p"/>
            </m:rPr>
            <m:t>≤</m:t>
          </m:r>
          <m:sSub>
            <m:e>
              <m:r>
                <m:rPr>
                  <m:sty m:val="p"/>
                </m:rPr>
                <m:t>D</m:t>
              </m:r>
              <m:r>
                <m:rPr>
                  <m:sty m:val="p"/>
                </m:rPr>
                <m:t>C</m:t>
              </m:r>
            </m:e>
            <m:sub>
              <m:r>
                <m:rPr>
                  <m:sty m:val="p"/>
                </m:rPr>
                <m:t>max</m:t>
              </m:r>
            </m:sub>
          </m:sSub>
          <m:r>
            <m:rPr>
              <m:sty m:val="p"/>
            </m:rPr>
            <m:t>,</m:t>
          </m:r>
        </m:oMath>
      </m:oMathPara>
    </w:p>
    <w:p>
      <w:pPr>
        <w:pStyle w:val="FirstParagraph"/>
      </w:pPr>
      <w:r>
        <w:t xml:space="preserve">and offered channel load across</w:t>
      </w:r>
      <w:r>
        <w:t xml:space="preserve"> </w:t>
      </w:r>
      <m:oMath>
        <m:r>
          <m:t>N</m:t>
        </m:r>
      </m:oMath>
      <w:r>
        <w:t xml:space="preserve"> </w:t>
      </w:r>
      <w:r>
        <w:t xml:space="preserve">nodes reporting once per window is</w:t>
      </w:r>
      <w:r>
        <w:t xml:space="preserve"> </w:t>
      </w:r>
      <m:oMath>
        <m:r>
          <m:t>G</m:t>
        </m:r>
        <m:r>
          <m:rPr>
            <m:sty m:val="p"/>
          </m:rPr>
          <m:t>=</m:t>
        </m:r>
        <m:r>
          <m:t>N</m:t>
        </m:r>
        <m:r>
          <m:t> </m:t>
        </m:r>
        <m:sSub>
          <m:e>
            <m:r>
              <m:t>T</m:t>
            </m:r>
          </m:e>
          <m:sub>
            <m:r>
              <m:rPr>
                <m:nor/>
                <m:sty m:val="p"/>
              </m:rPr>
              <m:t>air</m:t>
            </m:r>
          </m:sub>
        </m:sSub>
        <m:r>
          <m:rPr>
            <m:sty m:val="p"/>
          </m:rPr>
          <m:t>/</m:t>
        </m:r>
        <m:sSub>
          <m:e>
            <m:r>
              <m:t>T</m:t>
            </m:r>
          </m:e>
          <m:sub>
            <m:r>
              <m:rPr>
                <m:nor/>
                <m:sty m:val="p"/>
              </m:rPr>
              <m:t>window</m:t>
            </m:r>
          </m:sub>
        </m:sSub>
      </m:oMath>
      <w:r>
        <w:t xml:space="preserve"> </w:t>
      </w:r>
      <w:r>
        <w:t xml:space="preserve">Erlang, which under the pure-ALOHA</w:t>
      </w:r>
      <w:r>
        <w:t xml:space="preserve"> </w:t>
      </w:r>
      <w:r>
        <w:t xml:space="preserve">assumption common to this literature bounds per-packet collision probability</w:t>
      </w:r>
      <w:r>
        <w:t xml:space="preserve"> </w:t>
      </w:r>
      <w:r>
        <w:t xml:space="preserve">at</w:t>
      </w:r>
      <w:r>
        <w:t xml:space="preserve"> </w:t>
      </w: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oMath>
      <w:r>
        <w:t xml:space="preserve"> </w:t>
      </w:r>
      <w:r>
        <w:t xml:space="preserve">for small</w:t>
      </w:r>
      <w:r>
        <w:t xml:space="preserve"> </w:t>
      </w:r>
      <m:oMath>
        <m:r>
          <m:t>G</m:t>
        </m:r>
      </m:oMath>
      <w:r>
        <w:t xml:space="preserve"> </w:t>
      </w:r>
      <w:r>
        <w:t xml:space="preserve">(Bor et al. 2016; Adelantado et al. 2017)</w:t>
      </w:r>
      <w:r>
        <w:t xml:space="preserve">. Node energy per</w:t>
      </w:r>
      <w:r>
        <w:t xml:space="preserve"> </w:t>
      </w:r>
      <w:r>
        <w:t xml:space="preserve">transmission follows directly,</w:t>
      </w:r>
      <w:r>
        <w:t xml:space="preserve"> </w:t>
      </w:r>
      <m:oMath>
        <m:sSub>
          <m:e>
            <m:r>
              <m:t>E</m:t>
            </m:r>
          </m:e>
          <m:sub>
            <m:r>
              <m:rPr>
                <m:nor/>
                <m:sty m:val="p"/>
              </m:rPr>
              <m:t>tx</m:t>
            </m:r>
          </m:sub>
        </m:sSub>
        <m:r>
          <m:rPr>
            <m:sty m:val="p"/>
          </m:rPr>
          <m:t>=</m:t>
        </m:r>
        <m:sSub>
          <m:e>
            <m:r>
              <m:t>P</m:t>
            </m:r>
          </m:e>
          <m:sub>
            <m:r>
              <m:rPr>
                <m:nor/>
                <m:sty m:val="p"/>
              </m:rPr>
              <m:t>tx</m:t>
            </m:r>
          </m:sub>
        </m:sSub>
        <m:r>
          <m:t> </m:t>
        </m:r>
        <m:sSub>
          <m:e>
            <m:r>
              <m:t>T</m:t>
            </m:r>
          </m:e>
          <m:sub>
            <m:r>
              <m:rPr>
                <m:nor/>
                <m:sty m:val="p"/>
              </m:rPr>
              <m:t>air</m:t>
            </m:r>
          </m:sub>
        </m:sSub>
      </m:oMath>
      <w:r>
        <w:t xml:space="preserve">,</w:t>
      </w:r>
      <w:r>
        <w:t xml:space="preserve"> </w:t>
      </w:r>
      <w:r>
        <w:t xml:space="preserve">so any reduction in</w:t>
      </w:r>
      <w:r>
        <w:t xml:space="preserve"> </w:t>
      </w:r>
      <m:oMath>
        <m:sSub>
          <m:e>
            <m:r>
              <m:t>T</m:t>
            </m:r>
          </m:e>
          <m:sub>
            <m:r>
              <m:rPr>
                <m:nor/>
                <m:sty m:val="p"/>
              </m:rPr>
              <m:t>air</m:t>
            </m:r>
          </m:sub>
        </m:sSub>
      </m:oMath>
      <w:r>
        <w:t xml:space="preserve"> </w:t>
      </w:r>
      <w:r>
        <w:t xml:space="preserve">is simultaneously an energy saving and a</w:t>
      </w:r>
      <w:r>
        <w:t xml:space="preserve"> </w:t>
      </w:r>
      <w:r>
        <w:t xml:space="preserve">capacity gain, which is why the transmission-optimisation literature and the</w:t>
      </w:r>
      <w:r>
        <w:t xml:space="preserve"> </w:t>
      </w:r>
      <w:r>
        <w:t xml:space="preserve">energy-modelling literature are, in practice, one</w:t>
      </w:r>
      <w:r>
        <w:t xml:space="preserve"> </w:t>
      </w:r>
      <w:r>
        <w:t xml:space="preserve">body of work </w:t>
      </w:r>
      <w:r>
        <w:t xml:space="preserve">(Barr and Asanovic 2004; Polastre, Hill, and Culler 2004; Gonzalez and Horowitz 2000; Vukovic, Raca, and Vukovic 2023; Sanchez et al. 2021; Heinzelman, Chandrakasan, and Balakrishnan 2000)</w:t>
      </w:r>
      <w:r>
        <w:t xml:space="preserve">.</w:t>
      </w:r>
    </w:p>
    <w:p>
      <w:pPr>
        <w:pStyle w:val="BodyText"/>
      </w:pPr>
      <w:r>
        <w:t xml:space="preserve">Two families of technique attack Equation </w:t>
      </w:r>
      <w:hyperlink w:anchor="eq:lora_airtime">
        <w:r>
          <w:rPr>
            <w:rStyle w:val="Hyperlink"/>
          </w:rPr>
          <w:t xml:space="preserve">[eq:lora_airtime]</w:t>
        </w:r>
      </w:hyperlink>
      <w:r>
        <w:t xml:space="preserve"> </w:t>
      </w:r>
      <w:r>
        <w:t xml:space="preserve">from</w:t>
      </w:r>
      <w:r>
        <w:t xml:space="preserve"> </w:t>
      </w:r>
      <w:r>
        <w:t xml:space="preserve">opposite sides, summarised in Figure </w:t>
      </w:r>
      <w:hyperlink w:anchor="fig:lit-transmission-taxonomy">
        <w:r>
          <w:rPr>
            <w:rStyle w:val="Hyperlink"/>
          </w:rPr>
          <w:t xml:space="preserve">2.2</w:t>
        </w:r>
      </w:hyperlink>
      <w:r>
        <w:t xml:space="preserve">.</w:t>
      </w:r>
      <w:r>
        <w:t xml:space="preserve"> </w:t>
      </w:r>
      <w:r>
        <w:rPr>
          <w:bCs/>
          <w:b/>
        </w:rPr>
        <w:t xml:space="preserve">Compression</w:t>
      </w:r>
      <w:r>
        <w:t xml:space="preserve"> </w:t>
      </w:r>
      <w:r>
        <w:t xml:space="preserve">keeps one packet per reading and shrinks</w:t>
      </w:r>
      <w:r>
        <w:t xml:space="preserve"> </w:t>
      </w:r>
      <m:oMath>
        <m:r>
          <m:t>P</m:t>
        </m:r>
        <m:r>
          <m:t>L</m:t>
        </m:r>
      </m:oMath>
      <w:r>
        <w:t xml:space="preserve">: general</w:t>
      </w:r>
      <w:r>
        <w:t xml:space="preserve"> </w:t>
      </w:r>
      <w:r>
        <w:t xml:space="preserve">lossless coders such as Huffman and Lempel-Ziv-Welch adapted to sensor</w:t>
      </w:r>
      <w:r>
        <w:t xml:space="preserve"> </w:t>
      </w:r>
      <w:r>
        <w:t xml:space="preserve">streams </w:t>
      </w:r>
      <w:r>
        <w:t xml:space="preserve">(Li, Da Xu, and Zhao 2018; Marcelloni and Vecchio 2008; Ziv and Lempel 1977; Huffman 1952; Salomon 2007)</w:t>
      </w:r>
      <w:r>
        <w:t xml:space="preserve"> </w:t>
      </w:r>
      <w:r>
        <w:t xml:space="preserve">report 20 to 40% payload reduction but</w:t>
      </w:r>
      <w:r>
        <w:t xml:space="preserve"> </w:t>
      </w:r>
      <w:r>
        <w:t xml:space="preserve">require dictionary or frequency-table state that a microcontroller with a</w:t>
      </w:r>
      <w:r>
        <w:t xml:space="preserve"> </w:t>
      </w:r>
      <w:r>
        <w:t xml:space="preserve">few kilobytes of free RAM can only marginally</w:t>
      </w:r>
      <w:r>
        <w:t xml:space="preserve"> </w:t>
      </w:r>
      <w:r>
        <w:t xml:space="preserve">afford </w:t>
      </w:r>
      <w:r>
        <w:t xml:space="preserve">(Marcelloni and Vecchio 2010; Community 2016)</w:t>
      </w:r>
      <w:r>
        <w:t xml:space="preserve">, and adaptive</w:t>
      </w:r>
      <w:r>
        <w:t xml:space="preserve"> </w:t>
      </w:r>
      <w:r>
        <w:t xml:space="preserve">sampling reduces transmitted volume by skipping readings, which risks</w:t>
      </w:r>
      <w:r>
        <w:t xml:space="preserve"> </w:t>
      </w:r>
      <w:r>
        <w:t xml:space="preserve">missing the threshold event the network exists to</w:t>
      </w:r>
      <w:r>
        <w:t xml:space="preserve"> </w:t>
      </w:r>
      <w:r>
        <w:t xml:space="preserve">detect </w:t>
      </w:r>
      <w:r>
        <w:t xml:space="preserve">(Kjellsson and Zakhor 2008)</w:t>
      </w:r>
      <w:r>
        <w:t xml:space="preserve">.</w:t>
      </w:r>
      <w:r>
        <w:t xml:space="preserve"> </w:t>
      </w:r>
      <w:r>
        <w:rPr>
          <w:bCs/>
          <w:b/>
        </w:rPr>
        <w:t xml:space="preserve">Decomposition</w:t>
      </w:r>
      <w:r>
        <w:t xml:space="preserve"> </w:t>
      </w:r>
      <w:r>
        <w:t xml:space="preserve">takes the</w:t>
      </w:r>
      <w:r>
        <w:t xml:space="preserve"> </w:t>
      </w:r>
      <w:r>
        <w:t xml:space="preserve">opposite path: it accepts more packets in exchange for each one being</w:t>
      </w:r>
      <w:r>
        <w:t xml:space="preserve"> </w:t>
      </w:r>
      <w:r>
        <w:t xml:space="preserve">far shorter, splitting a reading across parallel channels rather than</w:t>
      </w:r>
      <w:r>
        <w:t xml:space="preserve"> </w:t>
      </w:r>
      <w:r>
        <w:t xml:space="preserve">compressing it on one. Residue-based decomposition for wireless sensor</w:t>
      </w:r>
      <w:r>
        <w:t xml:space="preserve"> </w:t>
      </w:r>
      <w:r>
        <w:t xml:space="preserve">data has been explored for storage reduction and for wireless sensor</w:t>
      </w:r>
      <w:r>
        <w:t xml:space="preserve"> </w:t>
      </w:r>
      <w:r>
        <w:t xml:space="preserve">network lifetime </w:t>
      </w:r>
      <w:r>
        <w:t xml:space="preserve">(Vidhya and Brindha 2021a, 2021b; Buttigieg, Farrugia, and Zammit-Mangion 2014; Pourbigharaz and Yassine 1994; Ye et al. 2018)</w:t>
      </w:r>
      <w:r>
        <w:t xml:space="preserve">, but, as</w:t>
      </w:r>
      <w:r>
        <w:t xml:space="preserve"> </w:t>
      </w:r>
      <w:r>
        <w:t xml:space="preserve">Section </w:t>
      </w:r>
      <w:hyperlink w:anchor="subsec:lit_crt">
        <w:r>
          <w:rPr>
            <w:rStyle w:val="Hyperlink"/>
          </w:rPr>
          <w:t xml:space="preserve">2.2.3</w:t>
        </w:r>
      </w:hyperlink>
      <w:r>
        <w:t xml:space="preserve"> </w:t>
      </w:r>
      <w:r>
        <w:t xml:space="preserve">details, not for exploiting a multi-channel</w:t>
      </w:r>
      <w:r>
        <w:t xml:space="preserve"> </w:t>
      </w:r>
      <w:r>
        <w:t xml:space="preserve">concentrator’s ability to demodulate several sub-channels</w:t>
      </w:r>
      <w:r>
        <w:t xml:space="preserve"> </w:t>
      </w:r>
      <w:r>
        <w:rPr>
          <w:iCs/>
          <w:i/>
        </w:rPr>
        <w:t xml:space="preserve">simultaneously</w:t>
      </w:r>
      <w:r>
        <w:t xml:space="preserve">, which is the specific mechanism this thesis studies.</w:t>
      </w:r>
      <w:r>
        <w:t xml:space="preserve"> </w:t>
      </w:r>
      <w:r>
        <w:t xml:space="preserve">LoRa-specific network-capacity work independently confirms that channel</w:t>
      </w:r>
      <w:r>
        <w:t xml:space="preserve"> </w:t>
      </w:r>
      <w:r>
        <w:t xml:space="preserve">occupancy, not raw byte count, is the binding constraint on</w:t>
      </w:r>
      <w:r>
        <w:t xml:space="preserve"> </w:t>
      </w:r>
      <w:r>
        <w:t xml:space="preserve">gateway-served node population </w:t>
      </w:r>
      <w:r>
        <w:t xml:space="preserve">(Centenaro et al. 2016; H. Zhang et al. 2022; Chapungo and Postolache 2025; Bicamumakuba et al. 2025; Turlykozhayeva et al. 2024; Bouaziz, Rachedi, and Belghith 2020)</w:t>
      </w:r>
      <w:r>
        <w:t xml:space="preserve">, which is the same</w:t>
      </w:r>
      <w:r>
        <w:t xml:space="preserve"> </w:t>
      </w:r>
      <w:r>
        <w:t xml:space="preserve">quantity Equation </w:t>
      </w:r>
      <w:hyperlink w:anchor="eq:duty_cycle">
        <w:r>
          <w:rPr>
            <w:rStyle w:val="Hyperlink"/>
          </w:rPr>
          <w:t xml:space="preserve">[eq:duty_cycle]</w:t>
        </w:r>
      </w:hyperlink>
      <w:r>
        <w:t xml:space="preserve"> </w:t>
      </w:r>
      <w:r>
        <w:t xml:space="preserve">fixes.</w:t>
      </w:r>
    </w:p>
    <w:tbl>
      <w:tblPr>
        <w:tblStyle w:val="FigureTable"/>
        <w:tblW w:type="auto" w:w="0"/>
        <w:tblLook w:firstRow="0" w:lastRow="0" w:firstColumn="0" w:lastColumn="0"/>
        <w:jc w:val="center"/>
      </w:tblPr>
      <w:tblGrid/>
      <w:tr/>
    </w:tbl>
    <w:p>
      <w:pPr>
        <w:pStyle w:val="ImageCaption"/>
      </w:pPr>
      <w:r>
        <w:t xml:space="preserve">Taxonomy of transmission-efficiency strategies for constrained</w:t>
      </w:r>
      <w:r>
        <w:t xml:space="preserve"> </w:t>
      </w:r>
      <w:r>
        <w:t xml:space="preserve">IoT radios. This thesis occupies the shaded leaf on the</w:t>
      </w:r>
      <w:r>
        <w:t xml:space="preserve"> </w:t>
      </w:r>
      <w:r>
        <w:t xml:space="preserve">right that the reviewed literature leaves open.</w:t>
      </w:r>
    </w:p>
    <w:p>
      <w:pPr>
        <w:pStyle w:val="BodyText"/>
      </w:pPr>
      <w:r>
        <w:t xml:space="preserve">Table </w:t>
      </w:r>
      <w:hyperlink w:anchor="tab:lit-lpwan-comparison">
        <w:r>
          <w:rPr>
            <w:rStyle w:val="Hyperlink"/>
          </w:rPr>
          <w:t xml:space="preserve">2.1</w:t>
        </w:r>
      </w:hyperlink>
      <w:r>
        <w:t xml:space="preserve"> </w:t>
      </w:r>
      <w:r>
        <w:t xml:space="preserve">summarises representative results</w:t>
      </w:r>
      <w:r>
        <w:t xml:space="preserve"> </w:t>
      </w:r>
      <w:r>
        <w:t xml:space="preserve">across both branches on the metric that matters for gateway capacity,</w:t>
      </w:r>
      <w:r>
        <w:t xml:space="preserve"> </w:t>
      </w:r>
      <w:r>
        <w:t xml:space="preserve">per-packet airtime or its energy equivalent, rather than the compression</w:t>
      </w:r>
      <w:r>
        <w:t xml:space="preserve"> </w:t>
      </w:r>
      <w:r>
        <w:t xml:space="preserve">ratio each source reports on its own terms.</w:t>
      </w:r>
    </w:p>
    <w:bookmarkStart w:id="43" w:name="tab:lit-lpwan-comparison"/>
    <w:p>
      <w:pPr>
        <w:pStyle w:val="TableCaption"/>
      </w:pPr>
      <w:r>
        <w:t xml:space="preserve">Representative low-power wide-area transmission-efficiency results</w:t>
      </w:r>
    </w:p>
    <w:tbl>
      <w:tblPr>
        <w:tblStyle w:val="Table"/>
        <w:tblW w:type="auto" w:w="0"/>
        <w:tblLook w:firstRow="1" w:lastRow="0" w:firstColumn="0" w:lastColumn="0" w:noHBand="0" w:noVBand="0" w:val="0020"/>
        <w:jc w:val="start"/>
        <w:tblCaption w:val="Representative low-power wide-area transmission-efficiency results"/>
      </w:tblPr>
      <w:tblGrid>
        <w:gridCol w:w="2640"/>
        <w:gridCol w:w="2640"/>
        <w:gridCol w:w="2640"/>
      </w:tblGrid>
      <w:tr>
        <w:trPr>
          <w:tblHeader w:val="true"/>
        </w:trPr>
        <w:tc>
          <w:tcPr/>
          <w:p>
            <w:pPr>
              <w:pStyle w:val="Compact"/>
              <w:jc w:val="left"/>
            </w:pPr>
            <w:r>
              <w:rPr>
                <w:bCs/>
                <w:b/>
              </w:rPr>
              <w:t xml:space="preserve">Study</w:t>
            </w:r>
          </w:p>
        </w:tc>
        <w:tc>
          <w:tcPr/>
          <w:p>
            <w:pPr>
              <w:pStyle w:val="Compact"/>
              <w:jc w:val="left"/>
            </w:pPr>
            <w:r>
              <w:rPr>
                <w:bCs/>
                <w:b/>
              </w:rPr>
              <w:t xml:space="preserve">Technique</w:t>
            </w:r>
          </w:p>
        </w:tc>
        <w:tc>
          <w:tcPr/>
          <w:p>
            <w:pPr>
              <w:pStyle w:val="Compact"/>
              <w:jc w:val="left"/>
            </w:pPr>
            <w:r>
              <w:rPr>
                <w:bCs/>
                <w:b/>
              </w:rPr>
              <w:t xml:space="preserve">Reported limitation</w:t>
            </w:r>
          </w:p>
        </w:tc>
      </w:tr>
      <w:tr>
        <w:tc>
          <w:tcPr/>
          <w:p>
            <w:pPr>
              <w:pStyle w:val="Compact"/>
              <w:jc w:val="left"/>
            </w:pPr>
            <w:r>
              <w:t xml:space="preserve">Li and Simonot-Lion </w:t>
            </w:r>
            <w:r>
              <w:t xml:space="preserve">(Li, Da Xu, and Zhao 2018)</w:t>
            </w:r>
            <w:r>
              <w:t xml:space="preserve">;</w:t>
            </w:r>
          </w:p>
        </w:tc>
        <w:tc>
          <w:tcPr/>
          <w:p>
            <w:pPr>
              <w:pStyle w:val="Compact"/>
            </w:pPr>
          </w:p>
        </w:tc>
        <w:tc>
          <w:tcPr/>
          <w:p>
            <w:pPr>
              <w:pStyle w:val="Compact"/>
            </w:pPr>
          </w:p>
        </w:tc>
      </w:tr>
      <w:tr>
        <w:tc>
          <w:tcPr/>
          <w:p>
            <w:pPr>
              <w:pStyle w:val="Compact"/>
              <w:jc w:val="left"/>
            </w:pPr>
            <w:r>
              <w:t xml:space="preserve">Marcelloni and Vecchio </w:t>
            </w:r>
            <w:r>
              <w:t xml:space="preserve">(Marcelloni and Vecchio 2008)</w:t>
            </w:r>
          </w:p>
        </w:tc>
        <w:tc>
          <w:tcPr/>
          <w:p>
            <w:pPr>
              <w:pStyle w:val="Compact"/>
              <w:jc w:val="left"/>
            </w:pPr>
            <w:r>
              <w:t xml:space="preserve">Huffman/LZW sensor compression</w:t>
            </w:r>
          </w:p>
        </w:tc>
        <w:tc>
          <w:tcPr/>
          <w:p>
            <w:pPr>
              <w:pStyle w:val="Compact"/>
              <w:jc w:val="left"/>
            </w:pPr>
            <w:r>
              <w:t xml:space="preserve">Dictionary or frequency-table state exceeds the free RAM of the</w:t>
            </w:r>
            <w:r>
              <w:t xml:space="preserve"> </w:t>
            </w:r>
            <w:r>
              <w:t xml:space="preserve">smallest microcontroller class; ratio degrades on low-entropy sensor</w:t>
            </w:r>
            <w:r>
              <w:t xml:space="preserve"> </w:t>
            </w:r>
            <w:r>
              <w:t xml:space="preserve">streams</w:t>
            </w:r>
          </w:p>
        </w:tc>
      </w:tr>
      <w:tr>
        <w:tc>
          <w:tcPr/>
          <w:p>
            <w:pPr>
              <w:pStyle w:val="Compact"/>
              <w:jc w:val="left"/>
            </w:pPr>
            <w:r>
              <w:t xml:space="preserve">Kjellsson et al. </w:t>
            </w:r>
            <w:r>
              <w:t xml:space="preserve">(Kjellsson and Zakhor 2008)</w:t>
            </w:r>
          </w:p>
        </w:tc>
        <w:tc>
          <w:tcPr/>
          <w:p>
            <w:pPr>
              <w:pStyle w:val="Compact"/>
              <w:jc w:val="left"/>
            </w:pPr>
            <w:r>
              <w:t xml:space="preserve">Adaptive, event-driven sampling</w:t>
            </w:r>
          </w:p>
        </w:tc>
        <w:tc>
          <w:tcPr/>
          <w:p>
            <w:pPr>
              <w:pStyle w:val="Compact"/>
              <w:jc w:val="left"/>
            </w:pPr>
            <w:r>
              <w:t xml:space="preserve">Reduces volume, not per-packet occupancy; risks missing threshold</w:t>
            </w:r>
            <w:r>
              <w:t xml:space="preserve"> </w:t>
            </w:r>
            <w:r>
              <w:t xml:space="preserve">events between samples</w:t>
            </w:r>
          </w:p>
        </w:tc>
      </w:tr>
      <w:tr>
        <w:tc>
          <w:tcPr/>
          <w:p>
            <w:pPr>
              <w:pStyle w:val="Compact"/>
              <w:jc w:val="left"/>
            </w:pPr>
            <w:r>
              <w:t xml:space="preserve">Vidhya and Brindha </w:t>
            </w:r>
            <w:r>
              <w:t xml:space="preserve">(Vidhya and Brindha 2021a, 2021b)</w:t>
            </w:r>
          </w:p>
        </w:tc>
        <w:tc>
          <w:tcPr/>
          <w:p>
            <w:pPr>
              <w:pStyle w:val="Compact"/>
              <w:jc w:val="left"/>
            </w:pPr>
            <w:r>
              <w:t xml:space="preserve">CRT residue image compression</w:t>
            </w:r>
          </w:p>
        </w:tc>
        <w:tc>
          <w:tcPr/>
          <w:p>
            <w:pPr>
              <w:pStyle w:val="Compact"/>
              <w:jc w:val="left"/>
            </w:pPr>
            <w:r>
              <w:t xml:space="preserve">Targets storage footprint, not transmission concurrency; single-channel</w:t>
            </w:r>
            <w:r>
              <w:t xml:space="preserve"> </w:t>
            </w:r>
            <w:r>
              <w:t xml:space="preserve">model</w:t>
            </w:r>
          </w:p>
        </w:tc>
      </w:tr>
      <w:tr>
        <w:tc>
          <w:tcPr/>
          <w:p>
            <w:pPr>
              <w:pStyle w:val="Compact"/>
              <w:jc w:val="left"/>
            </w:pPr>
            <w:r>
              <w:t xml:space="preserve">Buttigieg et al. </w:t>
            </w:r>
            <w:r>
              <w:t xml:space="preserve">(Buttigieg, Farrugia, and Zammit-Mangion 2014)</w:t>
            </w:r>
            <w:r>
              <w:t xml:space="preserve">;</w:t>
            </w:r>
          </w:p>
        </w:tc>
        <w:tc>
          <w:tcPr/>
          <w:p>
            <w:pPr>
              <w:pStyle w:val="Compact"/>
            </w:pPr>
          </w:p>
        </w:tc>
        <w:tc>
          <w:tcPr/>
          <w:p>
            <w:pPr>
              <w:pStyle w:val="Compact"/>
            </w:pPr>
          </w:p>
        </w:tc>
      </w:tr>
      <w:tr>
        <w:tc>
          <w:tcPr/>
          <w:p>
            <w:pPr>
              <w:pStyle w:val="Compact"/>
              <w:jc w:val="left"/>
            </w:pPr>
            <w:r>
              <w:t xml:space="preserve">Pourbigharaz and Yassine </w:t>
            </w:r>
            <w:r>
              <w:t xml:space="preserve">(Pourbigharaz and Yassine 1994)</w:t>
            </w:r>
          </w:p>
        </w:tc>
        <w:tc>
          <w:tcPr/>
          <w:p>
            <w:pPr>
              <w:pStyle w:val="Compact"/>
              <w:jc w:val="left"/>
            </w:pPr>
            <w:r>
              <w:t xml:space="preserve">Residue Number System (RNS) energy reduction in Wireless Sensor Networks (WSNs)</w:t>
            </w:r>
          </w:p>
        </w:tc>
        <w:tc>
          <w:tcPr/>
          <w:p>
            <w:pPr>
              <w:pStyle w:val="Compact"/>
              <w:jc w:val="left"/>
            </w:pPr>
            <w:r>
              <w:t xml:space="preserve">Energy accounting only; no gateway-capacity or multi-channel reception</w:t>
            </w:r>
            <w:r>
              <w:t xml:space="preserve"> </w:t>
            </w:r>
            <w:r>
              <w:t xml:space="preserve">model</w:t>
            </w:r>
          </w:p>
        </w:tc>
      </w:tr>
      <w:tr>
        <w:tc>
          <w:tcPr/>
          <w:p>
            <w:pPr>
              <w:pStyle w:val="Compact"/>
              <w:jc w:val="left"/>
            </w:pPr>
            <w:r>
              <w:t xml:space="preserve">Ye et al. </w:t>
            </w:r>
            <w:r>
              <w:t xml:space="preserve">(Ye et al. 2018)</w:t>
            </w:r>
          </w:p>
        </w:tc>
        <w:tc>
          <w:tcPr/>
          <w:p>
            <w:pPr>
              <w:pStyle w:val="Compact"/>
              <w:jc w:val="left"/>
            </w:pPr>
            <w:r>
              <w:t xml:space="preserve">RNS-based reliable WSN transmission</w:t>
            </w:r>
          </w:p>
        </w:tc>
        <w:tc>
          <w:tcPr/>
          <w:p>
            <w:pPr>
              <w:pStyle w:val="Compact"/>
              <w:jc w:val="left"/>
            </w:pPr>
            <w:r>
              <w:t xml:space="preserve">Reliability under loss, not concurrent channel exploitation</w:t>
            </w:r>
          </w:p>
        </w:tc>
      </w:tr>
    </w:tbl>
    <w:bookmarkEnd w:id="43"/>
    <w:bookmarkEnd w:id="44"/>
    <w:bookmarkStart w:id="45" w:name="subsec:lit_crt"/>
    <w:p>
      <w:pPr>
        <w:pStyle w:val="Heading3"/>
      </w:pPr>
      <w:r>
        <w:rPr>
          <w:rStyle w:val="SectionNumber"/>
        </w:rPr>
        <w:t xml:space="preserve">2.2.3</w:t>
      </w:r>
      <w:r>
        <w:tab/>
      </w:r>
      <w:r>
        <w:t xml:space="preserve">Residue Number Systems and the Chinese Remainder Theorem in</w:t>
      </w:r>
      <w:r>
        <w:t xml:space="preserve"> </w:t>
      </w:r>
      <w:r>
        <w:t xml:space="preserve">Communications</w:t>
      </w:r>
    </w:p>
    <w:p>
      <w:pPr>
        <w:pStyle w:val="FirstParagraph"/>
      </w:pPr>
      <w:r>
        <w:t xml:space="preserve">The theorem itself is unconditional. For pairwise coprime moduli</w:t>
      </w:r>
      <w:r>
        <w:t xml:space="preserve"> </w:t>
      </w:r>
      <m:oMath>
        <m:sSub>
          <m:e>
            <m:r>
              <m:t>m</m:t>
            </m:r>
          </m:e>
          <m:sub>
            <m:r>
              <m:t>1</m:t>
            </m:r>
          </m:sub>
        </m:sSub>
        <m:r>
          <m:rPr>
            <m:sty m:val="p"/>
          </m:rPr>
          <m:t>,</m:t>
        </m:r>
        <m:r>
          <m:rPr>
            <m:sty m:val="p"/>
          </m:rPr>
          <m:t>…</m:t>
        </m:r>
        <m:r>
          <m:rPr>
            <m:sty m:val="p"/>
          </m:rPr>
          <m:t>,</m:t>
        </m:r>
        <m:sSub>
          <m:e>
            <m:r>
              <m:t>m</m:t>
            </m:r>
          </m:e>
          <m:sub>
            <m:r>
              <m:t>k</m:t>
            </m:r>
          </m:sub>
        </m:sSub>
      </m:oMath>
      <w:r>
        <w:t xml:space="preserve"> </w:t>
      </w:r>
      <w:r>
        <w:t xml:space="preserve">and</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every integer</w:t>
      </w:r>
      <w:r>
        <w:t xml:space="preserve"> </w:t>
      </w:r>
      <m:oMath>
        <m:r>
          <m:t>x</m:t>
        </m:r>
        <m:r>
          <m:rPr>
            <m:sty m:val="p"/>
          </m:rPr>
          <m:t>∈</m:t>
        </m:r>
        <m:r>
          <m:rPr>
            <m:sty m:val="p"/>
          </m:rPr>
          <m:t>[</m:t>
        </m:r>
        <m:r>
          <m:t>0</m:t>
        </m:r>
        <m:r>
          <m:rPr>
            <m:sty m:val="p"/>
          </m:rPr>
          <m:t>,</m:t>
        </m:r>
        <m:r>
          <m:t>M</m:t>
        </m:r>
        <m:r>
          <m:rPr>
            <m:sty m:val="p"/>
          </m:rPr>
          <m:t>)</m:t>
        </m:r>
      </m:oMath>
      <w:r>
        <w:t xml:space="preserve"> </w:t>
      </w:r>
      <w:r>
        <w:t xml:space="preserve">is uniquely determined by its residue vector</w:t>
      </w:r>
      <w:r>
        <w:t xml:space="preserve"> </w:t>
      </w:r>
      <m:oMath>
        <m:d>
          <m:dPr>
            <m:begChr m:val="("/>
            <m:endChr m:val=")"/>
            <m:sepChr m:val=""/>
            <m:grow/>
          </m:dPr>
          <m:e>
            <m:sSub>
              <m:e>
                <m:r>
                  <m:t>r</m:t>
                </m:r>
              </m:e>
              <m:sub>
                <m:r>
                  <m:t>1</m:t>
                </m:r>
              </m:sub>
            </m:sSub>
            <m:r>
              <m:rPr>
                <m:sty m:val="p"/>
              </m:rPr>
              <m:t>,</m:t>
            </m:r>
            <m:r>
              <m:rPr>
                <m:sty m:val="p"/>
              </m:rPr>
              <m:t>…</m:t>
            </m:r>
            <m:r>
              <m:rPr>
                <m:sty m:val="p"/>
              </m:rPr>
              <m:t>,</m:t>
            </m:r>
            <m:sSub>
              <m:e>
                <m:r>
                  <m:t>r</m:t>
                </m:r>
              </m:e>
              <m:sub>
                <m:r>
                  <m:t>k</m:t>
                </m:r>
              </m:sub>
            </m:sSub>
          </m:e>
        </m:d>
      </m:oMath>
      <w:r>
        <w:t xml:space="preserve">,</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(Garner 1959; Hardy et al. 2008)</w:t>
      </w:r>
      <w:r>
        <w:t xml:space="preserve">. Garner’s algorithm reconstructs</w:t>
      </w:r>
      <w:r>
        <w:t xml:space="preserve"> </w:t>
      </w:r>
      <m:oMath>
        <m:r>
          <m:t>x</m:t>
        </m:r>
      </m:oMath>
      <w:r>
        <w:t xml:space="preserve"> </w:t>
      </w:r>
      <w:r>
        <w:t xml:space="preserve">from the</w:t>
      </w:r>
      <w:r>
        <w:t xml:space="preserve"> </w:t>
      </w:r>
      <w:r>
        <w:t xml:space="preserve">residues in closed form,</w:t>
      </w:r>
    </w:p>
    <w:p>
      <w:pPr>
        <w:pStyle w:val="BodyText"/>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r>
                <m:t> </m:t>
              </m:r>
              <m:sSub>
                <m:e>
                  <m:r>
                    <m:t>M</m:t>
                  </m:r>
                </m:e>
                <m:sub>
                  <m:r>
                    <m:t>i</m:t>
                  </m:r>
                </m:sub>
              </m:sSub>
              <m:r>
                <m:t> </m:t>
              </m:r>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pPr>
      <w:r>
        <w:t xml:space="preserve">exact because</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w:t>
      </w:r>
      <w:r>
        <w:t xml:space="preserve">by</w:t>
      </w:r>
      <w:r>
        <w:t xml:space="preserve"> </w:t>
      </w:r>
      <w:r>
        <w:t xml:space="preserve">construction </w:t>
      </w:r>
      <w:r>
        <w:t xml:space="preserve">(Garner 1959; Knuth 1997)</w:t>
      </w:r>
      <w:r>
        <w:t xml:space="preserve">, and computable in</w:t>
      </w:r>
      <w:r>
        <w:t xml:space="preserve"> </w:t>
      </w:r>
      <m:oMath>
        <m:r>
          <m:t>O</m:t>
        </m:r>
        <m:d>
          <m:dPr>
            <m:begChr m:val="("/>
            <m:endChr m:val=")"/>
            <m:sepChr m:val=""/>
            <m:grow/>
          </m:dPr>
          <m:e>
            <m:r>
              <m:t>k</m:t>
            </m:r>
          </m:e>
        </m:d>
      </m:oMath>
      <w:r>
        <w:t xml:space="preserve"> </w:t>
      </w:r>
      <w:r>
        <w:t xml:space="preserve">modular multiplications regardless of the magnitude of</w:t>
      </w:r>
      <w:r>
        <w:t xml:space="preserve"> </w:t>
      </w:r>
      <m:oMath>
        <m:r>
          <m:t>x</m:t>
        </m:r>
      </m:oMath>
      <w:r>
        <w:t xml:space="preserve">, which is</w:t>
      </w:r>
      <w:r>
        <w:t xml:space="preserve"> </w:t>
      </w:r>
      <w:r>
        <w:t xml:space="preserve">the property that later work in residue number systems generalised into a</w:t>
      </w:r>
      <w:r>
        <w:t xml:space="preserve"> </w:t>
      </w:r>
      <w:r>
        <w:t xml:space="preserve">programme for fast, carry-free, parallel</w:t>
      </w:r>
      <w:r>
        <w:t xml:space="preserve"> </w:t>
      </w:r>
      <w:r>
        <w:t xml:space="preserve">arithmetic </w:t>
      </w:r>
      <w:r>
        <w:t xml:space="preserve">(Ding, Pei, and Salomaa 1996; Parhami 2010)</w:t>
      </w:r>
      <w:r>
        <w:t xml:space="preserve">. A second</w:t>
      </w:r>
      <w:r>
        <w:t xml:space="preserve"> </w:t>
      </w:r>
      <w:r>
        <w:t xml:space="preserve">property of Equation </w:t>
      </w:r>
      <w:hyperlink w:anchor="eq:crt_reconstruction">
        <w:r>
          <w:rPr>
            <w:rStyle w:val="Hyperlink"/>
          </w:rPr>
          <w:t xml:space="preserve">[eq:crt_reconstruction]</w:t>
        </w:r>
      </w:hyperlink>
      <w:r>
        <w:t xml:space="preserve"> </w:t>
      </w:r>
      <w:r>
        <w:t xml:space="preserve">bears on reliability</w:t>
      </w:r>
      <w:r>
        <w:t xml:space="preserve"> </w:t>
      </w:r>
      <w:r>
        <w:t xml:space="preserve">rather than speed. Goldreich, Ron and Sudan formalised the error-tolerant</w:t>
      </w:r>
      <w:r>
        <w:t xml:space="preserve"> </w:t>
      </w:r>
      <w:r>
        <w:t xml:space="preserve">case, showing that</w:t>
      </w:r>
      <w:r>
        <w:t xml:space="preserve"> </w:t>
      </w:r>
      <m:oMath>
        <m:r>
          <m:t>x</m:t>
        </m:r>
      </m:oMath>
      <w:r>
        <w:t xml:space="preserve"> </w:t>
      </w:r>
      <w:r>
        <w:t xml:space="preserve">remains recoverable from a strict subset of</w:t>
      </w:r>
      <w:r>
        <w:t xml:space="preserve"> </w:t>
      </w:r>
      <w:r>
        <w:t xml:space="preserve">residues under bounded corruption, "Chinese remaindering with</w:t>
      </w:r>
      <w:r>
        <w:t xml:space="preserve"> </w:t>
      </w:r>
      <w:r>
        <w:t xml:space="preserve">errors" </w:t>
      </w:r>
      <w:r>
        <w:t xml:space="preserve">(Goldreich, Ron, and Sudan 1999)</w:t>
      </w:r>
      <w:r>
        <w:t xml:space="preserve">, a result later systematised alongside</w:t>
      </w:r>
      <w:r>
        <w:t xml:space="preserve"> </w:t>
      </w:r>
      <w:r>
        <w:t xml:space="preserve">subset-product reconstruction in computational number</w:t>
      </w:r>
      <w:r>
        <w:t xml:space="preserve"> </w:t>
      </w:r>
      <w:r>
        <w:t xml:space="preserve">theory </w:t>
      </w:r>
      <w:r>
        <w:t xml:space="preserve">(Shoup 2009)</w:t>
      </w:r>
      <w:r>
        <w:t xml:space="preserve">. That subset-recovery property is a</w:t>
      </w:r>
      <w:r>
        <w:t xml:space="preserve"> </w:t>
      </w:r>
      <w:r>
        <w:t xml:space="preserve">statement about</w:t>
      </w:r>
      <w:r>
        <w:t xml:space="preserve"> </w:t>
      </w:r>
      <w:r>
        <w:rPr>
          <w:iCs/>
          <w:i/>
        </w:rPr>
        <w:t xml:space="preserve">reconstruction</w:t>
      </w:r>
      <w:r>
        <w:t xml:space="preserve">, not about</w:t>
      </w:r>
      <w:r>
        <w:t xml:space="preserve"> </w:t>
      </w:r>
      <w:r>
        <w:rPr>
          <w:iCs/>
          <w:i/>
        </w:rPr>
        <w:t xml:space="preserve">disclosure</w:t>
      </w:r>
      <w:r>
        <w:t xml:space="preserve">: it is</w:t>
      </w:r>
      <w:r>
        <w:t xml:space="preserve"> </w:t>
      </w:r>
      <w:r>
        <w:t xml:space="preserve">tempting to read a residue set as a threshold secret-sharing scheme, exact</w:t>
      </w:r>
      <w:r>
        <w:t xml:space="preserve"> </w:t>
      </w:r>
      <w:r>
        <w:t xml:space="preserve">recovery from a complete or near-complete subset, negligible information</w:t>
      </w:r>
      <w:r>
        <w:t xml:space="preserve"> </w:t>
      </w:r>
      <w:r>
        <w:t xml:space="preserve">from any one share in isolation, but the two constructions are not</w:t>
      </w:r>
      <w:r>
        <w:t xml:space="preserve"> </w:t>
      </w:r>
      <w:r>
        <w:t xml:space="preserve">equivalent. A Shamir-style share is deliberately randomised so that any</w:t>
      </w:r>
      <w:r>
        <w:t xml:space="preserve"> </w:t>
      </w:r>
      <w:r>
        <w:t xml:space="preserve">share short of the threshold is uniformly distributed independent of the</w:t>
      </w:r>
      <w:r>
        <w:t xml:space="preserve"> </w:t>
      </w:r>
      <w:r>
        <w:t xml:space="preserve">secret </w:t>
      </w:r>
      <w:r>
        <w:t xml:space="preserve">(Shoup 2009)</w:t>
      </w:r>
      <w:r>
        <w:t xml:space="preserve">; a plain CRT residue is not.</w:t>
      </w:r>
      <w:r>
        <w:t xml:space="preserve"> </w:t>
      </w:r>
      <m:oMath>
        <m:sSub>
          <m:e>
            <m:r>
              <m:t>r</m:t>
            </m:r>
          </m:e>
          <m:sub>
            <m:r>
              <m:t>i</m:t>
            </m:r>
          </m:sub>
        </m:sSub>
        <m:r>
          <m:rPr>
            <m:sty m:val="p"/>
          </m:rPr>
          <m:t>=</m:t>
        </m:r>
        <m:r>
          <m:t>x</m:t>
        </m:r>
        <m:r>
          <m:t> </m:t>
        </m:r>
        <m:r>
          <m:rPr>
            <m:sty m:val="p"/>
          </m:rPr>
          <m:t>mod</m:t>
        </m:r>
        <m:r>
          <m:t> </m:t>
        </m:r>
        <m:sSub>
          <m:e>
            <m:r>
              <m:t>m</m:t>
            </m:r>
          </m:e>
          <m:sub>
            <m:r>
              <m:t>i</m:t>
            </m:r>
          </m:sub>
        </m:sSub>
      </m:oMath>
      <w:r>
        <w:t xml:space="preserve"> </w:t>
      </w:r>
      <w:r>
        <w:t xml:space="preserve">is a deterministic function of</w:t>
      </w:r>
      <w:r>
        <w:t xml:space="preserve"> </w:t>
      </w:r>
      <m:oMath>
        <m:r>
          <m:t>x</m:t>
        </m:r>
      </m:oMath>
      <w:r>
        <w:t xml:space="preserve">, so intercepting it</w:t>
      </w:r>
      <w:r>
        <w:t xml:space="preserve"> </w:t>
      </w:r>
      <w:r>
        <w:t xml:space="preserve">narrows the field of possible values by a factor of roughly</w:t>
      </w:r>
      <w:r>
        <w:t xml:space="preserve"> </w:t>
      </w:r>
      <m:oMath>
        <m:sSub>
          <m:e>
            <m:r>
              <m:t>m</m:t>
            </m:r>
          </m:e>
          <m:sub>
            <m:r>
              <m:t>i</m:t>
            </m:r>
          </m:sub>
        </m:sSub>
      </m:oMath>
      <w:r>
        <w:t xml:space="preserve"> </w:t>
      </w:r>
      <w:r>
        <w:t xml:space="preserve">rather</w:t>
      </w:r>
      <w:r>
        <w:t xml:space="preserve"> </w:t>
      </w:r>
      <w:r>
        <w:t xml:space="preserve">than leaking nothing, and if the plaintext domain is itself small relative</w:t>
      </w:r>
      <w:r>
        <w:t xml:space="preserve"> </w:t>
      </w:r>
      <w:r>
        <w:t xml:space="preserve">to</w:t>
      </w:r>
      <w:r>
        <w:t xml:space="preserve"> </w:t>
      </w:r>
      <m:oMath>
        <m:sSub>
          <m:e>
            <m:r>
              <m:t>m</m:t>
            </m:r>
          </m:e>
          <m:sub>
            <m:r>
              <m:t>i</m:t>
            </m:r>
          </m:sub>
        </m:sSub>
      </m:oMath>
      <w:r>
        <w:t xml:space="preserve">, a single residue can narrow that field to very little uncertainty</w:t>
      </w:r>
      <w:r>
        <w:t xml:space="preserve"> </w:t>
      </w:r>
      <w:r>
        <w:t xml:space="preserve">indeed. Whether residue disclosure is negligible in practice therefore</w:t>
      </w:r>
      <w:r>
        <w:t xml:space="preserve"> </w:t>
      </w:r>
      <w:r>
        <w:t xml:space="preserve">depends on the ratio between the plaintext’s domain and the moduli chosen,</w:t>
      </w:r>
      <w:r>
        <w:t xml:space="preserve"> </w:t>
      </w:r>
      <w:r>
        <w:t xml:space="preserve">not on the reconstruction identity alone, and the reviewed literature has</w:t>
      </w:r>
      <w:r>
        <w:t xml:space="preserve"> </w:t>
      </w:r>
      <w:r>
        <w:t xml:space="preserve">not established that ratio for any deployed system;</w:t>
      </w:r>
      <w:r>
        <w:t xml:space="preserve"> </w:t>
      </w:r>
      <w:r>
        <w:t xml:space="preserve">Section </w:t>
      </w:r>
      <w:hyperlink w:anchor="subsec:lit_privacy">
        <w:r>
          <w:rPr>
            <w:rStyle w:val="Hyperlink"/>
          </w:rPr>
          <w:t xml:space="preserve">2.2.6</w:t>
        </w:r>
      </w:hyperlink>
      <w:r>
        <w:t xml:space="preserve"> </w:t>
      </w:r>
      <w:r>
        <w:t xml:space="preserve">returns to this distinction, and Chapter</w:t>
      </w:r>
      <w:r>
        <w:t xml:space="preserve"> </w:t>
      </w:r>
      <w:r>
        <w:t xml:space="preserve">One’s hypothesis H5 treats it as open rather than established.</w:t>
      </w:r>
    </w:p>
    <w:p>
      <w:pPr>
        <w:pStyle w:val="BodyText"/>
      </w:pPr>
      <w:r>
        <w:t xml:space="preserve">Three application communities have used</w:t>
      </w:r>
      <w:r>
        <w:t xml:space="preserve"> </w:t>
      </w:r>
      <w:r>
        <w:t xml:space="preserve">Equations </w:t>
      </w:r>
      <w:hyperlink w:anchor="eq:crt_reconstruction">
        <w:r>
          <w:rPr>
            <w:rStyle w:val="Hyperlink"/>
          </w:rPr>
          <w:t xml:space="preserve">[eq:crt_reconstruction]</w:t>
        </w:r>
      </w:hyperlink>
      <w:r>
        <w:t xml:space="preserve"> </w:t>
      </w:r>
      <w:r>
        <w:t xml:space="preserve">for three different resources. The</w:t>
      </w:r>
      <w:r>
        <w:t xml:space="preserve"> </w:t>
      </w:r>
      <w:r>
        <w:t xml:space="preserve">first treats it as a</w:t>
      </w:r>
      <w:r>
        <w:t xml:space="preserve"> </w:t>
      </w:r>
      <w:r>
        <w:rPr>
          <w:iCs/>
          <w:i/>
        </w:rPr>
        <w:t xml:space="preserve">storage</w:t>
      </w:r>
      <w:r>
        <w:t xml:space="preserve"> </w:t>
      </w:r>
      <w:r>
        <w:t xml:space="preserve">problem: residue-based lossless image</w:t>
      </w:r>
      <w:r>
        <w:t xml:space="preserve"> </w:t>
      </w:r>
      <w:r>
        <w:t xml:space="preserve">compression reports 15 to 30% footprint reduction with exact</w:t>
      </w:r>
      <w:r>
        <w:t xml:space="preserve"> </w:t>
      </w:r>
      <w:r>
        <w:t xml:space="preserve">reconstruction </w:t>
      </w:r>
      <w:r>
        <w:t xml:space="preserve">(Vidhya and Brindha 2021a, 2021b)</w:t>
      </w:r>
      <w:r>
        <w:t xml:space="preserve">. The second treats</w:t>
      </w:r>
      <w:r>
        <w:t xml:space="preserve"> </w:t>
      </w:r>
      <w:r>
        <w:t xml:space="preserve">it as an</w:t>
      </w:r>
      <w:r>
        <w:t xml:space="preserve"> </w:t>
      </w:r>
      <w:r>
        <w:rPr>
          <w:iCs/>
          <w:i/>
        </w:rPr>
        <w:t xml:space="preserve">energy</w:t>
      </w:r>
      <w:r>
        <w:t xml:space="preserve"> </w:t>
      </w:r>
      <w:r>
        <w:t xml:space="preserve">problem inside wireless sensor</w:t>
      </w:r>
      <w:r>
        <w:t xml:space="preserve"> </w:t>
      </w:r>
      <w:r>
        <w:t xml:space="preserve">networks, converting a single wide-range reading into several</w:t>
      </w:r>
      <w:r>
        <w:t xml:space="preserve"> </w:t>
      </w:r>
      <w:r>
        <w:t xml:space="preserve">narrow-range residues to shrink the arithmetic and storage cost per</w:t>
      </w:r>
      <w:r>
        <w:t xml:space="preserve"> </w:t>
      </w:r>
      <w:r>
        <w:t xml:space="preserve">node </w:t>
      </w:r>
      <w:r>
        <w:t xml:space="preserve">(Pourbigharaz and Yassine 1994; Buttigieg, Farrugia, and Zammit-Mangion 2014; Ye et al. 2018)</w:t>
      </w:r>
      <w:r>
        <w:t xml:space="preserve">.</w:t>
      </w:r>
      <w:r>
        <w:t xml:space="preserve"> </w:t>
      </w:r>
      <w:r>
        <w:t xml:space="preserve">The third, established in the candidate’s own prior</w:t>
      </w:r>
      <w:r>
        <w:t xml:space="preserve"> </w:t>
      </w:r>
      <w:r>
        <w:t xml:space="preserve">work </w:t>
      </w:r>
      <w:r>
        <w:t xml:space="preserve">(Beloa 2025)</w:t>
      </w:r>
      <w:r>
        <w:t xml:space="preserve">, treats it as a</w:t>
      </w:r>
      <w:r>
        <w:t xml:space="preserve"> </w:t>
      </w:r>
      <w:r>
        <w:rPr>
          <w:iCs/>
          <w:i/>
        </w:rPr>
        <w:t xml:space="preserve">processor-cycle</w:t>
      </w:r>
      <w:r>
        <w:t xml:space="preserve"> </w:t>
      </w:r>
      <w:r>
        <w:t xml:space="preserve">problem: decomposing the modular exponentiation inside Elliptic Curve Digital Signature Algorithm (ECDSA)</w:t>
      </w:r>
      <w:r>
        <w:t xml:space="preserve"> </w:t>
      </w:r>
      <w:r>
        <w:t xml:space="preserve">signature verification into</w:t>
      </w:r>
      <w:r>
        <w:t xml:space="preserve"> </w:t>
      </w:r>
      <m:oMath>
        <m:r>
          <m:t>k</m:t>
        </m:r>
      </m:oMath>
      <w:r>
        <w:t xml:space="preserve"> </w:t>
      </w:r>
      <w:r>
        <w:t xml:space="preserve">independent sub-computations over smaller</w:t>
      </w:r>
      <w:r>
        <w:t xml:space="preserve"> </w:t>
      </w:r>
      <w:r>
        <w:t xml:space="preserve">coprime moduli, each assignable to a separate core, so that Bitcoin</w:t>
      </w:r>
      <w:r>
        <w:t xml:space="preserve"> </w:t>
      </w:r>
      <w:r>
        <w:t xml:space="preserve">transaction validation throughput increases without a change to block size</w:t>
      </w:r>
      <w:r>
        <w:t xml:space="preserve"> </w:t>
      </w:r>
      <w:r>
        <w:t xml:space="preserve">or consensus rules. That result establishes the arithmetic and the</w:t>
      </w:r>
      <w:r>
        <w:t xml:space="preserve"> </w:t>
      </w:r>
      <w:r>
        <w:t xml:space="preserve">parallelisation argument at the centre of a blockchain node; it does not</w:t>
      </w:r>
      <w:r>
        <w:t xml:space="preserve"> </w:t>
      </w:r>
      <w:r>
        <w:t xml:space="preserve">address the constrained radio link at the edge of a sensor network, where</w:t>
      </w:r>
      <w:r>
        <w:t xml:space="preserve"> </w:t>
      </w:r>
      <w:r>
        <w:t xml:space="preserve">the scarce resource is airtime rather than Central Processing Unit (CPU) cycles, nor the</w:t>
      </w:r>
      <w:r>
        <w:t xml:space="preserve"> </w:t>
      </w:r>
      <w:r>
        <w:t xml:space="preserve">identity and confidentiality questions that arise once residues cross a</w:t>
      </w:r>
      <w:r>
        <w:t xml:space="preserve"> </w:t>
      </w:r>
      <w:r>
        <w:t xml:space="preserve">shared wireless medium rather than staying inside one machine’s memory.</w:t>
      </w:r>
      <w:r>
        <w:t xml:space="preserve"> </w:t>
      </w:r>
      <w:r>
        <w:t xml:space="preserve">Figure </w:t>
      </w:r>
      <w:hyperlink w:anchor="fig:lit-crt-pipelines">
        <w:r>
          <w:rPr>
            <w:rStyle w:val="Hyperlink"/>
          </w:rPr>
          <w:t xml:space="preserve">2.3</w:t>
        </w:r>
      </w:hyperlink>
      <w:r>
        <w:t xml:space="preserve"> </w:t>
      </w:r>
      <w:r>
        <w:t xml:space="preserve">sets the two pipelines side by side.</w:t>
      </w:r>
      <w:r>
        <w:t xml:space="preserve"> </w:t>
      </w:r>
      <w:r>
        <w:t xml:space="preserve">This thesis takes the arithmetic of Equation </w:t>
      </w:r>
      <w:hyperlink w:anchor="eq:crt_reconstruction">
        <w:r>
          <w:rPr>
            <w:rStyle w:val="Hyperlink"/>
          </w:rPr>
          <w:t xml:space="preserve">[eq:crt_reconstruction]</w:t>
        </w:r>
      </w:hyperlink>
      <w:r>
        <w:t xml:space="preserve"> </w:t>
      </w:r>
      <w:r>
        <w:t xml:space="preserve">as</w:t>
      </w:r>
      <w:r>
        <w:t xml:space="preserve"> </w:t>
      </w:r>
      <w:r>
        <w:t xml:space="preserve">established by all three communities and asks what it is worth when the</w:t>
      </w:r>
      <w:r>
        <w:t xml:space="preserve"> </w:t>
      </w:r>
      <w:r>
        <w:t xml:space="preserve">parallel resource is a multi-channel radio concentrator rather than a</w:t>
      </w:r>
      <w:r>
        <w:t xml:space="preserve"> </w:t>
      </w:r>
      <w:r>
        <w:t xml:space="preserve">multi-core processor, which, to the reviewed literature’s knowledge, no</w:t>
      </w:r>
      <w:r>
        <w:t xml:space="preserve"> </w:t>
      </w:r>
      <w:r>
        <w:t xml:space="preserve">prior system has done </w:t>
      </w:r>
      <w:r>
        <w:t xml:space="preserve">(Y. Wang, Chen, and Wang 2018)</w:t>
      </w:r>
      <w:r>
        <w:t xml:space="preserve">.</w:t>
      </w:r>
    </w:p>
    <w:tbl>
      <w:tblPr>
        <w:tblStyle w:val="FigureTable"/>
        <w:tblW w:type="auto" w:w="0"/>
        <w:tblLook w:firstRow="0" w:lastRow="0" w:firstColumn="0" w:lastColumn="0"/>
        <w:jc w:val="center"/>
      </w:tblPr>
      <w:tblGrid/>
      <w:tr/>
    </w:tbl>
    <w:p>
      <w:pPr>
        <w:pStyle w:val="ImageCaption"/>
      </w:pPr>
      <w:r>
        <w:t xml:space="preserve">The same reconstruction identity (Eq. </w:t>
      </w:r>
      <w:hyperlink w:anchor="eq:crt_reconstruction">
        <w:r>
          <w:rPr>
            <w:rStyle w:val="Hyperlink"/>
          </w:rPr>
          <w:t xml:space="preserve">[eq:crt_reconstruction]</w:t>
        </w:r>
      </w:hyperlink>
      <w:r>
        <w:t xml:space="preserve">)</w:t>
      </w:r>
      <w:r>
        <w:t xml:space="preserve"> </w:t>
      </w:r>
      <w:r>
        <w:t xml:space="preserve">applied to two different parallel resources. Prior work</w:t>
      </w:r>
      <w:r>
        <w:t xml:space="preserve"> </w:t>
      </w:r>
      <w:r>
        <w:t xml:space="preserve">parallelises processor cycles inside one machine; this thesis</w:t>
      </w:r>
      <w:r>
        <w:t xml:space="preserve"> </w:t>
      </w:r>
      <w:r>
        <w:t xml:space="preserve">parallelises radio sub-channels across a shared medium, which</w:t>
      </w:r>
      <w:r>
        <w:t xml:space="preserve"> </w:t>
      </w:r>
      <w:r>
        <w:t xml:space="preserve">introduces identity and confidentiality questions the prior</w:t>
      </w:r>
      <w:r>
        <w:t xml:space="preserve"> </w:t>
      </w:r>
      <w:r>
        <w:t xml:space="preserve">application does not face.</w:t>
      </w:r>
    </w:p>
    <w:bookmarkEnd w:id="45"/>
    <w:bookmarkStart w:id="47" w:name="subsec:lit_blockchain_ag"/>
    <w:p>
      <w:pPr>
        <w:pStyle w:val="Heading3"/>
      </w:pPr>
      <w:r>
        <w:rPr>
          <w:rStyle w:val="SectionNumber"/>
        </w:rPr>
        <w:t xml:space="preserve">2.2.4</w:t>
      </w:r>
      <w:r>
        <w:tab/>
      </w:r>
      <w:r>
        <w:t xml:space="preserve">Blockchain and Distributed Ledger Technology in Agriculture and</w:t>
      </w:r>
      <w:r>
        <w:t xml:space="preserve"> </w:t>
      </w:r>
      <w:r>
        <w:t xml:space="preserve">Supply Chains</w:t>
      </w:r>
    </w:p>
    <w:p>
      <w:pPr>
        <w:pStyle w:val="FirstParagraph"/>
      </w:pPr>
      <w:r>
        <w:t xml:space="preserve">A distributed ledger’s tamper evidence rests on hash chaining: each block</w:t>
      </w:r>
      <w:r>
        <w:t xml:space="preserve"> </w:t>
      </w:r>
      <m:oMath>
        <m:sSub>
          <m:e>
            <m:r>
              <m:t>B</m:t>
            </m:r>
          </m:e>
          <m:sub>
            <m:r>
              <m:t>i</m:t>
            </m:r>
          </m:sub>
        </m:sSub>
      </m:oMath>
      <w:r>
        <w:t xml:space="preserve"> </w:t>
      </w:r>
      <w:r>
        <w:t xml:space="preserve">commits to its predecessor and its own transaction set through</w:t>
      </w:r>
    </w:p>
    <w:p>
      <w:pPr>
        <w:pStyle w:val="BodyText"/>
      </w:pPr>
      <m:oMathPara>
        <m:oMathParaPr>
          <m:jc m:val="center"/>
        </m:oMathParaPr>
        <m:oMath>
          <m:sSub>
            <m:e>
              <m:r>
                <m:t>h</m:t>
              </m:r>
            </m:e>
            <m:sub>
              <m:r>
                <m:t>i</m:t>
              </m:r>
            </m:sub>
          </m:sSub>
          <m:r>
            <m:rPr>
              <m:sty m:val="p"/>
            </m:rPr>
            <m:t>=</m:t>
          </m:r>
          <m:r>
            <m:t>H</m:t>
          </m:r>
          <m:r>
            <m:t>​</m:t>
          </m:r>
          <m:d>
            <m:dPr>
              <m:begChr m:val="("/>
              <m:endChr m:val=")"/>
              <m:sepChr m:val=""/>
              <m:grow/>
            </m:dPr>
            <m:e>
              <m:sSub>
                <m:e>
                  <m:r>
                    <m:t>h</m:t>
                  </m:r>
                </m:e>
                <m:sub>
                  <m:r>
                    <m:t>i</m:t>
                  </m:r>
                  <m:r>
                    <m:rPr>
                      <m:sty m:val="p"/>
                    </m:rPr>
                    <m:t>−</m:t>
                  </m:r>
                  <m:r>
                    <m:t>1</m:t>
                  </m:r>
                </m:sub>
              </m:sSub>
              <m:r>
                <m:t> </m:t>
              </m:r>
              <m:r>
                <m:rPr>
                  <m:sty m:val="p"/>
                </m:rPr>
                <m:t>∥</m:t>
              </m:r>
              <m:r>
                <m:t> </m:t>
              </m:r>
              <m:sSub>
                <m:e>
                  <m:r>
                    <m:rPr>
                      <m:sty m:val="p"/>
                    </m:rPr>
                    <m:t>t</m:t>
                  </m:r>
                  <m:r>
                    <m:rPr>
                      <m:sty m:val="p"/>
                    </m:rPr>
                    <m:t>x</m:t>
                  </m:r>
                </m:e>
                <m:sub>
                  <m:r>
                    <m:t>i</m:t>
                  </m:r>
                </m:sub>
              </m:sSub>
            </m:e>
          </m:d>
          <m:r>
            <m:rPr>
              <m:sty m:val="p"/>
            </m:rPr>
            <m:t>,</m:t>
          </m:r>
        </m:oMath>
      </m:oMathPara>
    </w:p>
    <w:p>
      <w:pPr>
        <w:pStyle w:val="FirstParagraph"/>
      </w:pPr>
      <w:r>
        <w:t xml:space="preserve">where</w:t>
      </w:r>
      <w:r>
        <w:t xml:space="preserve"> </w:t>
      </w:r>
      <m:oMath>
        <m:r>
          <m:t>H</m:t>
        </m:r>
      </m:oMath>
      <w:r>
        <w:t xml:space="preserve"> </w:t>
      </w:r>
      <w:r>
        <w:t xml:space="preserve">is a cryptographic hash function, so that altering any committed</w:t>
      </w:r>
      <w:r>
        <w:t xml:space="preserve"> </w:t>
      </w:r>
      <m:oMath>
        <m:sSub>
          <m:e>
            <m:r>
              <m:rPr>
                <m:sty m:val="p"/>
              </m:rPr>
              <m:t>t</m:t>
            </m:r>
            <m:r>
              <m:rPr>
                <m:sty m:val="p"/>
              </m:rPr>
              <m:t>x</m:t>
            </m:r>
          </m:e>
          <m:sub>
            <m:r>
              <m:t>j</m:t>
            </m:r>
          </m:sub>
        </m:sSub>
      </m:oMath>
      <w:r>
        <w:t xml:space="preserve"> </w:t>
      </w:r>
      <w:r>
        <w:t xml:space="preserve">for</w:t>
      </w:r>
      <w:r>
        <w:t xml:space="preserve"> </w:t>
      </w:r>
      <m:oMath>
        <m:r>
          <m:t>j</m:t>
        </m:r>
        <m:r>
          <m:rPr>
            <m:sty m:val="p"/>
          </m:rPr>
          <m:t>≤</m:t>
        </m:r>
        <m:r>
          <m:t>i</m:t>
        </m:r>
      </m:oMath>
      <w:r>
        <w:t xml:space="preserve"> </w:t>
      </w:r>
      <w:r>
        <w:t xml:space="preserve">requires recomputing every</w:t>
      </w:r>
      <w:r>
        <w:t xml:space="preserve"> </w:t>
      </w:r>
      <m:oMath>
        <m:sSub>
          <m:e>
            <m:r>
              <m:t>h</m:t>
            </m:r>
          </m:e>
          <m:sub>
            <m:r>
              <m:t>j</m:t>
            </m:r>
          </m:sub>
        </m:sSub>
        <m:r>
          <m:rPr>
            <m:sty m:val="p"/>
          </m:rPr>
          <m:t>,</m:t>
        </m:r>
        <m:r>
          <m:rPr>
            <m:sty m:val="p"/>
          </m:rPr>
          <m:t>…</m:t>
        </m:r>
        <m:r>
          <m:rPr>
            <m:sty m:val="p"/>
          </m:rPr>
          <m:t>,</m:t>
        </m:r>
        <m:sSub>
          <m:e>
            <m:r>
              <m:t>h</m:t>
            </m:r>
          </m:e>
          <m:sub>
            <m:r>
              <m:t>i</m:t>
            </m:r>
          </m:sub>
        </m:sSub>
      </m:oMath>
      <w:r>
        <w:t xml:space="preserve"> </w:t>
      </w:r>
      <w:r>
        <w:t xml:space="preserve">across every replica that holds the chain, a cost that grows with the</w:t>
      </w:r>
      <w:r>
        <w:t xml:space="preserve"> </w:t>
      </w:r>
      <w:r>
        <w:t xml:space="preserve">number of mutually distrusting replicas rather than</w:t>
      </w:r>
      <w:r>
        <w:t xml:space="preserve"> </w:t>
      </w:r>
      <w:r>
        <w:t xml:space="preserve">shrinking </w:t>
      </w:r>
      <w:r>
        <w:t xml:space="preserve">(Merkle 1988)</w:t>
      </w:r>
      <w:r>
        <w:t xml:space="preserve">. Merkle’s original construction</w:t>
      </w:r>
      <w:r>
        <w:t xml:space="preserve"> </w:t>
      </w:r>
      <w:r>
        <w:t xml:space="preserve">generalises Equation </w:t>
      </w:r>
      <w:hyperlink w:anchor="eq:hash_chain">
        <w:r>
          <w:rPr>
            <w:rStyle w:val="Hyperlink"/>
          </w:rPr>
          <w:t xml:space="preserve">[eq:hash_chain]</w:t>
        </w:r>
      </w:hyperlink>
      <w:r>
        <w:t xml:space="preserve"> </w:t>
      </w:r>
      <w:r>
        <w:t xml:space="preserve">to a binary tree of hashes so that</w:t>
      </w:r>
      <w:r>
        <w:t xml:space="preserve"> </w:t>
      </w:r>
      <w:r>
        <w:t xml:space="preserve">membership of a single transaction can be proven in</w:t>
      </w:r>
      <w:r>
        <w:t xml:space="preserve"> </w:t>
      </w:r>
      <m:oMath>
        <m:r>
          <m:t>O</m:t>
        </m:r>
        <m:d>
          <m:dPr>
            <m:begChr m:val="("/>
            <m:endChr m:val=")"/>
            <m:sepChr m:val=""/>
            <m:grow/>
          </m:dPr>
          <m:e>
            <m:r>
              <m:rPr>
                <m:sty m:val="p"/>
              </m:rPr>
              <m:t>log</m:t>
            </m:r>
            <m:r>
              <m:t>n</m:t>
            </m:r>
          </m:e>
        </m:d>
      </m:oMath>
      <w:r>
        <w:t xml:space="preserve"> </w:t>
      </w:r>
      <w:r>
        <w:t xml:space="preserve">rather than</w:t>
      </w:r>
      <w:r>
        <w:t xml:space="preserve"> </w:t>
      </w:r>
      <w:r>
        <w:t xml:space="preserve">by revealing the whole block, a property later systems use for compact</w:t>
      </w:r>
      <w:r>
        <w:t xml:space="preserve"> </w:t>
      </w:r>
      <w:r>
        <w:t xml:space="preserve">audit proofs </w:t>
      </w:r>
      <w:r>
        <w:t xml:space="preserve">(P. K. Sharma, Moon, and Park 2017)</w:t>
      </w:r>
      <w:r>
        <w:t xml:space="preserve">. Applied to agriculture, this</w:t>
      </w:r>
      <w:r>
        <w:t xml:space="preserve"> </w:t>
      </w:r>
      <w:r>
        <w:t xml:space="preserve">tamper-evidence property has been used for supply-chain</w:t>
      </w:r>
      <w:r>
        <w:t xml:space="preserve"> </w:t>
      </w:r>
      <w:r>
        <w:t xml:space="preserve">transparency </w:t>
      </w:r>
      <w:r>
        <w:t xml:space="preserve">(F. Tian 2016, 2017; Kamilaris, Fonts, and Prenafeta-Boldó 2019; Bosona and Gebresenbet 2023; Galvez, Mejuto, and Simal-Gandara 2018; Reyna et al. 2018; Feng Tian 2017a; Kamilaris, Fonts, and Prenafeta-Boldú 2019a)</w:t>
      </w:r>
      <w:r>
        <w:t xml:space="preserve">, farm-data</w:t>
      </w:r>
      <w:r>
        <w:t xml:space="preserve"> </w:t>
      </w:r>
      <w:r>
        <w:t xml:space="preserve">management </w:t>
      </w:r>
      <w:r>
        <w:t xml:space="preserve">(Jian Lin et al. 2018; Mohamed Amine Ferrag et al. 2020; Haque, Bhushan, and Dhiman 2024; P. Zhang et al. 2019; Aliyu and Liu 2023c)</w:t>
      </w:r>
      <w:r>
        <w:t xml:space="preserve">, and smart-contract</w:t>
      </w:r>
      <w:r>
        <w:t xml:space="preserve"> </w:t>
      </w:r>
      <w:r>
        <w:t xml:space="preserve">automation of certification and payment</w:t>
      </w:r>
      <w:r>
        <w:t xml:space="preserve"> </w:t>
      </w:r>
      <w:r>
        <w:t xml:space="preserve">logic </w:t>
      </w:r>
      <w:r>
        <w:t xml:space="preserve">(Rama et al. 2021; Patil et al. 2022; Feng Tian 2016, 2017b; Jin, Du, and Jin 2025a)</w:t>
      </w:r>
      <w:r>
        <w:t xml:space="preserve">. Cross-organisational data</w:t>
      </w:r>
      <w:r>
        <w:t xml:space="preserve"> </w:t>
      </w:r>
      <w:r>
        <w:t xml:space="preserve">sharing has more recently been framed through self-sovereign identity,</w:t>
      </w:r>
      <w:r>
        <w:t xml:space="preserve"> </w:t>
      </w:r>
      <w:r>
        <w:t xml:space="preserve">letting a farm operator authorise fine-grained access without handing a</w:t>
      </w:r>
      <w:r>
        <w:t xml:space="preserve"> </w:t>
      </w:r>
      <w:r>
        <w:t xml:space="preserve">consortium a standing credential </w:t>
      </w:r>
      <w:r>
        <w:t xml:space="preserve">(Amraouy, Benbrahim, and Kabbaj 2025b)</w:t>
      </w:r>
      <w:r>
        <w:t xml:space="preserve">, and water-quality</w:t>
      </w:r>
      <w:r>
        <w:t xml:space="preserve"> </w:t>
      </w:r>
      <w:r>
        <w:t xml:space="preserve">and irrigation-specific ledgers report similar tamper-evidence</w:t>
      </w:r>
      <w:r>
        <w:t xml:space="preserve"> </w:t>
      </w:r>
      <w:r>
        <w:t xml:space="preserve">gains </w:t>
      </w:r>
      <w:r>
        <w:t xml:space="preserve">(Hung, Kang, and Song 2022; Amraouy, Benbrahim, and Kabbaj 2025a; Aqeel-ur-Rehman et al. 2014; Aliyu and Liu 2023a; Frustaci et al. 2018)</w:t>
      </w:r>
      <w:r>
        <w:t xml:space="preserve">. The generic IoT-blockchain integration</w:t>
      </w:r>
      <w:r>
        <w:t xml:space="preserve"> </w:t>
      </w:r>
      <w:r>
        <w:t xml:space="preserve">literature that agricultural systems draw their architecture from</w:t>
      </w:r>
      <w:r>
        <w:t xml:space="preserve"> </w:t>
      </w:r>
      <w:r>
        <w:t xml:space="preserve">independently confirms the same design pattern: a lightweight device signs</w:t>
      </w:r>
      <w:r>
        <w:t xml:space="preserve"> </w:t>
      </w:r>
      <w:r>
        <w:t xml:space="preserve">and forwards, a gateway or edge node validates and submits, and the ledger</w:t>
      </w:r>
      <w:r>
        <w:t xml:space="preserve"> </w:t>
      </w:r>
      <w:r>
        <w:t xml:space="preserve">anchors a hash rather than the raw</w:t>
      </w:r>
      <w:r>
        <w:t xml:space="preserve"> </w:t>
      </w:r>
      <w:r>
        <w:t xml:space="preserve">payload </w:t>
      </w:r>
      <w:r>
        <w:t xml:space="preserve">(Dorri, Kanhere, and Jurdak 2017a; Dorri et al. 2017; R. Xu et al. 2020; Reyna et al. 2018; Hammi et al. 2018)</w:t>
      </w:r>
      <w:r>
        <w:t xml:space="preserve">.</w:t>
      </w:r>
    </w:p>
    <w:p>
      <w:pPr>
        <w:pStyle w:val="BodyText"/>
      </w:pPr>
      <w:r>
        <w:t xml:space="preserve">What this body of literature does not establish is where the tamper</w:t>
      </w:r>
      <w:r>
        <w:t xml:space="preserve"> </w:t>
      </w:r>
      <w:r>
        <w:t xml:space="preserve">evidence begins. Almost every system surveyed authenticates at the gateway</w:t>
      </w:r>
      <w:r>
        <w:t xml:space="preserve"> </w:t>
      </w:r>
      <w:r>
        <w:t xml:space="preserve">or the enterprise boundary and treats the sensor as an untrusted data</w:t>
      </w:r>
      <w:r>
        <w:t xml:space="preserve"> </w:t>
      </w:r>
      <w:r>
        <w:t xml:space="preserve">source whose values are accepted once they arrive, not a principal whose</w:t>
      </w:r>
      <w:r>
        <w:t xml:space="preserve"> </w:t>
      </w:r>
      <w:r>
        <w:t xml:space="preserve">identity is bound to the record it produced </w:t>
      </w:r>
      <w:r>
        <w:t xml:space="preserve">(J. Lin et al. 2018; M. A. Ferrag, Shu, and Debbah 2020; Kamilaris, Fonts, and Prenafeta-Boldú 2019b, 2019c; Aliyu and Liu 2023b)</w:t>
      </w:r>
      <w:r>
        <w:t xml:space="preserve">. Table </w:t>
      </w:r>
      <w:hyperlink w:anchor="tab:lit-blockchain-ag">
        <w:r>
          <w:rPr>
            <w:rStyle w:val="Hyperlink"/>
          </w:rPr>
          <w:t xml:space="preserve">2.2</w:t>
        </w:r>
      </w:hyperlink>
      <w:r>
        <w:t xml:space="preserve"> </w:t>
      </w:r>
      <w:r>
        <w:t xml:space="preserve">makes this</w:t>
      </w:r>
      <w:r>
        <w:t xml:space="preserve"> </w:t>
      </w:r>
      <w:r>
        <w:t xml:space="preserve">concrete across a representative sample: the column that is consistently</w:t>
      </w:r>
      <w:r>
        <w:t xml:space="preserve"> </w:t>
      </w:r>
      <w:r>
        <w:t xml:space="preserve">weak or absent is node-level, rather than gateway-level, identity binding,</w:t>
      </w:r>
      <w:r>
        <w:t xml:space="preserve"> </w:t>
      </w:r>
      <w:r>
        <w:t xml:space="preserve">which is precisely the gap Chapter One’s problem statement</w:t>
      </w:r>
      <w:r>
        <w:t xml:space="preserve"> </w:t>
      </w:r>
      <w:r>
        <w:t xml:space="preserve">(Section </w:t>
      </w:r>
      <w:hyperlink w:anchor="sec:problem">
        <w:r>
          <w:rPr>
            <w:rStyle w:val="Hyperlink"/>
          </w:rPr>
          <w:t xml:space="preserve">1.2</w:t>
        </w:r>
      </w:hyperlink>
      <w:r>
        <w:t xml:space="preserve">) identifies.</w:t>
      </w:r>
    </w:p>
    <w:bookmarkStart w:id="46" w:name="tab:lit-blockchain-ag"/>
    <w:p>
      <w:pPr>
        <w:pStyle w:val="TableCaption"/>
      </w:pPr>
      <w:r>
        <w:t xml:space="preserve">Representative blockchain-in-agriculture systems by authentication</w:t>
      </w:r>
      <w:r>
        <w:t xml:space="preserve"> </w:t>
      </w:r>
      <w:r>
        <w:t xml:space="preserve">boundary and evaluation setting</w:t>
      </w:r>
    </w:p>
    <w:tbl>
      <w:tblPr>
        <w:tblStyle w:val="Table"/>
        <w:tblW w:type="auto" w:w="0"/>
        <w:tblLook w:firstRow="1" w:lastRow="0" w:firstColumn="0" w:lastColumn="0" w:noHBand="0" w:noVBand="0" w:val="0020"/>
        <w:jc w:val="start"/>
        <w:tblCaption w:val="Representative blockchain-in-agriculture systems by authentication boundary and evaluation setting"/>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Authentication boundary</w:t>
            </w:r>
          </w:p>
        </w:tc>
        <w:tc>
          <w:tcPr/>
          <w:p>
            <w:pPr>
              <w:pStyle w:val="Compact"/>
              <w:jc w:val="left"/>
            </w:pPr>
            <w:r>
              <w:rPr>
                <w:bCs/>
                <w:b/>
              </w:rPr>
              <w:t xml:space="preserve">Evaluation setting</w:t>
            </w:r>
          </w:p>
        </w:tc>
        <w:tc>
          <w:tcPr/>
          <w:p>
            <w:pPr>
              <w:pStyle w:val="Compact"/>
              <w:jc w:val="left"/>
            </w:pPr>
            <w:r>
              <w:rPr>
                <w:bCs/>
                <w:b/>
              </w:rPr>
              <w:t xml:space="preserve">Reported gap</w:t>
            </w:r>
          </w:p>
        </w:tc>
      </w:tr>
      <w:tr>
        <w:tc>
          <w:tcPr/>
          <w:p>
            <w:pPr>
              <w:pStyle w:val="Compact"/>
              <w:jc w:val="left"/>
            </w:pPr>
            <w:r>
              <w:t xml:space="preserve">Tian </w:t>
            </w:r>
            <w:r>
              <w:t xml:space="preserve">(F. Tian 2016)</w:t>
            </w:r>
            <w:r>
              <w:t xml:space="preserve">; Kamilaris et al. </w:t>
            </w:r>
            <w:r>
              <w:t xml:space="preserve">(Kamilaris, Fonts, and Prenafeta-Boldó 2019)</w:t>
            </w:r>
          </w:p>
        </w:tc>
        <w:tc>
          <w:tcPr/>
          <w:p>
            <w:pPr>
              <w:pStyle w:val="Compact"/>
              <w:jc w:val="left"/>
            </w:pPr>
            <w:r>
              <w:t xml:space="preserve">Enterprise / consortium</w:t>
            </w:r>
          </w:p>
        </w:tc>
        <w:tc>
          <w:tcPr/>
          <w:p>
            <w:pPr>
              <w:pStyle w:val="Compact"/>
              <w:jc w:val="left"/>
            </w:pPr>
            <w:r>
              <w:t xml:space="preserve">Conceptual, no field data</w:t>
            </w:r>
          </w:p>
        </w:tc>
        <w:tc>
          <w:tcPr/>
          <w:p>
            <w:pPr>
              <w:pStyle w:val="Compact"/>
              <w:jc w:val="left"/>
            </w:pPr>
            <w:r>
              <w:t xml:space="preserve">No per-sensor identity; throughput not characterised on constrained hardware</w:t>
            </w:r>
          </w:p>
        </w:tc>
      </w:tr>
      <w:tr>
        <w:tc>
          <w:tcPr/>
          <w:p>
            <w:pPr>
              <w:pStyle w:val="Compact"/>
              <w:jc w:val="left"/>
            </w:pPr>
            <w:r>
              <w:t xml:space="preserve">Zhang et al. </w:t>
            </w:r>
            <w:r>
              <w:t xml:space="preserve">(P. Zhang et al. 2019)</w:t>
            </w:r>
          </w:p>
        </w:tc>
        <w:tc>
          <w:tcPr/>
          <w:p>
            <w:pPr>
              <w:pStyle w:val="Compact"/>
              <w:jc w:val="left"/>
            </w:pPr>
            <w:r>
              <w:t xml:space="preserve">Gateway</w:t>
            </w:r>
          </w:p>
        </w:tc>
        <w:tc>
          <w:tcPr/>
          <w:p>
            <w:pPr>
              <w:pStyle w:val="Compact"/>
              <w:jc w:val="left"/>
            </w:pPr>
            <w:r>
              <w:t xml:space="preserve">Simulation</w:t>
            </w:r>
          </w:p>
        </w:tc>
        <w:tc>
          <w:tcPr/>
          <w:p>
            <w:pPr>
              <w:pStyle w:val="Compact"/>
              <w:jc w:val="left"/>
            </w:pPr>
            <w:r>
              <w:t xml:space="preserve">Consensus cost assumed server-class hardware</w:t>
            </w:r>
          </w:p>
        </w:tc>
      </w:tr>
      <w:tr>
        <w:tc>
          <w:tcPr/>
          <w:p>
            <w:pPr>
              <w:pStyle w:val="Compact"/>
              <w:jc w:val="left"/>
            </w:pPr>
            <w:r>
              <w:t xml:space="preserve">Amraouy et al. </w:t>
            </w:r>
            <w:r>
              <w:t xml:space="preserve">(Amraouy, Benbrahim, and Kabbaj 2025b)</w:t>
            </w:r>
          </w:p>
        </w:tc>
        <w:tc>
          <w:tcPr/>
          <w:p>
            <w:pPr>
              <w:pStyle w:val="Compact"/>
              <w:jc w:val="left"/>
            </w:pPr>
            <w:r>
              <w:t xml:space="preserve">Farm operator (self-sovereign identity)</w:t>
            </w:r>
          </w:p>
        </w:tc>
        <w:tc>
          <w:tcPr/>
          <w:p>
            <w:pPr>
              <w:pStyle w:val="Compact"/>
              <w:jc w:val="left"/>
            </w:pPr>
            <w:r>
              <w:t xml:space="preserve">Prototype</w:t>
            </w:r>
          </w:p>
        </w:tc>
        <w:tc>
          <w:tcPr/>
          <w:p>
            <w:pPr>
              <w:pStyle w:val="Compact"/>
              <w:jc w:val="left"/>
            </w:pPr>
            <w:r>
              <w:t xml:space="preserve">Access-sharing framework; no edge-hardware performance data</w:t>
            </w:r>
          </w:p>
        </w:tc>
      </w:tr>
      <w:tr>
        <w:tc>
          <w:tcPr/>
          <w:p>
            <w:pPr>
              <w:pStyle w:val="Compact"/>
              <w:jc w:val="left"/>
            </w:pPr>
            <w:r>
              <w:t xml:space="preserve">Reyna et al. </w:t>
            </w:r>
            <w:r>
              <w:t xml:space="preserve">(Reyna et al. 2018)</w:t>
            </w:r>
            <w:r>
              <w:t xml:space="preserve">; Dorri et al. </w:t>
            </w:r>
            <w:r>
              <w:t xml:space="preserve">(Dorri, Kanhere, and Jurdak 2017a)</w:t>
            </w:r>
          </w:p>
        </w:tc>
        <w:tc>
          <w:tcPr/>
          <w:p>
            <w:pPr>
              <w:pStyle w:val="Compact"/>
              <w:jc w:val="left"/>
            </w:pPr>
            <w:r>
              <w:t xml:space="preserve">Generic IoT gateway</w:t>
            </w:r>
          </w:p>
        </w:tc>
        <w:tc>
          <w:tcPr/>
          <w:p>
            <w:pPr>
              <w:pStyle w:val="Compact"/>
              <w:jc w:val="left"/>
            </w:pPr>
            <w:r>
              <w:t xml:space="preserve">Survey / architecture</w:t>
            </w:r>
          </w:p>
        </w:tc>
        <w:tc>
          <w:tcPr/>
          <w:p>
            <w:pPr>
              <w:pStyle w:val="Compact"/>
              <w:jc w:val="left"/>
            </w:pPr>
            <w:r>
              <w:t xml:space="preserve">Identifies the sensor-to-gateway trust gap without closing it</w:t>
            </w:r>
          </w:p>
        </w:tc>
      </w:tr>
    </w:tbl>
    <w:bookmarkEnd w:id="46"/>
    <w:bookmarkEnd w:id="47"/>
    <w:bookmarkStart w:id="49" w:name="subsec:lit_consensus"/>
    <w:p>
      <w:pPr>
        <w:pStyle w:val="Heading3"/>
      </w:pPr>
      <w:r>
        <w:rPr>
          <w:rStyle w:val="SectionNumber"/>
        </w:rPr>
        <w:t xml:space="preserve">2.2.5</w:t>
      </w:r>
      <w:r>
        <w:tab/>
      </w:r>
      <w:r>
        <w:t xml:space="preserve">Edge-Resident Consensus and Constrained-Hardware Ledgers</w:t>
      </w:r>
    </w:p>
    <w:p>
      <w:pPr>
        <w:pStyle w:val="FirstParagraph"/>
      </w:pPr>
      <w:r>
        <w:t xml:space="preserve">Running a permissioned ledger on gateway-class hardware raises a question</w:t>
      </w:r>
      <w:r>
        <w:t xml:space="preserve"> </w:t>
      </w:r>
      <w:r>
        <w:t xml:space="preserve">the enterprise blockchain literature rarely poses: whether consensus can</w:t>
      </w:r>
      <w:r>
        <w:t xml:space="preserve"> </w:t>
      </w:r>
      <w:r>
        <w:t xml:space="preserve">complete inside the timing budget of a real-time control loop, on a device</w:t>
      </w:r>
      <w:r>
        <w:t xml:space="preserve"> </w:t>
      </w:r>
      <w:r>
        <w:t xml:space="preserve">with an order of magnitude less memory and CPU throughput than the</w:t>
      </w:r>
      <w:r>
        <w:t xml:space="preserve"> </w:t>
      </w:r>
      <w:r>
        <w:t xml:space="preserve">server hardware that literature assumes </w:t>
      </w:r>
      <w:r>
        <w:t xml:space="preserve">(Pajooh et al. 2022; Androulaki et al. 2018a; IBM 2023)</w:t>
      </w:r>
      <w:r>
        <w:t xml:space="preserve">. Hyperledger Fabric’s execute-order-validate</w:t>
      </w:r>
      <w:r>
        <w:t xml:space="preserve"> </w:t>
      </w:r>
      <w:r>
        <w:t xml:space="preserve">architecture separates transaction endorsement from ordering, letting an</w:t>
      </w:r>
      <w:r>
        <w:t xml:space="preserve"> </w:t>
      </w:r>
      <w:r>
        <w:t xml:space="preserve">ordering service reach agreement on transaction sequence rather than</w:t>
      </w:r>
      <w:r>
        <w:t xml:space="preserve"> </w:t>
      </w:r>
      <w:r>
        <w:t xml:space="preserve">transaction content, and the Raft ordering service used in this thesis</w:t>
      </w:r>
      <w:r>
        <w:t xml:space="preserve"> </w:t>
      </w:r>
      <w:r>
        <w:t xml:space="preserve">implements crash-fault-tolerant, not Byzantine-fault-tolerant,</w:t>
      </w:r>
      <w:r>
        <w:t xml:space="preserve"> </w:t>
      </w:r>
      <w:r>
        <w:t xml:space="preserve">agreement </w:t>
      </w:r>
      <w:r>
        <w:t xml:space="preserve">(Ongaro and Ousterhout 2014; Team 2024)</w:t>
      </w:r>
      <w:r>
        <w:t xml:space="preserve">. The distinction has a</w:t>
      </w:r>
      <w:r>
        <w:t xml:space="preserve"> </w:t>
      </w:r>
      <w:r>
        <w:t xml:space="preserve">direct complexity consequence. Crash Fault Tolerance (CFT) protocols such as Raft reach</w:t>
      </w:r>
      <w:r>
        <w:t xml:space="preserve"> </w:t>
      </w:r>
      <w:r>
        <w:t xml:space="preserve">agreement with</w:t>
      </w:r>
      <w:r>
        <w:t xml:space="preserve"> </w:t>
      </w:r>
      <m:oMath>
        <m:r>
          <m:t>O</m:t>
        </m:r>
        <m:d>
          <m:dPr>
            <m:begChr m:val="("/>
            <m:endChr m:val=")"/>
            <m:sepChr m:val=""/>
            <m:grow/>
          </m:dPr>
          <m:e>
            <m:r>
              <m:t>n</m:t>
            </m:r>
          </m:e>
        </m:d>
      </m:oMath>
      <w:r>
        <w:t xml:space="preserve"> </w:t>
      </w:r>
      <w:r>
        <w:t xml:space="preserve">message exchanges per decision and tolerate</w:t>
      </w:r>
      <w:r>
        <w:t xml:space="preserve"> </w:t>
      </w:r>
      <m:oMath>
        <m:r>
          <m:t>f</m:t>
        </m:r>
        <m:r>
          <m:rPr>
            <m:sty m:val="p"/>
          </m:rPr>
          <m:t>=</m:t>
        </m:r>
        <m:r>
          <m:rPr>
            <m:sty m:val="p"/>
          </m:rPr>
          <m:t>⌊</m:t>
        </m:r>
        <m:d>
          <m:dPr>
            <m:begChr m:val="("/>
            <m:endChr m:val=")"/>
            <m:sepChr m:val=""/>
            <m:grow/>
          </m:dPr>
          <m:e>
            <m:r>
              <m:t>n</m:t>
            </m:r>
            <m:r>
              <m:rPr>
                <m:sty m:val="p"/>
              </m:rPr>
              <m:t>−</m:t>
            </m:r>
            <m:r>
              <m:t>1</m:t>
            </m:r>
          </m:e>
        </m:d>
        <m:r>
          <m:rPr>
            <m:sty m:val="p"/>
          </m:rPr>
          <m:t>/</m:t>
        </m:r>
        <m:r>
          <m:t>2</m:t>
        </m:r>
        <m:r>
          <m:rPr>
            <m:sty m:val="p"/>
          </m:rPr>
          <m:t>⌋</m:t>
        </m:r>
      </m:oMath>
      <w:r>
        <w:t xml:space="preserve"> </w:t>
      </w:r>
      <w:r>
        <w:t xml:space="preserve">stopped nodes, whereas classical</w:t>
      </w:r>
      <w:r>
        <w:t xml:space="preserve"> </w:t>
      </w:r>
      <w:r>
        <w:t xml:space="preserve">Byzantine Fault Tolerance (BFT) protocols such as Practical Byzantine Fault Tolerance (PBFT) require</w:t>
      </w:r>
      <w:r>
        <w:t xml:space="preserve"> </w:t>
      </w:r>
      <m:oMath>
        <m:r>
          <m:t>n</m:t>
        </m:r>
        <m:r>
          <m:rPr>
            <m:sty m:val="p"/>
          </m:rPr>
          <m:t>≥</m:t>
        </m:r>
        <m:r>
          <m:t>3</m:t>
        </m:r>
        <m:r>
          <m:t>f</m:t>
        </m:r>
        <m:r>
          <m:rPr>
            <m:sty m:val="p"/>
          </m:rPr>
          <m:t>+</m:t>
        </m:r>
        <m:r>
          <m:t>1</m:t>
        </m:r>
      </m:oMath>
      <w:r>
        <w:t xml:space="preserve"> </w:t>
      </w:r>
      <w:r>
        <w:t xml:space="preserve">replicas,</w:t>
      </w:r>
      <w:r>
        <w:t xml:space="preserve"> </w:t>
      </w:r>
      <w:r>
        <w:t xml:space="preserve">so they tolerate the smaller</w:t>
      </w:r>
      <w:r>
        <w:t xml:space="preserve"> </w:t>
      </w:r>
      <m:oMath>
        <m:r>
          <m:t>f</m:t>
        </m:r>
        <m:r>
          <m:rPr>
            <m:sty m:val="p"/>
          </m:rPr>
          <m:t>=</m:t>
        </m:r>
        <m:r>
          <m:rPr>
            <m:sty m:val="p"/>
          </m:rPr>
          <m:t>⌊</m:t>
        </m:r>
        <m:d>
          <m:dPr>
            <m:begChr m:val="("/>
            <m:endChr m:val=")"/>
            <m:sepChr m:val=""/>
            <m:grow/>
          </m:dPr>
          <m:e>
            <m:r>
              <m:t>n</m:t>
            </m:r>
            <m:r>
              <m:rPr>
                <m:sty m:val="p"/>
              </m:rPr>
              <m:t>−</m:t>
            </m:r>
            <m:r>
              <m:t>1</m:t>
            </m:r>
          </m:e>
        </m:d>
        <m:r>
          <m:rPr>
            <m:sty m:val="p"/>
          </m:rPr>
          <m:t>/</m:t>
        </m:r>
        <m:r>
          <m:t>3</m:t>
        </m:r>
        <m:r>
          <m:rPr>
            <m:sty m:val="p"/>
          </m:rPr>
          <m:t>⌋</m:t>
        </m:r>
      </m:oMath>
      <w:r>
        <w:t xml:space="preserve">, at</w:t>
      </w:r>
      <w:r>
        <w:t xml:space="preserve"> </w:t>
      </w:r>
      <m:oMath>
        <m:r>
          <m:t>O</m:t>
        </m:r>
        <m:d>
          <m:dPr>
            <m:begChr m:val="("/>
            <m:endChr m:val=")"/>
            <m:sepChr m:val=""/>
            <m:grow/>
          </m:dPr>
          <m:e>
            <m:sSup>
              <m:e>
                <m:r>
                  <m:t>n</m:t>
                </m:r>
              </m:e>
              <m:sup>
                <m:r>
                  <m:t>2</m:t>
                </m:r>
              </m:sup>
            </m:sSup>
          </m:e>
        </m:d>
      </m:oMath>
      <w:r>
        <w:t xml:space="preserve"> </w:t>
      </w:r>
      <w:r>
        <w:t xml:space="preserve">messages per decision, to</w:t>
      </w:r>
      <w:r>
        <w:t xml:space="preserve"> </w:t>
      </w:r>
      <w:r>
        <w:t xml:space="preserve">withstand arbitrary, not merely crash, node</w:t>
      </w:r>
      <w:r>
        <w:t xml:space="preserve"> </w:t>
      </w:r>
      <w:r>
        <w:t xml:space="preserve">behaviour </w:t>
      </w:r>
      <w:r>
        <w:t xml:space="preserve">(Castro and Liskov 1999; Ongaro and Ousterhout 2014)</w:t>
      </w:r>
      <w:r>
        <w:t xml:space="preserve">. A five-node</w:t>
      </w:r>
      <w:r>
        <w:t xml:space="preserve"> </w:t>
      </w:r>
      <w:r>
        <w:t xml:space="preserve">cluster therefore tolerates two stopped nodes under Raft but only one</w:t>
      </w:r>
      <w:r>
        <w:t xml:space="preserve"> </w:t>
      </w:r>
      <w:r>
        <w:t xml:space="preserve">Byzantine node under PBFT, a smaller fault budget bought at a</w:t>
      </w:r>
      <w:r>
        <w:t xml:space="preserve"> </w:t>
      </w:r>
      <w:r>
        <w:t xml:space="preserve">quadratically larger message cost. Linear-complexity BFT variants</w:t>
      </w:r>
      <w:r>
        <w:t xml:space="preserve"> </w:t>
      </w:r>
      <w:r>
        <w:t xml:space="preserve">such as HotStuff</w:t>
      </w:r>
      <w:r>
        <w:t xml:space="preserve"> </w:t>
      </w:r>
      <w:r>
        <w:t xml:space="preserve">close much of that gap for adversarial settings </w:t>
      </w:r>
      <w:r>
        <w:t xml:space="preserve">(Yin et al. 2019)</w:t>
      </w:r>
      <w:r>
        <w:t xml:space="preserve">, and</w:t>
      </w:r>
      <w:r>
        <w:t xml:space="preserve"> </w:t>
      </w:r>
      <w:r>
        <w:t xml:space="preserve">the state-machine-replication literature more broadly treats the</w:t>
      </w:r>
      <w:r>
        <w:t xml:space="preserve"> </w:t>
      </w:r>
      <w:r>
        <w:t xml:space="preserve">CFT/BFT choice as a trade between message cost and the</w:t>
      </w:r>
      <w:r>
        <w:t xml:space="preserve"> </w:t>
      </w:r>
      <w:r>
        <w:t xml:space="preserve">threat model tolerated </w:t>
      </w:r>
      <w:r>
        <w:t xml:space="preserve">(Bessani, Sousa, and Alchieri 2014)</w:t>
      </w:r>
      <w:r>
        <w:t xml:space="preserve">. This thesis, deployed on a</w:t>
      </w:r>
      <w:r>
        <w:t xml:space="preserve"> </w:t>
      </w:r>
      <w:r>
        <w:t xml:space="preserve">consortium of trusted, physically secured gateways rather than an open or</w:t>
      </w:r>
      <w:r>
        <w:t xml:space="preserve"> </w:t>
      </w:r>
      <w:r>
        <w:t xml:space="preserve">adversarial network, adopts CFT for that reason, a choice the</w:t>
      </w:r>
      <w:r>
        <w:t xml:space="preserve"> </w:t>
      </w:r>
      <w:r>
        <w:t xml:space="preserve">consensus literature supports for permissioned agricultural</w:t>
      </w:r>
      <w:r>
        <w:t xml:space="preserve"> </w:t>
      </w:r>
      <w:r>
        <w:t xml:space="preserve">settings </w:t>
      </w:r>
      <w:r>
        <w:t xml:space="preserve">(Thakkar, Nathan, and Vishwanathan 2018)</w:t>
      </w:r>
      <w:r>
        <w:t xml:space="preserve"> </w:t>
      </w:r>
      <w:r>
        <w:t xml:space="preserve">but rarely evaluates on</w:t>
      </w:r>
      <w:r>
        <w:t xml:space="preserve"> </w:t>
      </w:r>
      <w:r>
        <w:t xml:space="preserve">gateway-class ARM64 hardware in the field, as</w:t>
      </w:r>
      <w:r>
        <w:t xml:space="preserve"> </w:t>
      </w:r>
      <w:r>
        <w:t xml:space="preserve">Table </w:t>
      </w:r>
      <w:hyperlink w:anchor="tab:lit-consensus">
        <w:r>
          <w:rPr>
            <w:rStyle w:val="Hyperlink"/>
          </w:rPr>
          <w:t xml:space="preserve">2.3</w:t>
        </w:r>
      </w:hyperlink>
      <w:r>
        <w:t xml:space="preserve"> </w:t>
      </w:r>
      <w:r>
        <w:t xml:space="preserve">shows.</w:t>
      </w:r>
    </w:p>
    <w:tbl>
      <w:tblPr>
        <w:tblStyle w:val="FigureTable"/>
        <w:tblW w:type="auto" w:w="0"/>
        <w:tblLook w:firstRow="0" w:lastRow="0" w:firstColumn="0" w:lastColumn="0"/>
        <w:jc w:val="center"/>
      </w:tblPr>
      <w:tblGrid/>
      <w:tr/>
    </w:tbl>
    <w:p>
      <w:pPr>
        <w:pStyle w:val="ImageCaption"/>
      </w:pPr>
      <w:r>
        <w:t xml:space="preserve">Consensus fault models and their message complexity, after</w:t>
      </w:r>
      <w:r>
        <w:t xml:space="preserve"> </w:t>
      </w:r>
      <w:r>
        <w:t xml:space="preserve">(Ongaro and Ousterhout 2014; Castro and Liskov 1999; Yin et al. 2019; Bessani, Sousa, and Alchieri 2014)</w:t>
      </w:r>
      <w:r>
        <w:t xml:space="preserve">.</w:t>
      </w:r>
    </w:p>
    <w:p>
      <w:pPr>
        <w:pStyle w:val="BodyText"/>
      </w:pPr>
      <w:r>
        <w:t xml:space="preserve">Whichever protocol is chosen, its saturation behaviour under load is</w:t>
      </w:r>
      <w:r>
        <w:t xml:space="preserve"> </w:t>
      </w:r>
      <w:r>
        <w:t xml:space="preserve">standard queueing theory. Treating packet or transaction arrivals as</w:t>
      </w:r>
      <w:r>
        <w:t xml:space="preserve"> </w:t>
      </w:r>
      <w:r>
        <w:t xml:space="preserve">Poisson and service time as deterministic (an M/D/1 queue), mean waiting</w:t>
      </w:r>
      <w:r>
        <w:t xml:space="preserve"> </w:t>
      </w:r>
      <w:r>
        <w:t xml:space="preserve">time before service is</w:t>
      </w:r>
    </w:p>
    <w:p>
      <w:pPr>
        <w:pStyle w:val="BodyText"/>
      </w:pPr>
      <m:oMathPara>
        <m:oMathParaPr>
          <m:jc m:val="center"/>
        </m:oMathParaPr>
        <m:oMath>
          <m:sSub>
            <m:e>
              <m:r>
                <m:t>W</m:t>
              </m:r>
            </m:e>
            <m:sub>
              <m:r>
                <m:t>q</m:t>
              </m:r>
            </m:sub>
          </m:sSub>
          <m:r>
            <m:rPr>
              <m:sty m:val="p"/>
            </m:rPr>
            <m:t>=</m:t>
          </m:r>
          <m:f>
            <m:fPr>
              <m:type m:val="bar"/>
            </m:fPr>
            <m:num>
              <m:r>
                <m:t>ρ</m:t>
              </m:r>
            </m:num>
            <m:den>
              <m:r>
                <m:t>2</m:t>
              </m:r>
              <m:d>
                <m:dPr>
                  <m:begChr m:val="("/>
                  <m:endChr m:val=")"/>
                  <m:sepChr m:val=""/>
                  <m:grow/>
                </m:dPr>
                <m:e>
                  <m:r>
                    <m:t>1</m:t>
                  </m:r>
                  <m:r>
                    <m:rPr>
                      <m:sty m:val="p"/>
                    </m:rPr>
                    <m:t>−</m:t>
                  </m:r>
                  <m:r>
                    <m:t>ρ</m:t>
                  </m:r>
                </m:e>
              </m:d>
            </m:den>
          </m:f>
          <m:r>
            <m:t> </m:t>
          </m:r>
          <m:sSub>
            <m:e>
              <m:r>
                <m:t>T</m:t>
              </m:r>
            </m:e>
            <m:sub>
              <m:r>
                <m:rPr>
                  <m:nor/>
                  <m:sty m:val="p"/>
                </m:rPr>
                <m:t>service</m:t>
              </m:r>
            </m:sub>
          </m:sSub>
          <m:r>
            <m:rPr>
              <m:sty m:val="p"/>
            </m:rPr>
            <m:t>,</m:t>
          </m:r>
          <m:r>
            <m:t>  </m:t>
          </m:r>
          <m:r>
            <m:t>ρ</m:t>
          </m:r>
          <m:r>
            <m:rPr>
              <m:sty m:val="p"/>
            </m:rPr>
            <m:t>=</m:t>
          </m:r>
          <m:r>
            <m:t>λ</m:t>
          </m:r>
          <m:r>
            <m:t> </m:t>
          </m:r>
          <m:sSub>
            <m:e>
              <m:r>
                <m:t>T</m:t>
              </m:r>
            </m:e>
            <m:sub>
              <m:r>
                <m:rPr>
                  <m:nor/>
                  <m:sty m:val="p"/>
                </m:rPr>
                <m:t>service</m:t>
              </m:r>
            </m:sub>
          </m:sSub>
          <m:r>
            <m:rPr>
              <m:sty m:val="p"/>
            </m:rPr>
            <m:t>,</m:t>
          </m:r>
        </m:oMath>
      </m:oMathPara>
    </w:p>
    <w:p>
      <w:pPr>
        <w:pStyle w:val="FirstParagraph"/>
      </w:pPr>
      <w:r>
        <w:t xml:space="preserve">where</w:t>
      </w:r>
      <w:r>
        <w:t xml:space="preserve"> </w:t>
      </w:r>
      <m:oMath>
        <m:r>
          <m:t>λ</m:t>
        </m:r>
      </m:oMath>
      <w:r>
        <w:t xml:space="preserve"> </w:t>
      </w:r>
      <w:r>
        <w:t xml:space="preserve">is the arrival rate and</w:t>
      </w:r>
      <w:r>
        <w:t xml:space="preserve"> </w:t>
      </w:r>
      <m:oMath>
        <m:sSub>
          <m:e>
            <m:r>
              <m:t>T</m:t>
            </m:r>
          </m:e>
          <m:sub>
            <m:r>
              <m:rPr>
                <m:nor/>
                <m:sty m:val="p"/>
              </m:rPr>
              <m:t>service</m:t>
            </m:r>
          </m:sub>
        </m:sSub>
      </m:oMath>
      <w:r>
        <w:t xml:space="preserve"> </w:t>
      </w:r>
      <w:r>
        <w:t xml:space="preserve">the</w:t>
      </w:r>
      <w:r>
        <w:t xml:space="preserve"> </w:t>
      </w:r>
      <w:r>
        <w:t xml:space="preserve">deterministic service time, so that total latency</w:t>
      </w:r>
      <w:r>
        <w:t xml:space="preserve"> </w:t>
      </w:r>
      <m:oMath>
        <m:r>
          <m:t>L</m:t>
        </m:r>
        <m:r>
          <m:rPr>
            <m:sty m:val="p"/>
          </m:rPr>
          <m:t>=</m:t>
        </m:r>
        <m:sSub>
          <m:e>
            <m:r>
              <m:t>T</m:t>
            </m:r>
          </m:e>
          <m:sub>
            <m:r>
              <m:rPr>
                <m:nor/>
                <m:sty m:val="p"/>
              </m:rPr>
              <m:t>service</m:t>
            </m:r>
          </m:sub>
        </m:sSub>
        <m:r>
          <m:rPr>
            <m:sty m:val="p"/>
          </m:rPr>
          <m:t>+</m:t>
        </m:r>
        <m:sSub>
          <m:e>
            <m:r>
              <m:t>W</m:t>
            </m:r>
          </m:e>
          <m:sub>
            <m:r>
              <m:t>q</m:t>
            </m:r>
          </m:sub>
        </m:sSub>
      </m:oMath>
      <w:r>
        <w:t xml:space="preserve"> </w:t>
      </w:r>
      <w:r>
        <w:t xml:space="preserve">is flat while</w:t>
      </w:r>
      <w:r>
        <w:t xml:space="preserve"> </w:t>
      </w:r>
      <m:oMath>
        <m:r>
          <m:t>ρ</m:t>
        </m:r>
        <m:r>
          <m:rPr>
            <m:sty m:val="p"/>
          </m:rPr>
          <m:t>≪</m:t>
        </m:r>
        <m:r>
          <m:t>1</m:t>
        </m:r>
      </m:oMath>
      <w:r>
        <w:t xml:space="preserve"> </w:t>
      </w:r>
      <w:r>
        <w:t xml:space="preserve">and diverges as</w:t>
      </w:r>
      <w:r>
        <w:t xml:space="preserve"> </w:t>
      </w:r>
      <m:oMath>
        <m:r>
          <m:t>ρ</m:t>
        </m:r>
        <m:r>
          <m:rPr>
            <m:sty m:val="p"/>
          </m:rPr>
          <m:t>→</m:t>
        </m:r>
        <m:r>
          <m:t>1</m:t>
        </m:r>
      </m:oMath>
      <w:r>
        <w:t xml:space="preserve">. The</w:t>
      </w:r>
      <w:r>
        <w:t xml:space="preserve"> </w:t>
      </w:r>
      <w:r>
        <w:t xml:space="preserve">scalability literature for both LoRa gateways and blockchain orderers uses</w:t>
      </w:r>
      <w:r>
        <w:t xml:space="preserve"> </w:t>
      </w:r>
      <w:r>
        <w:t xml:space="preserve">Equation </w:t>
      </w:r>
      <w:hyperlink w:anchor="eq:mdOne">
        <w:r>
          <w:rPr>
            <w:rStyle w:val="Hyperlink"/>
          </w:rPr>
          <w:t xml:space="preserve">[eq:mdOne]</w:t>
        </w:r>
      </w:hyperlink>
      <w:r>
        <w:t xml:space="preserve">, or its close relatives, to project a saturation</w:t>
      </w:r>
      <w:r>
        <w:t xml:space="preserve"> </w:t>
      </w:r>
      <w:r>
        <w:t xml:space="preserve">point from a small deployment rather than requiring one at</w:t>
      </w:r>
      <w:r>
        <w:t xml:space="preserve"> </w:t>
      </w:r>
      <w:r>
        <w:t xml:space="preserve">scale </w:t>
      </w:r>
      <w:r>
        <w:t xml:space="preserve">(Androulaki et al. 2018b; Gorenflo et al. 2020; Mao et al. 2018; Sukhwani et al. 2017; Rahman, Hamzah, and Safdar 2022)</w:t>
      </w:r>
      <w:r>
        <w:t xml:space="preserve">, but, as with the consensus</w:t>
      </w:r>
      <w:r>
        <w:t xml:space="preserve"> </w:t>
      </w:r>
      <w:r>
        <w:t xml:space="preserve">literature above, validation against real field load rather than synthetic</w:t>
      </w:r>
      <w:r>
        <w:t xml:space="preserve"> </w:t>
      </w:r>
      <w:r>
        <w:t xml:space="preserve">benchmark load remains the exception rather than the</w:t>
      </w:r>
      <w:r>
        <w:t xml:space="preserve"> </w:t>
      </w:r>
      <w:r>
        <w:t xml:space="preserve">rule. The Consistency, Availability, Partition tolerance (CAP) theorem underlies the same trade from a different</w:t>
      </w:r>
      <w:r>
        <w:t xml:space="preserve"> </w:t>
      </w:r>
      <w:r>
        <w:t xml:space="preserve">angle: no distributed data store can simultaneously guarantee consistency</w:t>
      </w:r>
      <w:r>
        <w:t xml:space="preserve"> </w:t>
      </w:r>
      <w:r>
        <w:t xml:space="preserve">and availability under network partition </w:t>
      </w:r>
      <w:r>
        <w:t xml:space="preserve">(Brewer 2000; Gilbert and Lynch 2002)</w:t>
      </w:r>
      <w:r>
        <w:t xml:space="preserve">, and permissioned ledgers on intermittently connected</w:t>
      </w:r>
      <w:r>
        <w:t xml:space="preserve"> </w:t>
      </w:r>
      <w:r>
        <w:t xml:space="preserve">rural gateways sit squarely inside that trade-off, a point the</w:t>
      </w:r>
      <w:r>
        <w:t xml:space="preserve"> </w:t>
      </w:r>
      <w:r>
        <w:t xml:space="preserve">practitioner literature on eventual, Atomicity, Consistency, Isolation, Durability (ACID)-relaxed consistency in</w:t>
      </w:r>
      <w:r>
        <w:t xml:space="preserve"> </w:t>
      </w:r>
      <w:r>
        <w:t xml:space="preserve">distributed systems makes explicit </w:t>
      </w:r>
      <w:r>
        <w:t xml:space="preserve">(Pritchett 2008)</w:t>
      </w:r>
      <w:r>
        <w:t xml:space="preserve">.</w:t>
      </w:r>
    </w:p>
    <w:bookmarkStart w:id="48" w:name="tab:lit-consensus"/>
    <w:p>
      <w:pPr>
        <w:pStyle w:val="TableCaption"/>
      </w:pPr>
      <w:r>
        <w:t xml:space="preserve">Consensus and edge-ledger literature by hardware class evaluated</w:t>
      </w:r>
    </w:p>
    <w:tbl>
      <w:tblPr>
        <w:tblStyle w:val="Table"/>
        <w:tblW w:type="auto" w:w="0"/>
        <w:tblLook w:firstRow="1" w:lastRow="0" w:firstColumn="0" w:lastColumn="0" w:noHBand="0" w:noVBand="0" w:val="0020"/>
        <w:jc w:val="start"/>
        <w:tblCaption w:val="Consensus and edge-ledger literature by hardware class evaluated"/>
      </w:tblPr>
      <w:tblGrid>
        <w:gridCol w:w="1980"/>
        <w:gridCol w:w="1980"/>
        <w:gridCol w:w="1980"/>
        <w:gridCol w:w="1980"/>
      </w:tblGrid>
      <w:tr>
        <w:trPr>
          <w:tblHeader w:val="true"/>
        </w:trPr>
        <w:tc>
          <w:tcPr/>
          <w:p>
            <w:pPr>
              <w:pStyle w:val="Compact"/>
              <w:jc w:val="left"/>
            </w:pPr>
            <w:r>
              <w:rPr>
                <w:bCs/>
                <w:b/>
              </w:rPr>
              <w:t xml:space="preserve">Study</w:t>
            </w:r>
          </w:p>
        </w:tc>
        <w:tc>
          <w:tcPr/>
          <w:p>
            <w:pPr>
              <w:pStyle w:val="Compact"/>
              <w:jc w:val="left"/>
            </w:pPr>
            <w:r>
              <w:rPr>
                <w:bCs/>
                <w:b/>
              </w:rPr>
              <w:t xml:space="preserve">Protocol</w:t>
            </w:r>
          </w:p>
        </w:tc>
        <w:tc>
          <w:tcPr/>
          <w:p>
            <w:pPr>
              <w:pStyle w:val="Compact"/>
              <w:jc w:val="left"/>
            </w:pPr>
            <w:r>
              <w:rPr>
                <w:bCs/>
                <w:b/>
              </w:rPr>
              <w:t xml:space="preserve">Hardware class</w:t>
            </w:r>
          </w:p>
        </w:tc>
        <w:tc>
          <w:tcPr/>
          <w:p>
            <w:pPr>
              <w:pStyle w:val="Compact"/>
              <w:jc w:val="left"/>
            </w:pPr>
            <w:r>
              <w:rPr>
                <w:bCs/>
                <w:b/>
              </w:rPr>
              <w:t xml:space="preserve">Reported gap</w:t>
            </w:r>
          </w:p>
        </w:tc>
      </w:tr>
      <w:tr>
        <w:tc>
          <w:tcPr/>
          <w:p>
            <w:pPr>
              <w:pStyle w:val="Compact"/>
              <w:jc w:val="left"/>
            </w:pPr>
            <w:r>
              <w:t xml:space="preserve">Ongaro and Ousterhout </w:t>
            </w:r>
            <w:r>
              <w:t xml:space="preserve">(Ongaro and Ousterhout 2014)</w:t>
            </w:r>
          </w:p>
        </w:tc>
        <w:tc>
          <w:tcPr/>
          <w:p>
            <w:pPr>
              <w:pStyle w:val="Compact"/>
              <w:jc w:val="left"/>
            </w:pPr>
            <w:r>
              <w:t xml:space="preserve">Raft (CFT)</w:t>
            </w:r>
          </w:p>
        </w:tc>
        <w:tc>
          <w:tcPr/>
          <w:p>
            <w:pPr>
              <w:pStyle w:val="Compact"/>
              <w:jc w:val="left"/>
            </w:pPr>
            <w:r>
              <w:t xml:space="preserve">Server-class (original)</w:t>
            </w:r>
          </w:p>
        </w:tc>
        <w:tc>
          <w:tcPr/>
          <w:p>
            <w:pPr>
              <w:pStyle w:val="Compact"/>
              <w:jc w:val="left"/>
            </w:pPr>
            <w:r>
              <w:t xml:space="preserve">Correctness and understandability proof; no constrained-hardware</w:t>
            </w:r>
            <w:r>
              <w:t xml:space="preserve"> </w:t>
            </w:r>
            <w:r>
              <w:t xml:space="preserve">evaluation</w:t>
            </w:r>
          </w:p>
        </w:tc>
      </w:tr>
      <w:tr>
        <w:tc>
          <w:tcPr/>
          <w:p>
            <w:pPr>
              <w:pStyle w:val="Compact"/>
              <w:jc w:val="left"/>
            </w:pPr>
            <w:r>
              <w:t xml:space="preserve">Castro and Liskov </w:t>
            </w:r>
            <w:r>
              <w:t xml:space="preserve">(Castro and Liskov 1999)</w:t>
            </w:r>
          </w:p>
        </w:tc>
        <w:tc>
          <w:tcPr/>
          <w:p>
            <w:pPr>
              <w:pStyle w:val="Compact"/>
              <w:jc w:val="left"/>
            </w:pPr>
            <w:r>
              <w:t xml:space="preserve">PBFT (BFT)</w:t>
            </w:r>
          </w:p>
        </w:tc>
        <w:tc>
          <w:tcPr/>
          <w:p>
            <w:pPr>
              <w:pStyle w:val="Compact"/>
              <w:jc w:val="left"/>
            </w:pPr>
            <w:r>
              <w:t xml:space="preserve">Server-class</w:t>
            </w:r>
          </w:p>
        </w:tc>
        <w:tc>
          <w:tcPr/>
          <w:p>
            <w:pPr>
              <w:pStyle w:val="Compact"/>
              <w:jc w:val="left"/>
            </w:pPr>
            <m:oMath>
              <m:r>
                <m:t>O</m:t>
              </m:r>
              <m:d>
                <m:dPr>
                  <m:begChr m:val="("/>
                  <m:endChr m:val=")"/>
                  <m:sepChr m:val=""/>
                  <m:grow/>
                </m:dPr>
                <m:e>
                  <m:sSup>
                    <m:e>
                      <m:r>
                        <m:t>n</m:t>
                      </m:r>
                    </m:e>
                    <m:sup>
                      <m:r>
                        <m:t>2</m:t>
                      </m:r>
                    </m:sup>
                  </m:sSup>
                </m:e>
              </m:d>
            </m:oMath>
            <w:r>
              <w:t xml:space="preserve"> </w:t>
            </w:r>
            <w:r>
              <w:t xml:space="preserve">messaging cost not evaluated against gateway bandwidth</w:t>
            </w:r>
          </w:p>
        </w:tc>
      </w:tr>
      <w:tr>
        <w:tc>
          <w:tcPr/>
          <w:p>
            <w:pPr>
              <w:pStyle w:val="Compact"/>
              <w:jc w:val="left"/>
            </w:pPr>
            <w:r>
              <w:t xml:space="preserve">Androulaki et al. </w:t>
            </w:r>
            <w:r>
              <w:t xml:space="preserve">(Androulaki et al. 2018a)</w:t>
            </w:r>
          </w:p>
        </w:tc>
        <w:tc>
          <w:tcPr/>
          <w:p>
            <w:pPr>
              <w:pStyle w:val="Compact"/>
              <w:jc w:val="left"/>
            </w:pPr>
            <w:r>
              <w:t xml:space="preserve">Fabric E-O-V pipeline</w:t>
            </w:r>
          </w:p>
        </w:tc>
        <w:tc>
          <w:tcPr/>
          <w:p>
            <w:pPr>
              <w:pStyle w:val="Compact"/>
              <w:jc w:val="left"/>
            </w:pPr>
            <w:r>
              <w:t xml:space="preserve">Data-centre reference deployment</w:t>
            </w:r>
          </w:p>
        </w:tc>
        <w:tc>
          <w:tcPr/>
          <w:p>
            <w:pPr>
              <w:pStyle w:val="Compact"/>
              <w:jc w:val="left"/>
            </w:pPr>
            <w:r>
              <w:t xml:space="preserve">Throughput figures not reproduced on ARM64</w:t>
            </w:r>
          </w:p>
        </w:tc>
      </w:tr>
      <w:tr>
        <w:tc>
          <w:tcPr/>
          <w:p>
            <w:pPr>
              <w:pStyle w:val="Compact"/>
              <w:jc w:val="left"/>
            </w:pPr>
            <w:r>
              <w:t xml:space="preserve">Rahimi et al. </w:t>
            </w:r>
            <w:r>
              <w:t xml:space="preserve">(Sukhwani et al. 2017)</w:t>
            </w:r>
            <w:r>
              <w:t xml:space="preserve">; Cui et al. </w:t>
            </w:r>
            <w:r>
              <w:t xml:space="preserve">(Mao et al. 2018)</w:t>
            </w:r>
          </w:p>
        </w:tc>
        <w:tc>
          <w:tcPr/>
          <w:p>
            <w:pPr>
              <w:pStyle w:val="Compact"/>
              <w:jc w:val="left"/>
            </w:pPr>
            <w:r>
              <w:t xml:space="preserve">Fabric + sensor / off-chain storage</w:t>
            </w:r>
          </w:p>
        </w:tc>
        <w:tc>
          <w:tcPr/>
          <w:p>
            <w:pPr>
              <w:pStyle w:val="Compact"/>
              <w:jc w:val="left"/>
            </w:pPr>
            <w:r>
              <w:t xml:space="preserve">Prototype, short-duration</w:t>
            </w:r>
          </w:p>
        </w:tc>
        <w:tc>
          <w:tcPr/>
          <w:p>
            <w:pPr>
              <w:pStyle w:val="Compact"/>
              <w:jc w:val="left"/>
            </w:pPr>
            <w:r>
              <w:t xml:space="preserve">No sustained field deployment; saturation point not field-validated</w:t>
            </w:r>
          </w:p>
        </w:tc>
      </w:tr>
    </w:tbl>
    <w:bookmarkEnd w:id="48"/>
    <w:bookmarkEnd w:id="49"/>
    <w:bookmarkStart w:id="50" w:name="subsec:lit_privacy"/>
    <w:p>
      <w:pPr>
        <w:pStyle w:val="Heading3"/>
      </w:pPr>
      <w:r>
        <w:rPr>
          <w:rStyle w:val="SectionNumber"/>
        </w:rPr>
        <w:t xml:space="preserve">2.2.6</w:t>
      </w:r>
      <w:r>
        <w:tab/>
      </w:r>
      <w:r>
        <w:t xml:space="preserve">Identity, Access Control and Privacy-Preserving Data Processing</w:t>
      </w:r>
    </w:p>
    <w:p>
      <w:pPr>
        <w:pStyle w:val="FirstParagraph"/>
      </w:pPr>
      <w:r>
        <w:t xml:space="preserve">Two threads meet here: how a permissioned ledger decides who may act, and</w:t>
      </w:r>
      <w:r>
        <w:t xml:space="preserve"> </w:t>
      </w:r>
      <w:r>
        <w:t xml:space="preserve">how it protects what a record discloses to parties who are entitled to see</w:t>
      </w:r>
      <w:r>
        <w:t xml:space="preserve"> </w:t>
      </w:r>
      <w:r>
        <w:t xml:space="preserve">that it exists but not what it contains. On the first thread, RBAC</w:t>
      </w:r>
      <w:r>
        <w:t xml:space="preserve"> </w:t>
      </w:r>
      <w:r>
        <w:t xml:space="preserve">enforced in chaincode is the standard mechanism, with permissions attached</w:t>
      </w:r>
      <w:r>
        <w:t xml:space="preserve"> </w:t>
      </w:r>
      <w:r>
        <w:t xml:space="preserve">to roles rather than individual identities and a MSP resolving each</w:t>
      </w:r>
      <w:r>
        <w:t xml:space="preserve"> </w:t>
      </w:r>
      <w:r>
        <w:t xml:space="preserve">transaction’s submitter to a role through its</w:t>
      </w:r>
      <w:r>
        <w:t xml:space="preserve"> </w:t>
      </w:r>
      <w:r>
        <w:t xml:space="preserve">ITU-T public-key certificate standard (X.509) certificate </w:t>
      </w:r>
      <w:r>
        <w:t xml:space="preserve">(Długosz et al. 2022; Hyperledger Fabric Documentation 2022)</w:t>
      </w:r>
      <w:r>
        <w:t xml:space="preserve">. The</w:t>
      </w:r>
      <w:r>
        <w:t xml:space="preserve"> </w:t>
      </w:r>
      <w:r>
        <w:t xml:space="preserve">candidate’s own prior formalisation of this</w:t>
      </w:r>
      <w:r>
        <w:t xml:space="preserve"> </w:t>
      </w:r>
      <w:r>
        <w:t xml:space="preserve">mechanism </w:t>
      </w:r>
      <w:r>
        <w:t xml:space="preserve">(Beloa et al. 2025)</w:t>
      </w:r>
      <w:r>
        <w:t xml:space="preserve"> </w:t>
      </w:r>
      <w:r>
        <w:t xml:space="preserve">extends flat RBAC with a role</w:t>
      </w:r>
      <w:r>
        <w:t xml:space="preserve"> </w:t>
      </w:r>
      <w:r>
        <w:t xml:space="preserve">hierarchy expressed as a partial order</w:t>
      </w:r>
      <w:r>
        <w:t xml:space="preserve"> </w:t>
      </w:r>
      <m:oMath>
        <m:r>
          <m:rPr>
            <m:sty m:val="p"/>
          </m:rPr>
          <m:t>≼</m:t>
        </m:r>
      </m:oMath>
      <w:r>
        <w:t xml:space="preserve"> </w:t>
      </w:r>
      <w:r>
        <w:t xml:space="preserve">over the role set</w:t>
      </w:r>
      <w:r>
        <w:t xml:space="preserve"> </w:t>
      </w:r>
      <m:oMath>
        <m:r>
          <m:t>R</m:t>
        </m:r>
      </m:oMath>
      <w:r>
        <w:t xml:space="preserve">,</w:t>
      </w:r>
      <w:r>
        <w:t xml:space="preserve"> </w:t>
      </w:r>
      <w:r>
        <w:t xml:space="preserve">where</w:t>
      </w:r>
      <w:r>
        <w:t xml:space="preserve"> </w:t>
      </w:r>
      <m:oMath>
        <m:sSub>
          <m:e>
            <m:r>
              <m:t>r</m:t>
            </m:r>
          </m:e>
          <m:sub>
            <m:r>
              <m:t>i</m:t>
            </m:r>
          </m:sub>
        </m:sSub>
        <m:r>
          <m:rPr>
            <m:sty m:val="p"/>
          </m:rPr>
          <m:t>≼</m:t>
        </m:r>
        <m:sSub>
          <m:e>
            <m:r>
              <m:t>r</m:t>
            </m:r>
          </m:e>
          <m:sub>
            <m:r>
              <m:t>j</m:t>
            </m:r>
          </m:sub>
        </m:sSub>
      </m:oMath>
      <w:r>
        <w:t xml:space="preserve"> </w:t>
      </w:r>
      <w:r>
        <w:t xml:space="preserve">iff</w:t>
      </w:r>
      <w:r>
        <w:t xml:space="preserve"> </w:t>
      </w:r>
      <m:oMath>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i</m:t>
                </m:r>
              </m:sub>
            </m:sSub>
          </m:e>
        </m:d>
        <m:r>
          <m:rPr>
            <m:sty m:val="p"/>
          </m:rPr>
          <m:t>⊆</m:t>
        </m:r>
        <m:r>
          <m:rPr>
            <m:sty m:val="p"/>
          </m:rPr>
          <m:t>p</m:t>
        </m:r>
        <m:r>
          <m:rPr>
            <m:sty m:val="p"/>
          </m:rPr>
          <m:t>e</m:t>
        </m:r>
        <m:r>
          <m:rPr>
            <m:sty m:val="p"/>
          </m:rPr>
          <m:t>r</m:t>
        </m:r>
        <m:r>
          <m:rPr>
            <m:sty m:val="p"/>
          </m:rPr>
          <m:t>m</m:t>
        </m:r>
        <m:r>
          <m:rPr>
            <m:sty m:val="p"/>
          </m:rPr>
          <m:t>i</m:t>
        </m:r>
        <m:r>
          <m:rPr>
            <m:sty m:val="p"/>
          </m:rPr>
          <m:t>s</m:t>
        </m:r>
        <m:r>
          <m:rPr>
            <m:sty m:val="p"/>
          </m:rPr>
          <m:t>s</m:t>
        </m:r>
        <m:r>
          <m:rPr>
            <m:sty m:val="p"/>
          </m:rPr>
          <m:t>i</m:t>
        </m:r>
        <m:r>
          <m:rPr>
            <m:sty m:val="p"/>
          </m:rPr>
          <m:t>o</m:t>
        </m:r>
        <m:r>
          <m:rPr>
            <m:sty m:val="p"/>
          </m:rPr>
          <m:t>n</m:t>
        </m:r>
        <m:r>
          <m:rPr>
            <m:sty m:val="p"/>
          </m:rPr>
          <m:t>s</m:t>
        </m:r>
        <m:d>
          <m:dPr>
            <m:begChr m:val="("/>
            <m:endChr m:val=")"/>
            <m:sepChr m:val=""/>
            <m:grow/>
          </m:dPr>
          <m:e>
            <m:sSub>
              <m:e>
                <m:r>
                  <m:t>r</m:t>
                </m:r>
              </m:e>
              <m:sub>
                <m:r>
                  <m:t>j</m:t>
                </m:r>
              </m:sub>
            </m:sSub>
          </m:e>
        </m:d>
      </m:oMath>
      <w:r>
        <w:t xml:space="preserve">, so that a user</w:t>
      </w:r>
      <w:r>
        <w:t xml:space="preserve"> </w:t>
      </w:r>
      <m:oMath>
        <m:r>
          <m:t>u</m:t>
        </m:r>
      </m:oMath>
      <w:r>
        <w:t xml:space="preserve">’s effective permission set</w:t>
      </w:r>
      <w:r>
        <w:t xml:space="preserve"> </w:t>
      </w:r>
      <w:r>
        <w:t xml:space="preserve">in a session is the union across every role dominated by an active role,</w:t>
      </w:r>
    </w:p>
    <w:p>
      <w:pPr>
        <w:pStyle w:val="BodyText"/>
      </w:pPr>
      <m:oMathPara>
        <m:oMathParaPr>
          <m:jc m:val="center"/>
        </m:oMathParaPr>
        <m:oMath>
          <m:r>
            <m:rPr>
              <m:sty m:val="p"/>
            </m:rPr>
            <m:t>e</m:t>
          </m:r>
          <m:r>
            <m:rPr>
              <m:sty m:val="p"/>
            </m:rPr>
            <m:t>f</m:t>
          </m:r>
          <m:r>
            <m:rPr>
              <m:sty m:val="p"/>
            </m:rPr>
            <m:t>f</m:t>
          </m:r>
          <m:d>
            <m:dPr>
              <m:begChr m:val="("/>
              <m:endChr m:val=")"/>
              <m:sepChr m:val=""/>
              <m:grow/>
            </m:dPr>
            <m:e>
              <m:r>
                <m:t>u</m:t>
              </m:r>
            </m:e>
          </m:d>
          <m:r>
            <m:rPr>
              <m:sty m:val="p"/>
            </m:rPr>
            <m:t>=</m:t>
          </m:r>
          <m:limLow>
            <m:e>
              <m:r>
                <m:rPr>
                  <m:sty m:val="p"/>
                </m:rPr>
                <m:t>⋃</m:t>
              </m:r>
            </m:e>
            <m:lim>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e>
              </m:d>
            </m:lim>
          </m:limLow>
          <m:r>
            <m:t> </m:t>
          </m:r>
          <m:limLow>
            <m:e>
              <m:r>
                <m:rPr>
                  <m:sty m:val="p"/>
                </m:rPr>
                <m:t>⋃</m:t>
              </m:r>
            </m:e>
            <m:lim>
              <m:r>
                <m:t>r</m:t>
              </m:r>
              <m:r>
                <m:rPr>
                  <m:sty m:val="p"/>
                </m:rPr>
                <m:t>′</m:t>
              </m:r>
              <m:r>
                <m:rPr>
                  <m:sty m:val="p"/>
                </m:rPr>
                <m:t>≼</m:t>
              </m:r>
              <m:r>
                <m:t>r</m:t>
              </m:r>
            </m:lim>
          </m:limLow>
          <m:r>
            <m:t>p</m:t>
          </m:r>
          <m:r>
            <m:t>a</m:t>
          </m:r>
          <m:d>
            <m:dPr>
              <m:begChr m:val="("/>
              <m:endChr m:val=")"/>
              <m:sepChr m:val=""/>
              <m:grow/>
            </m:dPr>
            <m:e>
              <m:r>
                <m:t>r</m:t>
              </m:r>
              <m:r>
                <m:rPr>
                  <m:sty m:val="p"/>
                </m:rPr>
                <m:t>′</m:t>
              </m:r>
            </m:e>
          </m:d>
          <m:r>
            <m:rPr>
              <m:sty m:val="p"/>
            </m:rPr>
            <m:t>,</m:t>
          </m:r>
        </m:oMath>
      </m:oMathPara>
    </w:p>
    <w:p>
      <w:pPr>
        <w:pStyle w:val="FirstParagraph"/>
      </w:pPr>
      <w:r>
        <w:t xml:space="preserve">with</w:t>
      </w:r>
      <w:r>
        <w:t xml:space="preserve"> </w:t>
      </w:r>
      <m:oMath>
        <m:r>
          <m:t>p</m:t>
        </m:r>
        <m:r>
          <m:t>a</m:t>
        </m:r>
        <m:d>
          <m:dPr>
            <m:begChr m:val="("/>
            <m:endChr m:val=")"/>
            <m:sepChr m:val=""/>
            <m:grow/>
          </m:dPr>
          <m:e>
            <m:r>
              <m:t>r</m:t>
            </m:r>
          </m:e>
        </m:d>
      </m:oMath>
      <w:r>
        <w:t xml:space="preserve"> </w:t>
      </w:r>
      <w:r>
        <w:t xml:space="preserve">the permissions directly assigned to role</w:t>
      </w:r>
      <w:r>
        <w:t xml:space="preserve"> </w:t>
      </w:r>
      <m:oMath>
        <m:r>
          <m:t>r</m:t>
        </m:r>
      </m:oMath>
      <w:r>
        <w:t xml:space="preserve">. An access</w:t>
      </w:r>
      <w:r>
        <w:t xml:space="preserve"> </w:t>
      </w:r>
      <w:r>
        <w:t xml:space="preserve">request</w:t>
      </w:r>
      <w:r>
        <w:t xml:space="preserve"> </w:t>
      </w:r>
      <m:oMath>
        <m:d>
          <m:dPr>
            <m:begChr m:val="("/>
            <m:endChr m:val=")"/>
            <m:sepChr m:val=""/>
            <m:grow/>
          </m:dPr>
          <m:e>
            <m:r>
              <m:t>u</m:t>
            </m:r>
            <m:r>
              <m:rPr>
                <m:sty m:val="p"/>
              </m:rPr>
              <m:t>,</m:t>
            </m:r>
            <m:r>
              <m:t>o</m:t>
            </m:r>
            <m:r>
              <m:t>p</m:t>
            </m:r>
            <m:r>
              <m:rPr>
                <m:sty m:val="p"/>
              </m:rPr>
              <m:t>,</m:t>
            </m:r>
            <m:r>
              <m:t>r</m:t>
            </m:r>
            <m:r>
              <m:t>e</m:t>
            </m:r>
            <m:r>
              <m:t>s</m:t>
            </m:r>
            <m:r>
              <m:rPr>
                <m:sty m:val="p"/>
              </m:rPr>
              <m:t>,</m:t>
            </m:r>
            <m:r>
              <m:t>t</m:t>
            </m:r>
          </m:e>
        </m:d>
      </m:oMath>
      <w:r>
        <w:t xml:space="preserve"> </w:t>
      </w:r>
      <w:r>
        <w:t xml:space="preserve">is then granted only if an active, non-expired</w:t>
      </w:r>
      <w:r>
        <w:t xml:space="preserve"> </w:t>
      </w:r>
      <w:r>
        <w:t xml:space="preserve">role of</w:t>
      </w:r>
      <w:r>
        <w:t xml:space="preserve"> </w:t>
      </w:r>
      <m:oMath>
        <m:r>
          <m:t>u</m:t>
        </m:r>
      </m:oMath>
      <w:r>
        <w:t xml:space="preserve"> </w:t>
      </w:r>
      <w:r>
        <w:t xml:space="preserve">carries the requested permission</w:t>
      </w:r>
      <w:r>
        <w:t xml:space="preserve"> </w:t>
      </w:r>
      <w:r>
        <w:rPr>
          <w:iCs/>
          <w:i/>
        </w:rPr>
        <w:t xml:space="preserve">and</w:t>
      </w:r>
      <w:r>
        <w:t xml:space="preserve"> </w:t>
      </w:r>
      <w:r>
        <w:t xml:space="preserve">the requester’s</w:t>
      </w:r>
      <w:r>
        <w:t xml:space="preserve"> </w:t>
      </w:r>
      <w:r>
        <w:t xml:space="preserve">zone matches the resource’s zone or the requester holds an</w:t>
      </w:r>
      <w:r>
        <w:t xml:space="preserve"> </w:t>
      </w:r>
      <w:r>
        <w:t xml:space="preserve">administrator-issued cross-zone token,</w:t>
      </w:r>
    </w:p>
    <w:p>
      <w:pPr>
        <w:pStyle w:val="BodyText"/>
      </w:pPr>
      <m:oMathPara>
        <m:oMathParaPr>
          <m:jc m:val="center"/>
        </m:oMathParaPr>
        <m:oMath>
          <m:r>
            <m:rPr>
              <m:sty m:val="p"/>
            </m:rPr>
            <m:t>∃</m:t>
          </m:r>
          <m:r>
            <m:t> </m:t>
          </m:r>
          <m:r>
            <m:t>r</m:t>
          </m:r>
          <m:r>
            <m:rPr>
              <m:sty m:val="p"/>
            </m:rPr>
            <m:t>∈</m:t>
          </m:r>
          <m:r>
            <m:rPr>
              <m:sty m:val="p"/>
            </m:rPr>
            <m:t>a</m:t>
          </m:r>
          <m:r>
            <m:rPr>
              <m:sty m:val="p"/>
            </m:rPr>
            <m:t>c</m:t>
          </m:r>
          <m:r>
            <m:rPr>
              <m:sty m:val="p"/>
            </m:rPr>
            <m:t>t</m:t>
          </m:r>
          <m:r>
            <m:rPr>
              <m:sty m:val="p"/>
            </m:rPr>
            <m:t>i</m:t>
          </m:r>
          <m:r>
            <m:rPr>
              <m:sty m:val="p"/>
            </m:rPr>
            <m:t>v</m:t>
          </m:r>
          <m:r>
            <m:rPr>
              <m:sty m:val="p"/>
            </m:rPr>
            <m:t>e</m:t>
          </m:r>
          <m:d>
            <m:dPr>
              <m:begChr m:val="("/>
              <m:endChr m:val=")"/>
              <m:sepChr m:val=""/>
              <m:grow/>
            </m:dPr>
            <m:e>
              <m:r>
                <m:t>u</m:t>
              </m:r>
              <m:r>
                <m:rPr>
                  <m:sty m:val="p"/>
                </m:rPr>
                <m:t>,</m:t>
              </m:r>
              <m:r>
                <m:t>t</m:t>
              </m:r>
            </m:e>
          </m:d>
          <m:r>
            <m:rPr>
              <m:sty m:val="p"/>
            </m:rPr>
            <m:t>:</m:t>
          </m:r>
          <m:d>
            <m:dPr>
              <m:begChr m:val="("/>
              <m:endChr m:val=")"/>
              <m:sepChr m:val=""/>
              <m:grow/>
            </m:dPr>
            <m:e>
              <m:r>
                <m:t>o</m:t>
              </m:r>
              <m:r>
                <m:t>p</m:t>
              </m:r>
              <m:r>
                <m:rPr>
                  <m:sty m:val="p"/>
                </m:rPr>
                <m:t>,</m:t>
              </m:r>
              <m:r>
                <m:t>r</m:t>
              </m:r>
              <m:r>
                <m:t>e</m:t>
              </m:r>
              <m:r>
                <m:t>s</m:t>
              </m:r>
            </m:e>
          </m:d>
          <m:r>
            <m:rPr>
              <m:sty m:val="p"/>
            </m:rPr>
            <m:t>∈</m:t>
          </m:r>
          <m:r>
            <m:rPr>
              <m:sty m:val="p"/>
            </m:rPr>
            <m:t>e</m:t>
          </m:r>
          <m:r>
            <m:rPr>
              <m:sty m:val="p"/>
            </m:rPr>
            <m:t>f</m:t>
          </m:r>
          <m:r>
            <m:rPr>
              <m:sty m:val="p"/>
            </m:rPr>
            <m:t>f</m:t>
          </m:r>
          <m:d>
            <m:dPr>
              <m:begChr m:val="("/>
              <m:endChr m:val=")"/>
              <m:sepChr m:val=""/>
              <m:grow/>
            </m:dPr>
            <m:e>
              <m:r>
                <m:t>r</m:t>
              </m:r>
            </m:e>
          </m:d>
          <m:r>
            <m:t> </m:t>
          </m:r>
          <m:r>
            <m:rPr>
              <m:sty m:val="p"/>
            </m:rPr>
            <m:t>∧</m:t>
          </m:r>
          <m:r>
            <m:t> </m:t>
          </m:r>
          <m:d>
            <m:dPr>
              <m:begChr m:val="("/>
              <m:endChr m:val=")"/>
              <m:sepChr m:val=""/>
              <m:grow/>
            </m:dPr>
            <m:e>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e>
          </m:d>
          <m:r>
            <m:rPr>
              <m:sty m:val="p"/>
            </m:rPr>
            <m:t>,</m:t>
          </m:r>
        </m:oMath>
      </m:oMathPara>
    </w:p>
    <w:p>
      <w:pPr>
        <w:pStyle w:val="FirstParagraph"/>
      </w:pPr>
      <w:r>
        <w:t xml:space="preserve">which folds zone and temporal constraints directly into the access</w:t>
      </w:r>
      <w:r>
        <w:t xml:space="preserve"> </w:t>
      </w:r>
      <w:r>
        <w:t xml:space="preserve">decision rather than leaving them to an external policy</w:t>
      </w:r>
      <w:r>
        <w:t xml:space="preserve"> </w:t>
      </w:r>
      <w:r>
        <w:t xml:space="preserve">layer </w:t>
      </w:r>
      <w:r>
        <w:t xml:space="preserve">(Beloa et al. 2025)</w:t>
      </w:r>
      <w:r>
        <w:t xml:space="preserve">. This formalisation follows the general</w:t>
      </w:r>
      <w:r>
        <w:t xml:space="preserve"> </w:t>
      </w:r>
      <w:r>
        <w:t xml:space="preserve">tradition of administrative role hierarchies in access-control</w:t>
      </w:r>
      <w:r>
        <w:t xml:space="preserve"> </w:t>
      </w:r>
      <w:r>
        <w:t xml:space="preserve">theory </w:t>
      </w:r>
      <w:r>
        <w:t xml:space="preserve">(Lu et al. 2022)</w:t>
      </w:r>
      <w:r>
        <w:t xml:space="preserve"> </w:t>
      </w:r>
      <w:r>
        <w:t xml:space="preserve">and shares its enforcement point, the</w:t>
      </w:r>
      <w:r>
        <w:t xml:space="preserve"> </w:t>
      </w:r>
      <w:r>
        <w:t xml:space="preserve">chaincode’s client-identity check, with the wider Fabric access-control</w:t>
      </w:r>
      <w:r>
        <w:t xml:space="preserve"> </w:t>
      </w:r>
      <w:r>
        <w:t xml:space="preserve">literature </w:t>
      </w:r>
      <w:r>
        <w:t xml:space="preserve">(Długosz et al. 2022)</w:t>
      </w:r>
      <w:r>
        <w:t xml:space="preserve">, but it authenticates at the</w:t>
      </w:r>
      <w:r>
        <w:t xml:space="preserve"> </w:t>
      </w:r>
      <w:r>
        <w:rPr>
          <w:iCs/>
          <w:i/>
        </w:rPr>
        <w:t xml:space="preserve">gateway</w:t>
      </w:r>
      <w:r>
        <w:t xml:space="preserve">, the device holding the X.509 certificate that signs</w:t>
      </w:r>
      <w:r>
        <w:t xml:space="preserve"> </w:t>
      </w:r>
      <w:r>
        <w:t xml:space="preserve">the transaction, not at the individual sensing node whose reading the</w:t>
      </w:r>
      <w:r>
        <w:t xml:space="preserve"> </w:t>
      </w:r>
      <w:r>
        <w:t xml:space="preserve">transaction carries. Certificate revocation latency under this model has</w:t>
      </w:r>
      <w:r>
        <w:t xml:space="preserve"> </w:t>
      </w:r>
      <w:r>
        <w:t xml:space="preserve">been measured directly, with propagation delay across a small</w:t>
      </w:r>
      <w:r>
        <w:t xml:space="preserve"> </w:t>
      </w:r>
      <w:r>
        <w:t xml:space="preserve">gossip-connected peer set on the order of minutes rather than</w:t>
      </w:r>
      <w:r>
        <w:t xml:space="preserve"> </w:t>
      </w:r>
      <w:r>
        <w:t xml:space="preserve">seconds </w:t>
      </w:r>
      <w:r>
        <w:t xml:space="preserve">(Lu et al. 2022)</w:t>
      </w:r>
      <w:r>
        <w:t xml:space="preserve">, a figure this thesis’s own deployment</w:t>
      </w:r>
      <w:r>
        <w:t xml:space="preserve"> </w:t>
      </w:r>
      <w:r>
        <w:t xml:space="preserve">reproduces independently rather than merely assumes.</w:t>
      </w:r>
    </w:p>
    <w:p>
      <w:pPr>
        <w:pStyle w:val="BodyText"/>
      </w:pPr>
      <w:r>
        <w:t xml:space="preserve">On the second thread, privacy in a replicated ledger is structurally</w:t>
      </w:r>
      <w:r>
        <w:t xml:space="preserve"> </w:t>
      </w:r>
      <w:r>
        <w:t xml:space="preserve">difficult: the same replication that gives every consortium member a</w:t>
      </w:r>
      <w:r>
        <w:t xml:space="preserve"> </w:t>
      </w:r>
      <w:r>
        <w:t xml:space="preserve">tamper-evident copy of a record also gives every member a copy of whatever</w:t>
      </w:r>
      <w:r>
        <w:t xml:space="preserve"> </w:t>
      </w:r>
      <w:r>
        <w:t xml:space="preserve">that record discloses. Off-chain storage with an on-chain hash anchor is</w:t>
      </w:r>
      <w:r>
        <w:t xml:space="preserve"> </w:t>
      </w:r>
      <w:r>
        <w:t xml:space="preserve">the common mitigation, verifiable without being</w:t>
      </w:r>
      <w:r>
        <w:t xml:space="preserve"> </w:t>
      </w:r>
      <w:r>
        <w:t xml:space="preserve">world-readable </w:t>
      </w:r>
      <w:r>
        <w:t xml:space="preserve">(Zyskind, Nathan, and Pentland 2015)</w:t>
      </w:r>
      <w:r>
        <w:t xml:space="preserve">, and self-sovereign identity schemes</w:t>
      </w:r>
      <w:r>
        <w:t xml:space="preserve"> </w:t>
      </w:r>
      <w:r>
        <w:t xml:space="preserve">extend the same principle to access itself, letting a data owner grant and</w:t>
      </w:r>
      <w:r>
        <w:t xml:space="preserve"> </w:t>
      </w:r>
      <w:r>
        <w:t xml:space="preserve">revoke visibility without a standing</w:t>
      </w:r>
      <w:r>
        <w:t xml:space="preserve"> </w:t>
      </w:r>
      <w:r>
        <w:t xml:space="preserve">credential </w:t>
      </w:r>
      <w:r>
        <w:t xml:space="preserve">(Amraouy, Benbrahim, and Kabbaj 2025b)</w:t>
      </w:r>
      <w:r>
        <w:t xml:space="preserve">. Neither line of work, however, asks</w:t>
      </w:r>
      <w:r>
        <w:t xml:space="preserve"> </w:t>
      </w:r>
      <w:r>
        <w:t xml:space="preserve">whether the transmission layer itself can contribute to confidentiality</w:t>
      </w:r>
      <w:r>
        <w:t xml:space="preserve"> </w:t>
      </w:r>
      <w:r>
        <w:t xml:space="preserve">before a record ever reaches the ledger. Section </w:t>
      </w:r>
      <w:hyperlink w:anchor="subsec:lit_crt">
        <w:r>
          <w:rPr>
            <w:rStyle w:val="Hyperlink"/>
          </w:rPr>
          <w:t xml:space="preserve">2.2.3</w:t>
        </w:r>
      </w:hyperlink>
      <w:r>
        <w:t xml:space="preserve"> </w:t>
      </w:r>
      <w:r>
        <w:t xml:space="preserve">showed why that question is harder than it first looks: reconstruction</w:t>
      </w:r>
      <w:r>
        <w:t xml:space="preserve"> </w:t>
      </w:r>
      <w:r>
        <w:t xml:space="preserve">tolerates a missing residue under Goldreich, Ron and Sudan’s</w:t>
      </w:r>
      <w:r>
        <w:t xml:space="preserve"> </w:t>
      </w:r>
      <w:r>
        <w:t xml:space="preserve">error-tolerant formulation </w:t>
      </w:r>
      <w:r>
        <w:t xml:space="preserve">(Goldreich, Ron, and Sudan 1999)</w:t>
      </w:r>
      <w:r>
        <w:t xml:space="preserve">, but a plain</w:t>
      </w:r>
      <w:r>
        <w:t xml:space="preserve"> </w:t>
      </w:r>
      <w:r>
        <w:t xml:space="preserve">CRT residue is not a randomised secret share, so subset-recovery</w:t>
      </w:r>
      <w:r>
        <w:t xml:space="preserve"> </w:t>
      </w:r>
      <w:r>
        <w:t xml:space="preserve">tolerance does not, by itself, establish subset-disclosure</w:t>
      </w:r>
      <w:r>
        <w:t xml:space="preserve"> </w:t>
      </w:r>
      <w:r>
        <w:t xml:space="preserve">resistance </w:t>
      </w:r>
      <w:r>
        <w:t xml:space="preserve">(Shoup 2009)</w:t>
      </w:r>
      <w:r>
        <w:t xml:space="preserve">. What it establishes instead is</w:t>
      </w:r>
      <w:r>
        <w:t xml:space="preserve"> </w:t>
      </w:r>
      <w:r>
        <w:t xml:space="preserve">a precise condition worth testing rather than assuming: disclosure from</w:t>
      </w:r>
      <w:r>
        <w:t xml:space="preserve"> </w:t>
      </w:r>
      <w:r>
        <w:t xml:space="preserve">an intercepted residue is bounded by how far the plaintext’s domain</w:t>
      </w:r>
      <w:r>
        <w:t xml:space="preserve"> </w:t>
      </w:r>
      <w:r>
        <w:t xml:space="preserve">exceeds the missing moduli’s product, so confidentiality is a property of</w:t>
      </w:r>
      <w:r>
        <w:t xml:space="preserve"> </w:t>
      </w:r>
      <w:r>
        <w:t xml:space="preserve">the deployed moduli-to-domain ratio, not of the reconstruction identity</w:t>
      </w:r>
      <w:r>
        <w:t xml:space="preserve"> </w:t>
      </w:r>
      <w:r>
        <w:t xml:space="preserve">in the abstract. The literature reviewed here has developed residue</w:t>
      </w:r>
      <w:r>
        <w:t xml:space="preserve"> </w:t>
      </w:r>
      <w:r>
        <w:t xml:space="preserve">decomposition and threshold secret sharing in separate communities</w:t>
      </w:r>
      <w:r>
        <w:t xml:space="preserve"> </w:t>
      </w:r>
      <w:r>
        <w:t xml:space="preserve">without stating that condition, which is exactly why Chapter One frames</w:t>
      </w:r>
      <w:r>
        <w:t xml:space="preserve"> </w:t>
      </w:r>
      <w:r>
        <w:t xml:space="preserve">it as hypothesis H5 rather than a settled result: the rationale</w:t>
      </w:r>
      <w:r>
        <w:t xml:space="preserve"> </w:t>
      </w:r>
      <w:r>
        <w:t xml:space="preserve">(Section </w:t>
      </w:r>
      <w:hyperlink w:anchor="sec:rationale">
        <w:r>
          <w:rPr>
            <w:rStyle w:val="Hyperlink"/>
          </w:rPr>
          <w:t xml:space="preserve">1.3</w:t>
        </w:r>
      </w:hyperlink>
      <w:r>
        <w:t xml:space="preserve">) proposes residue decomposition as a</w:t>
      </w:r>
      <w:r>
        <w:t xml:space="preserve"> </w:t>
      </w:r>
      <w:r>
        <w:t xml:space="preserve">candidate confidentiality substrate, and H5 requires either a quantified</w:t>
      </w:r>
      <w:r>
        <w:t xml:space="preserve"> </w:t>
      </w:r>
      <w:r>
        <w:t xml:space="preserve">leakage bound for the deployed moduli and sensor ranges, or an added</w:t>
      </w:r>
      <w:r>
        <w:t xml:space="preserve"> </w:t>
      </w:r>
      <w:r>
        <w:t xml:space="preserve">randomisation step, before the substrate can be called established.</w:t>
      </w:r>
    </w:p>
    <w:bookmarkEnd w:id="50"/>
    <w:bookmarkEnd w:id="51"/>
    <w:bookmarkStart w:id="52" w:name="sec:lit_cognate"/>
    <w:p>
      <w:pPr>
        <w:pStyle w:val="Heading2"/>
      </w:pPr>
      <w:r>
        <w:rPr>
          <w:rStyle w:val="SectionNumber"/>
        </w:rPr>
        <w:t xml:space="preserve">2.3</w:t>
      </w:r>
      <w:r>
        <w:tab/>
      </w:r>
      <w:r>
        <w:t xml:space="preserve">Research in Cognate Areas Relevant to the Topic</w:t>
      </w:r>
    </w:p>
    <w:p>
      <w:pPr>
        <w:pStyle w:val="FirstParagraph"/>
      </w:pPr>
      <w:r>
        <w:t xml:space="preserve">Three adjacent bodies of work inform this thesis without belonging to any</w:t>
      </w:r>
      <w:r>
        <w:t xml:space="preserve"> </w:t>
      </w:r>
      <w:r>
        <w:t xml:space="preserve">of the six threads above.</w:t>
      </w:r>
    </w:p>
    <w:p>
      <w:pPr>
        <w:pStyle w:val="BodyText"/>
      </w:pPr>
      <w:r>
        <w:rPr>
          <w:bCs/>
          <w:b/>
        </w:rPr>
        <w:t xml:space="preserve">General edge computing and IoT security</w:t>
      </w:r>
      <w:r>
        <w:t xml:space="preserve">, beyond agriculture,</w:t>
      </w:r>
      <w:r>
        <w:t xml:space="preserve"> </w:t>
      </w:r>
      <w:r>
        <w:t xml:space="preserve">establishes both the promise and the residual risk of pushing computation</w:t>
      </w:r>
      <w:r>
        <w:t xml:space="preserve"> </w:t>
      </w:r>
      <w:r>
        <w:t xml:space="preserve">to the network edge. Edge processing improves response latency and keeps</w:t>
      </w:r>
      <w:r>
        <w:t xml:space="preserve"> </w:t>
      </w:r>
      <w:r>
        <w:t xml:space="preserve">sensitive data local </w:t>
      </w:r>
      <w:r>
        <w:t xml:space="preserve">(S. K. Sharma and Wang 2020; Liu et al. 2019; Xiaofei Wang et al. 2021)</w:t>
      </w:r>
      <w:r>
        <w:t xml:space="preserve">, and</w:t>
      </w:r>
      <w:r>
        <w:t xml:space="preserve"> </w:t>
      </w:r>
      <w:r>
        <w:t xml:space="preserve">this holds across smart-city and vehicular deployments as much as</w:t>
      </w:r>
      <w:r>
        <w:t xml:space="preserve"> </w:t>
      </w:r>
      <w:r>
        <w:t xml:space="preserve">agricultural ones, a distributed vehicular network architecture built on</w:t>
      </w:r>
      <w:r>
        <w:t xml:space="preserve"> </w:t>
      </w:r>
      <w:r>
        <w:t xml:space="preserve">Merkle-tree-verified blocks being one such</w:t>
      </w:r>
      <w:r>
        <w:t xml:space="preserve"> </w:t>
      </w:r>
      <w:r>
        <w:t xml:space="preserve">example </w:t>
      </w:r>
      <w:r>
        <w:t xml:space="preserve">(P. K. Sharma, Moon, and Park 2017)</w:t>
      </w:r>
      <w:r>
        <w:t xml:space="preserve">. The security side of the same literature</w:t>
      </w:r>
      <w:r>
        <w:t xml:space="preserve"> </w:t>
      </w:r>
      <w:r>
        <w:t xml:space="preserve">catalogues IoT-specific attack surfaces, firmware injection,</w:t>
      </w:r>
      <w:r>
        <w:t xml:space="preserve"> </w:t>
      </w:r>
      <w:r>
        <w:t xml:space="preserve">authentication bypass and physical tampering among</w:t>
      </w:r>
      <w:r>
        <w:t xml:space="preserve"> </w:t>
      </w:r>
      <w:r>
        <w:t xml:space="preserve">them </w:t>
      </w:r>
      <w:r>
        <w:t xml:space="preserve">(Farooq et al. 2019; Salah et al. 2019b; Dorri, Kanhere, and Jurdak 2017b; Kalaimathi, Yogeshwaran, and Rajeswari 2025; Kamble, Gunasekaran, and Gawankar 2018; Ferrandez-Pastor et al. 2016; Lezoche et al. 2020)</w:t>
      </w:r>
      <w:r>
        <w:t xml:space="preserve">, and a smaller literature addresses the specific</w:t>
      </w:r>
      <w:r>
        <w:t xml:space="preserve"> </w:t>
      </w:r>
      <w:r>
        <w:t xml:space="preserve">hardware this thesis deploys, cache and memory-region behaviour on the</w:t>
      </w:r>
      <w:r>
        <w:t xml:space="preserve"> </w:t>
      </w:r>
      <w:r>
        <w:t xml:space="preserve">ESP32 family, relevant to firmware-level integrity rather than network</w:t>
      </w:r>
      <w:r>
        <w:t xml:space="preserve"> </w:t>
      </w:r>
      <w:r>
        <w:t xml:space="preserve">protocol design </w:t>
      </w:r>
      <w:r>
        <w:t xml:space="preserve">(Kumari, Singh, and Kumar 2025; Jay 2025; esp-rs Project 2025)</w:t>
      </w:r>
      <w:r>
        <w:t xml:space="preserve">.</w:t>
      </w:r>
    </w:p>
    <w:p>
      <w:pPr>
        <w:pStyle w:val="BodyText"/>
      </w:pPr>
      <w:r>
        <w:rPr>
          <w:bCs/>
          <w:b/>
        </w:rPr>
        <w:t xml:space="preserve">Distributed and parallel computing beyond blockchain</w:t>
      </w:r>
      <w:r>
        <w:t xml:space="preserve"> </w:t>
      </w:r>
      <w:r>
        <w:t xml:space="preserve">supplies the</w:t>
      </w:r>
      <w:r>
        <w:t xml:space="preserve"> </w:t>
      </w:r>
      <w:r>
        <w:t xml:space="preserve">scaling vocabulary used in Section </w:t>
      </w:r>
      <w:hyperlink w:anchor="subsec:lit_consensus">
        <w:r>
          <w:rPr>
            <w:rStyle w:val="Hyperlink"/>
          </w:rPr>
          <w:t xml:space="preserve">2.2.5</w:t>
        </w:r>
      </w:hyperlink>
      <w:r>
        <w:t xml:space="preserve"> </w:t>
      </w:r>
      <w:r>
        <w:t xml:space="preserve">and in</w:t>
      </w:r>
      <w:r>
        <w:t xml:space="preserve"> </w:t>
      </w:r>
      <w:r>
        <w:t xml:space="preserve">Chapter Four: Amdahl’s law bounds the speedup obtainable from</w:t>
      </w:r>
      <w:r>
        <w:t xml:space="preserve"> </w:t>
      </w:r>
      <w:r>
        <w:t xml:space="preserve">parallelising a fixed-size workload by the fraction that remains</w:t>
      </w:r>
      <w:r>
        <w:t xml:space="preserve"> </w:t>
      </w:r>
      <w:r>
        <w:t xml:space="preserve">sequential, a ceiling this thesis’s strong-scaling analysis of gateway</w:t>
      </w:r>
      <w:r>
        <w:t xml:space="preserve"> </w:t>
      </w:r>
      <w:r>
        <w:t xml:space="preserve">count against transaction throughput invokes</w:t>
      </w:r>
      <w:r>
        <w:t xml:space="preserve"> </w:t>
      </w:r>
      <w:r>
        <w:t xml:space="preserve">directly </w:t>
      </w:r>
      <w:r>
        <w:t xml:space="preserve">(Amdahl 1967)</w:t>
      </w:r>
      <w:r>
        <w:t xml:space="preserve">. Ongoing revocation-latency work in</w:t>
      </w:r>
      <w:r>
        <w:t xml:space="preserve"> </w:t>
      </w:r>
      <w:r>
        <w:t xml:space="preserve">vehicular and other resource-constrained permissioned-blockchain settings</w:t>
      </w:r>
      <w:r>
        <w:t xml:space="preserve"> </w:t>
      </w:r>
      <w:r>
        <w:t xml:space="preserve">similarly treats edge computing as the deployment target rather than the</w:t>
      </w:r>
      <w:r>
        <w:t xml:space="preserve"> </w:t>
      </w:r>
      <w:r>
        <w:t xml:space="preserve">enterprise data centre </w:t>
      </w:r>
      <w:r>
        <w:t xml:space="preserve">(Lu et al. 2022)</w:t>
      </w:r>
      <w:r>
        <w:t xml:space="preserve">, reinforcing the pattern</w:t>
      </w:r>
      <w:r>
        <w:t xml:space="preserve"> </w:t>
      </w:r>
      <w:r>
        <w:t xml:space="preserve">Section </w:t>
      </w:r>
      <w:hyperlink w:anchor="subsec:lit_consensus">
        <w:r>
          <w:rPr>
            <w:rStyle w:val="Hyperlink"/>
          </w:rPr>
          <w:t xml:space="preserve">2.2.5</w:t>
        </w:r>
      </w:hyperlink>
      <w:r>
        <w:t xml:space="preserve"> </w:t>
      </w:r>
      <w:r>
        <w:t xml:space="preserve">identifies: constrained-hardware</w:t>
      </w:r>
      <w:r>
        <w:t xml:space="preserve"> </w:t>
      </w:r>
      <w:r>
        <w:t xml:space="preserve">evaluation is the literature’s exception rather than its default.</w:t>
      </w:r>
    </w:p>
    <w:p>
      <w:pPr>
        <w:pStyle w:val="BodyText"/>
      </w:pPr>
      <w:r>
        <w:rPr>
          <w:bCs/>
          <w:b/>
        </w:rPr>
        <w:t xml:space="preserve">Applied hydrology and arid-region agronomy</w:t>
      </w:r>
      <w:r>
        <w:t xml:space="preserve"> </w:t>
      </w:r>
      <w:r>
        <w:t xml:space="preserve">ground the thesis’s</w:t>
      </w:r>
      <w:r>
        <w:t xml:space="preserve"> </w:t>
      </w:r>
      <w:r>
        <w:t xml:space="preserve">water-efficiency claims outside the networking and ledger literature</w:t>
      </w:r>
      <w:r>
        <w:t xml:space="preserve"> </w:t>
      </w:r>
      <w:r>
        <w:t xml:space="preserve">proper. Global freshwater withdrawal projections identify irrigation as</w:t>
      </w:r>
      <w:r>
        <w:t xml:space="preserve"> </w:t>
      </w:r>
      <w:r>
        <w:t xml:space="preserve">the dominant consumptive use and the primary lever for closing the gap</w:t>
      </w:r>
      <w:r>
        <w:t xml:space="preserve"> </w:t>
      </w:r>
      <w:r>
        <w:t xml:space="preserve">between supply and demand under</w:t>
      </w:r>
      <w:r>
        <w:t xml:space="preserve"> </w:t>
      </w:r>
      <w:r>
        <w:t xml:space="preserve">population growth </w:t>
      </w:r>
      <w:r>
        <w:t xml:space="preserve">(Food and Agriculture Organization of the United Nations 2017; United Nations World Water Development Report 2023)</w:t>
      </w:r>
      <w:r>
        <w:t xml:space="preserve">, and Mediterranean and North</w:t>
      </w:r>
      <w:r>
        <w:t xml:space="preserve"> </w:t>
      </w:r>
      <w:r>
        <w:t xml:space="preserve">African basin studies, including region-specific work on</w:t>
      </w:r>
      <w:r>
        <w:t xml:space="preserve"> </w:t>
      </w:r>
      <w:r>
        <w:t xml:space="preserve">Tunisia </w:t>
      </w:r>
      <w:r>
        <w:t xml:space="preserve">(Tunisian Ministry of Agriculture 2022; Fereres and Soriano 2007; Dhaouadi, Besser, and Wassar 2020; Goap et al. 2018b)</w:t>
      </w:r>
      <w:r>
        <w:t xml:space="preserve">, quantify the scale of the</w:t>
      </w:r>
      <w:r>
        <w:t xml:space="preserve"> </w:t>
      </w:r>
      <w:r>
        <w:t xml:space="preserve">shortfall this thesis’s field site sits inside. Crop-specific water-stress</w:t>
      </w:r>
      <w:r>
        <w:t xml:space="preserve"> </w:t>
      </w:r>
      <w:r>
        <w:t xml:space="preserve">and quality studies for tomato and pepper cultivation, the two crops</w:t>
      </w:r>
      <w:r>
        <w:t xml:space="preserve"> </w:t>
      </w:r>
      <w:r>
        <w:t xml:space="preserve">monitored in this thesis’s deployment, supply the agronomic baselines</w:t>
      </w:r>
      <w:r>
        <w:t xml:space="preserve"> </w:t>
      </w:r>
      <w:r>
        <w:t xml:space="preserve">against which Chapter Four’s yield and water-use results are</w:t>
      </w:r>
      <w:r>
        <w:t xml:space="preserve"> </w:t>
      </w:r>
      <w:r>
        <w:t xml:space="preserve">compared </w:t>
      </w:r>
      <w:r>
        <w:t xml:space="preserve">(Boukhriss et al. 2021; Ibáñez et al. 2020; Food and Agriculture Organization 2013; Safeer et al. 2024; Xuewei Wang, Liu, and Chen 2025; Iglesias et al. 2007; Sezen, Yazar, and Eker 2006; Simonne et al. 2006; Patanè and Cosentino 2010; Topcu et al. 2007)</w:t>
      </w:r>
      <w:r>
        <w:t xml:space="preserve">.</w:t>
      </w:r>
    </w:p>
    <w:bookmarkEnd w:id="52"/>
    <w:bookmarkStart w:id="54" w:name="sec:lit_critique"/>
    <w:p>
      <w:pPr>
        <w:pStyle w:val="Heading2"/>
      </w:pPr>
      <w:r>
        <w:rPr>
          <w:rStyle w:val="SectionNumber"/>
        </w:rPr>
        <w:t xml:space="preserve">2.4</w:t>
      </w:r>
      <w:r>
        <w:tab/>
      </w:r>
      <w:r>
        <w:t xml:space="preserve">Critique of Current Literature and Summary of Known Results</w:t>
      </w:r>
    </w:p>
    <w:p>
      <w:pPr>
        <w:pStyle w:val="FirstParagraph"/>
      </w:pPr>
      <w:r>
        <w:t xml:space="preserve">Read across the six threads of Section </w:t>
      </w:r>
      <w:hyperlink w:anchor="sec:lit_specific">
        <w:r>
          <w:rPr>
            <w:rStyle w:val="Hyperlink"/>
          </w:rPr>
          <w:t xml:space="preserve">2.2</w:t>
        </w:r>
      </w:hyperlink>
      <w:r>
        <w:t xml:space="preserve">, the</w:t>
      </w:r>
      <w:r>
        <w:t xml:space="preserve"> </w:t>
      </w:r>
      <w:r>
        <w:t xml:space="preserve">literature is strong on isolated mechanisms and weak on their combination</w:t>
      </w:r>
      <w:r>
        <w:t xml:space="preserve"> </w:t>
      </w:r>
      <w:r>
        <w:t xml:space="preserve">and their field validation. Table </w:t>
      </w:r>
      <w:hyperlink w:anchor="tab:lit-gap-summary">
        <w:r>
          <w:rPr>
            <w:rStyle w:val="Hyperlink"/>
          </w:rPr>
          <w:t xml:space="preserve">2.4</w:t>
        </w:r>
      </w:hyperlink>
      <w:r>
        <w:t xml:space="preserve"> </w:t>
      </w:r>
      <w:r>
        <w:t xml:space="preserve">states this</w:t>
      </w:r>
      <w:r>
        <w:t xml:space="preserve"> </w:t>
      </w:r>
      <w:r>
        <w:t xml:space="preserve">critique per thread in the same form the thesis’s own contribution</w:t>
      </w:r>
      <w:r>
        <w:t xml:space="preserve"> </w:t>
      </w:r>
      <w:r>
        <w:t xml:space="preserve">(Section </w:t>
      </w:r>
      <w:hyperlink w:anchor="sec:lit_contribution">
        <w:r>
          <w:rPr>
            <w:rStyle w:val="Hyperlink"/>
          </w:rPr>
          <w:t xml:space="preserve">2.5</w:t>
        </w:r>
      </w:hyperlink>
      <w:r>
        <w:t xml:space="preserve">) will answer it.</w:t>
      </w:r>
    </w:p>
    <w:bookmarkStart w:id="53" w:name="tab:lit-gap-summary"/>
    <w:p>
      <w:pPr>
        <w:pStyle w:val="TableCaption"/>
      </w:pPr>
      <w:r>
        <w:t xml:space="preserve">Critique of current literature by thread, and what remains</w:t>
      </w:r>
      <w:r>
        <w:t xml:space="preserve"> </w:t>
      </w:r>
      <w:r>
        <w:t xml:space="preserve">unestablished</w:t>
      </w:r>
    </w:p>
    <w:tbl>
      <w:tblPr>
        <w:tblStyle w:val="Table"/>
        <w:tblW w:type="auto" w:w="0"/>
        <w:tblLook w:firstRow="1" w:lastRow="0" w:firstColumn="0" w:lastColumn="0" w:noHBand="0" w:noVBand="0" w:val="0020"/>
        <w:jc w:val="start"/>
        <w:tblCaption w:val="Critique of current literature by thread, and what remains unestablished"/>
      </w:tblPr>
      <w:tblGrid>
        <w:gridCol w:w="2640"/>
        <w:gridCol w:w="2640"/>
        <w:gridCol w:w="2640"/>
      </w:tblGrid>
      <w:tr>
        <w:trPr>
          <w:tblHeader w:val="true"/>
        </w:trPr>
        <w:tc>
          <w:tcPr/>
          <w:p>
            <w:pPr>
              <w:pStyle w:val="Compact"/>
              <w:jc w:val="left"/>
            </w:pPr>
            <w:r>
              <w:rPr>
                <w:bCs/>
                <w:b/>
              </w:rPr>
              <w:t xml:space="preserve">Thread</w:t>
            </w:r>
          </w:p>
        </w:tc>
        <w:tc>
          <w:tcPr/>
          <w:p>
            <w:pPr>
              <w:pStyle w:val="Compact"/>
              <w:jc w:val="left"/>
            </w:pPr>
            <w:r>
              <w:rPr>
                <w:bCs/>
                <w:b/>
              </w:rPr>
              <w:t xml:space="preserve">What the literature establishes</w:t>
            </w:r>
          </w:p>
        </w:tc>
        <w:tc>
          <w:tcPr/>
          <w:p>
            <w:pPr>
              <w:pStyle w:val="Compact"/>
              <w:jc w:val="left"/>
            </w:pPr>
            <w:r>
              <w:rPr>
                <w:bCs/>
                <w:b/>
              </w:rPr>
              <w:t xml:space="preserve">What remains unestablished</w:t>
            </w:r>
          </w:p>
        </w:tc>
      </w:tr>
      <w:tr>
        <w:tc>
          <w:tcPr/>
          <w:p>
            <w:pPr>
              <w:pStyle w:val="Compact"/>
              <w:jc w:val="left"/>
            </w:pPr>
            <w:r>
              <w:t xml:space="preserve">Precision agriculture &amp; IoT sensing (§</w:t>
            </w:r>
            <w:hyperlink w:anchor="subsec:lit_precision_ag">
              <w:r>
                <w:rPr>
                  <w:rStyle w:val="Hyperlink"/>
                </w:rPr>
                <w:t xml:space="preserve">2.2.1</w:t>
              </w:r>
            </w:hyperlink>
            <w:r>
              <w:t xml:space="preserve">)</w:t>
            </w:r>
          </w:p>
        </w:tc>
        <w:tc>
          <w:tcPr/>
          <w:p>
            <w:pPr>
              <w:pStyle w:val="Compact"/>
              <w:jc w:val="left"/>
            </w:pPr>
            <w:r>
              <w:t xml:space="preserve">Sensor-driven scheduling reduces water use; decision-support benefit is</w:t>
            </w:r>
            <w:r>
              <w:t xml:space="preserve"> </w:t>
            </w:r>
            <w:r>
              <w:t xml:space="preserve">replicated across regions</w:t>
            </w:r>
          </w:p>
        </w:tc>
        <w:tc>
          <w:tcPr/>
          <w:p>
            <w:pPr>
              <w:pStyle w:val="Compact"/>
              <w:jc w:val="left"/>
            </w:pPr>
            <w:r>
              <w:t xml:space="preserve">Data-integrity assumptions behind those results are rarely stated or</w:t>
            </w:r>
            <w:r>
              <w:t xml:space="preserve"> </w:t>
            </w:r>
            <w:r>
              <w:t xml:space="preserve">measured; field sensing error budgets are under-reported</w:t>
            </w:r>
          </w:p>
        </w:tc>
      </w:tr>
      <w:tr>
        <w:tc>
          <w:tcPr/>
          <w:p>
            <w:pPr>
              <w:pStyle w:val="Compact"/>
              <w:jc w:val="left"/>
            </w:pPr>
            <w:r>
              <w:t xml:space="preserve">LPWAN transmission &amp; energy (§</w:t>
            </w:r>
            <w:hyperlink w:anchor="subsec:lit_lpwan">
              <w:r>
                <w:rPr>
                  <w:rStyle w:val="Hyperlink"/>
                </w:rPr>
                <w:t xml:space="preserve">2.2.2</w:t>
              </w:r>
            </w:hyperlink>
            <w:r>
              <w:t xml:space="preserve">)</w:t>
            </w:r>
          </w:p>
        </w:tc>
        <w:tc>
          <w:tcPr/>
          <w:p>
            <w:pPr>
              <w:pStyle w:val="Compact"/>
              <w:jc w:val="left"/>
            </w:pPr>
            <w:r>
              <w:t xml:space="preserve">Compression reduces payload; residue decomposition reduces storage and</w:t>
            </w:r>
            <w:r>
              <w:t xml:space="preserve"> </w:t>
            </w:r>
            <w:r>
              <w:t xml:space="preserve">per-node energy in isolation</w:t>
            </w:r>
          </w:p>
        </w:tc>
        <w:tc>
          <w:tcPr/>
          <w:p>
            <w:pPr>
              <w:pStyle w:val="Compact"/>
              <w:jc w:val="left"/>
            </w:pPr>
            <w:r>
              <w:t xml:space="preserve">No prior system uses residue decomposition for concurrent multi-channel</w:t>
            </w:r>
            <w:r>
              <w:t xml:space="preserve"> </w:t>
            </w:r>
            <w:r>
              <w:rPr>
                <w:iCs/>
                <w:i/>
              </w:rPr>
              <w:t xml:space="preserve">reception</w:t>
            </w:r>
            <w:r>
              <w:t xml:space="preserve">, the mechanism that governs gateway capacity</w:t>
            </w:r>
          </w:p>
        </w:tc>
      </w:tr>
      <w:tr>
        <w:tc>
          <w:tcPr/>
          <w:p>
            <w:pPr>
              <w:pStyle w:val="Compact"/>
              <w:jc w:val="left"/>
            </w:pPr>
            <w:r>
              <w:t xml:space="preserve">RNS / CRT in communications (§</w:t>
            </w:r>
            <w:hyperlink w:anchor="subsec:lit_crt">
              <w:r>
                <w:rPr>
                  <w:rStyle w:val="Hyperlink"/>
                </w:rPr>
                <w:t xml:space="preserve">2.2.3</w:t>
              </w:r>
            </w:hyperlink>
            <w:r>
              <w:t xml:space="preserve">)</w:t>
            </w:r>
          </w:p>
        </w:tc>
        <w:tc>
          <w:tcPr/>
          <w:p>
            <w:pPr>
              <w:pStyle w:val="Compact"/>
              <w:jc w:val="left"/>
            </w:pPr>
            <w:r>
              <w:t xml:space="preserve">Reconstruction is exact and</w:t>
            </w:r>
            <w:r>
              <w:t xml:space="preserve"> </w:t>
            </w:r>
            <m:oMath>
              <m:r>
                <m:t>O</m:t>
              </m:r>
              <m:d>
                <m:dPr>
                  <m:begChr m:val="("/>
                  <m:endChr m:val=")"/>
                  <m:sepChr m:val=""/>
                  <m:grow/>
                </m:dPr>
                <m:e>
                  <m:r>
                    <m:t>k</m:t>
                  </m:r>
                </m:e>
              </m:d>
            </m:oMath>
            <w:r>
              <w:t xml:space="preserve">; subset recovery tolerates missing</w:t>
            </w:r>
            <w:r>
              <w:t xml:space="preserve"> </w:t>
            </w:r>
            <w:r>
              <w:t xml:space="preserve">residues; parallel decomposition accelerates cryptographic verification</w:t>
            </w:r>
          </w:p>
        </w:tc>
        <w:tc>
          <w:tcPr/>
          <w:p>
            <w:pPr>
              <w:pStyle w:val="Compact"/>
              <w:jc w:val="left"/>
            </w:pPr>
            <w:r>
              <w:t xml:space="preserve">The processor-cycle application and the radio-channel application have</w:t>
            </w:r>
            <w:r>
              <w:t xml:space="preserve"> </w:t>
            </w:r>
            <w:r>
              <w:t xml:space="preserve">not been connected; confidentiality implications of residue disclosure</w:t>
            </w:r>
            <w:r>
              <w:t xml:space="preserve"> </w:t>
            </w:r>
            <w:r>
              <w:t xml:space="preserve">are unexploited</w:t>
            </w:r>
          </w:p>
        </w:tc>
      </w:tr>
      <w:tr>
        <w:tc>
          <w:tcPr/>
          <w:p>
            <w:pPr>
              <w:pStyle w:val="Compact"/>
              <w:jc w:val="left"/>
            </w:pPr>
            <w:r>
              <w:t xml:space="preserve">Blockchain / DLT in agriculture (§</w:t>
            </w:r>
            <w:hyperlink w:anchor="subsec:lit_blockchain_ag">
              <w:r>
                <w:rPr>
                  <w:rStyle w:val="Hyperlink"/>
                </w:rPr>
                <w:t xml:space="preserve">2.2.4</w:t>
              </w:r>
            </w:hyperlink>
            <w:r>
              <w:t xml:space="preserve">)</w:t>
            </w:r>
          </w:p>
        </w:tc>
        <w:tc>
          <w:tcPr/>
          <w:p>
            <w:pPr>
              <w:pStyle w:val="Compact"/>
              <w:jc w:val="left"/>
            </w:pPr>
            <w:r>
              <w:t xml:space="preserve">Hash-chained, replicated ledgers give tamper evidence for agricultural</w:t>
            </w:r>
            <w:r>
              <w:t xml:space="preserve"> </w:t>
            </w:r>
            <w:r>
              <w:t xml:space="preserve">and supply-chain records</w:t>
            </w:r>
          </w:p>
        </w:tc>
        <w:tc>
          <w:tcPr/>
          <w:p>
            <w:pPr>
              <w:pStyle w:val="Compact"/>
              <w:jc w:val="left"/>
            </w:pPr>
            <w:r>
              <w:t xml:space="preserve">Authentication almost universally terminates at the gateway or</w:t>
            </w:r>
            <w:r>
              <w:t xml:space="preserve"> </w:t>
            </w:r>
            <w:r>
              <w:t xml:space="preserve">enterprise boundary, not the sensing node</w:t>
            </w:r>
          </w:p>
        </w:tc>
      </w:tr>
      <w:tr>
        <w:tc>
          <w:tcPr/>
          <w:p>
            <w:pPr>
              <w:pStyle w:val="Compact"/>
              <w:jc w:val="left"/>
            </w:pPr>
            <w:r>
              <w:t xml:space="preserve">Edge-resident consensus (§</w:t>
            </w:r>
            <w:hyperlink w:anchor="subsec:lit_consensus">
              <w:r>
                <w:rPr>
                  <w:rStyle w:val="Hyperlink"/>
                </w:rPr>
                <w:t xml:space="preserve">2.2.5</w:t>
              </w:r>
            </w:hyperlink>
            <w:r>
              <w:t xml:space="preserve">)</w:t>
            </w:r>
          </w:p>
        </w:tc>
        <w:tc>
          <w:tcPr/>
          <w:p>
            <w:pPr>
              <w:pStyle w:val="Compact"/>
              <w:jc w:val="left"/>
            </w:pPr>
            <w:r>
              <w:t xml:space="preserve">CFT/BFT trade-off is well characterised in message</w:t>
            </w:r>
            <w:r>
              <w:t xml:space="preserve"> </w:t>
            </w:r>
            <w:r>
              <w:t xml:space="preserve">complexity; CAP constrains any partitioned deployment</w:t>
            </w:r>
          </w:p>
        </w:tc>
        <w:tc>
          <w:tcPr/>
          <w:p>
            <w:pPr>
              <w:pStyle w:val="Compact"/>
              <w:jc w:val="left"/>
            </w:pPr>
            <w:r>
              <w:t xml:space="preserve">Constrained ARM64 gateway-class evaluation, especially under</w:t>
            </w:r>
            <w:r>
              <w:t xml:space="preserve"> </w:t>
            </w:r>
            <w:r>
              <w:t xml:space="preserve">sustained field load rather than benchmark load, is the exception</w:t>
            </w:r>
          </w:p>
        </w:tc>
      </w:tr>
      <w:tr>
        <w:tc>
          <w:tcPr/>
          <w:p>
            <w:pPr>
              <w:pStyle w:val="Compact"/>
              <w:jc w:val="left"/>
            </w:pPr>
            <w:r>
              <w:t xml:space="preserve">Identity, access control &amp; privacy (§</w:t>
            </w:r>
            <w:hyperlink w:anchor="subsec:lit_privacy">
              <w:r>
                <w:rPr>
                  <w:rStyle w:val="Hyperlink"/>
                </w:rPr>
                <w:t xml:space="preserve">2.2.6</w:t>
              </w:r>
            </w:hyperlink>
            <w:r>
              <w:t xml:space="preserve">)</w:t>
            </w:r>
          </w:p>
        </w:tc>
        <w:tc>
          <w:tcPr/>
          <w:p>
            <w:pPr>
              <w:pStyle w:val="Compact"/>
              <w:jc w:val="left"/>
            </w:pPr>
            <w:r>
              <w:t xml:space="preserve">RBAC/MSP identity binding and role hierarchies are</w:t>
            </w:r>
            <w:r>
              <w:t xml:space="preserve"> </w:t>
            </w:r>
            <w:r>
              <w:t xml:space="preserve">formalised and enforceable in chaincode</w:t>
            </w:r>
          </w:p>
        </w:tc>
        <w:tc>
          <w:tcPr/>
          <w:p>
            <w:pPr>
              <w:pStyle w:val="Compact"/>
              <w:jc w:val="left"/>
            </w:pPr>
            <w:r>
              <w:t xml:space="preserve">Node-level (not gateway-level) identity binding is largely absent;</w:t>
            </w:r>
            <w:r>
              <w:t xml:space="preserve"> </w:t>
            </w:r>
            <w:r>
              <w:t xml:space="preserve">transmission-layer confidentiality is not treated as a design resource</w:t>
            </w:r>
          </w:p>
        </w:tc>
      </w:tr>
    </w:tbl>
    <w:bookmarkEnd w:id="53"/>
    <w:p>
      <w:pPr>
        <w:pStyle w:val="BodyText"/>
      </w:pPr>
      <w:r>
        <w:t xml:space="preserve">Three cross-cutting patterns follow from the table. First, every thread</w:t>
      </w:r>
      <w:r>
        <w:t xml:space="preserve"> </w:t>
      </w:r>
      <w:r>
        <w:t xml:space="preserve">that reports a resource saving, transmission, storage, or processor</w:t>
      </w:r>
      <w:r>
        <w:t xml:space="preserve"> </w:t>
      </w:r>
      <w:r>
        <w:t xml:space="preserve">cycles, reports it in isolation, with no accounting of what that saving</w:t>
      </w:r>
      <w:r>
        <w:t xml:space="preserve"> </w:t>
      </w:r>
      <w:r>
        <w:t xml:space="preserve">could purchase elsewhere in the same pipeline; Section </w:t>
      </w:r>
      <w:hyperlink w:anchor="sec:rationale">
        <w:r>
          <w:rPr>
            <w:rStyle w:val="Hyperlink"/>
          </w:rPr>
          <w:t xml:space="preserve">1.3</w:t>
        </w:r>
      </w:hyperlink>
      <w:r>
        <w:t xml:space="preserve"> </w:t>
      </w:r>
      <w:r>
        <w:t xml:space="preserve">of Chapter One turns this observation into the thesis’s central rationale.</w:t>
      </w:r>
      <w:r>
        <w:t xml:space="preserve"> </w:t>
      </w:r>
      <w:r>
        <w:t xml:space="preserve">Second, authentication and consensus evaluation both stop at the gateway,</w:t>
      </w:r>
      <w:r>
        <w:t xml:space="preserve"> </w:t>
      </w:r>
      <w:r>
        <w:t xml:space="preserve">leaving the sensing node, the point at which falsification is cheapest,</w:t>
      </w:r>
      <w:r>
        <w:t xml:space="preserve"> </w:t>
      </w:r>
      <w:r>
        <w:t xml:space="preserve">outside the trust boundary the literature actually measures. Third,</w:t>
      </w:r>
      <w:r>
        <w:t xml:space="preserve"> </w:t>
      </w:r>
      <w:r>
        <w:t xml:space="preserve">laboratory and simulated evaluation dominates every thread; sustained</w:t>
      </w:r>
      <w:r>
        <w:t xml:space="preserve"> </w:t>
      </w:r>
      <w:r>
        <w:t xml:space="preserve">field deployment, of the kind Chapter Three’s methodology and Chapter</w:t>
      </w:r>
      <w:r>
        <w:t xml:space="preserve"> </w:t>
      </w:r>
      <w:r>
        <w:t xml:space="preserve">Four’s results describe, is reported by a minority of the studies</w:t>
      </w:r>
      <w:r>
        <w:t xml:space="preserve"> </w:t>
      </w:r>
      <w:r>
        <w:t xml:space="preserve">reviewed here, and by none that combine transmission efficiency, edge</w:t>
      </w:r>
      <w:r>
        <w:t xml:space="preserve"> </w:t>
      </w:r>
      <w:r>
        <w:t xml:space="preserve">consensus and access control in a single system.</w:t>
      </w:r>
    </w:p>
    <w:bookmarkEnd w:id="54"/>
    <w:bookmarkStart w:id="55" w:name="sec:lit_contribution"/>
    <w:p>
      <w:pPr>
        <w:pStyle w:val="Heading2"/>
      </w:pPr>
      <w:r>
        <w:rPr>
          <w:rStyle w:val="SectionNumber"/>
        </w:rPr>
        <w:t xml:space="preserve">2.5</w:t>
      </w:r>
      <w:r>
        <w:tab/>
      </w:r>
      <w:r>
        <w:t xml:space="preserve">The Contribution This Study Will Make to the Literature</w:t>
      </w:r>
    </w:p>
    <w:p>
      <w:pPr>
        <w:pStyle w:val="FirstParagraph"/>
      </w:pPr>
      <w:r>
        <w:t xml:space="preserve">Against the gaps summarised in Table </w:t>
      </w:r>
      <w:hyperlink w:anchor="tab:lit-gap-summary">
        <w:r>
          <w:rPr>
            <w:rStyle w:val="Hyperlink"/>
          </w:rPr>
          <w:t xml:space="preserve">2.4</w:t>
        </w:r>
      </w:hyperlink>
      <w:r>
        <w:t xml:space="preserve">, this thesis</w:t>
      </w:r>
      <w:r>
        <w:t xml:space="preserve"> </w:t>
      </w:r>
      <w:r>
        <w:t xml:space="preserve">contributes the following.</w:t>
      </w:r>
    </w:p>
    <w:p>
      <w:pPr>
        <w:numPr>
          <w:ilvl w:val="0"/>
          <w:numId w:val="1003"/>
        </w:numPr>
      </w:pPr>
      <w:r>
        <w:t xml:space="preserve">It connects the processor-cycle application of CRT parallel</w:t>
      </w:r>
      <w:r>
        <w:t xml:space="preserve"> </w:t>
      </w:r>
      <w:r>
        <w:t xml:space="preserve">decomposition </w:t>
      </w:r>
      <w:r>
        <w:t xml:space="preserve">(Beloa 2025)</w:t>
      </w:r>
      <w:r>
        <w:t xml:space="preserve"> </w:t>
      </w:r>
      <w:r>
        <w:t xml:space="preserve">to the radio-channel</w:t>
      </w:r>
      <w:r>
        <w:t xml:space="preserve"> </w:t>
      </w:r>
      <w:r>
        <w:t xml:space="preserve">application this thesis develops, showing that</w:t>
      </w:r>
      <w:r>
        <w:t xml:space="preserve"> </w:t>
      </w:r>
      <w:r>
        <w:t xml:space="preserve">Equation </w:t>
      </w:r>
      <w:hyperlink w:anchor="eq:crt_reconstruction">
        <w:r>
          <w:rPr>
            <w:rStyle w:val="Hyperlink"/>
          </w:rPr>
          <w:t xml:space="preserve">[eq:crt_reconstruction]</w:t>
        </w:r>
      </w:hyperlink>
      <w:r>
        <w:t xml:space="preserve"> </w:t>
      </w:r>
      <w:r>
        <w:t xml:space="preserve">pays for a different resource,</w:t>
      </w:r>
      <w:r>
        <w:t xml:space="preserve"> </w:t>
      </w:r>
      <w:r>
        <w:t xml:space="preserve">airtime rather than CPU cycles, when its parallel targets are</w:t>
      </w:r>
      <w:r>
        <w:t xml:space="preserve"> </w:t>
      </w:r>
      <w:r>
        <w:t xml:space="preserve">a concentrator’s demodulation paths rather than a processor’s</w:t>
      </w:r>
      <w:r>
        <w:t xml:space="preserve"> </w:t>
      </w:r>
      <w:r>
        <w:t xml:space="preserve">cores.</w:t>
      </w:r>
    </w:p>
    <w:p>
      <w:pPr>
        <w:numPr>
          <w:ilvl w:val="0"/>
          <w:numId w:val="1003"/>
        </w:numPr>
      </w:pPr>
      <w:r>
        <w:t xml:space="preserve">It extends gateway-terminated identity binding to the sensing</w:t>
      </w:r>
      <w:r>
        <w:t xml:space="preserve"> </w:t>
      </w:r>
      <w:r>
        <w:t xml:space="preserve">node, using the hierarchical RBAC formalisation of</w:t>
      </w:r>
      <w:r>
        <w:t xml:space="preserve"> </w:t>
      </w:r>
      <w:r>
        <w:t xml:space="preserve">Equations </w:t>
      </w:r>
      <w:hyperlink w:anchor="eq:hrbac_eff">
        <w:r>
          <w:rPr>
            <w:rStyle w:val="Hyperlink"/>
          </w:rPr>
          <w:t xml:space="preserve">[eq:hrbac_eff]</w:t>
        </w:r>
      </w:hyperlink>
      <w:r>
        <w:t xml:space="preserve"> </w:t>
      </w:r>
      <w:r>
        <w:t xml:space="preserve">and </w:t>
      </w:r>
      <w:hyperlink w:anchor="eq:hrbac_grant">
        <w:r>
          <w:rPr>
            <w:rStyle w:val="Hyperlink"/>
          </w:rPr>
          <w:t xml:space="preserve">[eq:hrbac_grant]</w:t>
        </w:r>
      </w:hyperlink>
      <w:r>
        <w:t xml:space="preserve"> </w:t>
      </w:r>
      <w:r>
        <w:t xml:space="preserve">(Beloa et al. 2025)</w:t>
      </w:r>
      <w:r>
        <w:t xml:space="preserve"> </w:t>
      </w:r>
      <w:r>
        <w:t xml:space="preserve">together with per-node credentials, so</w:t>
      </w:r>
      <w:r>
        <w:t xml:space="preserve"> </w:t>
      </w:r>
      <w:r>
        <w:t xml:space="preserve">that a ledger record attests to the node that produced a reading</w:t>
      </w:r>
      <w:r>
        <w:t xml:space="preserve"> </w:t>
      </w:r>
      <w:r>
        <w:t xml:space="preserve">rather than only to the gateway that submitted it.</w:t>
      </w:r>
    </w:p>
    <w:p>
      <w:pPr>
        <w:numPr>
          <w:ilvl w:val="0"/>
          <w:numId w:val="1003"/>
        </w:numPr>
      </w:pPr>
      <w:r>
        <w:t xml:space="preserve">It reports CFT consensus performance measured on ARM64</w:t>
      </w:r>
      <w:r>
        <w:t xml:space="preserve"> </w:t>
      </w:r>
      <w:r>
        <w:t xml:space="preserve">gateway hardware under sustained field load rather than benchmark</w:t>
      </w:r>
      <w:r>
        <w:t xml:space="preserve"> </w:t>
      </w:r>
      <w:r>
        <w:t xml:space="preserve">or simulated load, addressing the field-validation gap</w:t>
      </w:r>
      <w:r>
        <w:t xml:space="preserve"> </w:t>
      </w:r>
      <w:r>
        <w:t xml:space="preserve">Table </w:t>
      </w:r>
      <w:hyperlink w:anchor="tab:lit-consensus">
        <w:r>
          <w:rPr>
            <w:rStyle w:val="Hyperlink"/>
          </w:rPr>
          <w:t xml:space="preserve">2.3</w:t>
        </w:r>
      </w:hyperlink>
      <w:r>
        <w:t xml:space="preserve"> </w:t>
      </w:r>
      <w:r>
        <w:t xml:space="preserve">identifies across the consensus</w:t>
      </w:r>
      <w:r>
        <w:t xml:space="preserve"> </w:t>
      </w:r>
      <w:r>
        <w:t xml:space="preserve">literature.</w:t>
      </w:r>
    </w:p>
    <w:p>
      <w:pPr>
        <w:numPr>
          <w:ilvl w:val="0"/>
          <w:numId w:val="1003"/>
        </w:numPr>
      </w:pPr>
      <w:r>
        <w:t xml:space="preserve">It states, and Chapter Four tests as hypothesis H5, the condition</w:t>
      </w:r>
      <w:r>
        <w:t xml:space="preserve"> </w:t>
      </w:r>
      <w:r>
        <w:t xml:space="preserve">under which residue decomposition can serve as a confidentiality</w:t>
      </w:r>
      <w:r>
        <w:t xml:space="preserve"> </w:t>
      </w:r>
      <w:r>
        <w:t xml:space="preserve">substrate rather than merely a transmission optimisation: that</w:t>
      </w:r>
      <w:r>
        <w:t xml:space="preserve"> </w:t>
      </w:r>
      <w:r>
        <w:t xml:space="preserve">disclosure from an intercepted residue is bounded by the ratio</w:t>
      </w:r>
      <w:r>
        <w:t xml:space="preserve"> </w:t>
      </w:r>
      <w:r>
        <w:t xml:space="preserve">between the plaintext domain and the missing moduli’s product, a</w:t>
      </w:r>
      <w:r>
        <w:t xml:space="preserve"> </w:t>
      </w:r>
      <w:r>
        <w:t xml:space="preserve">condition the subset-recovery results</w:t>
      </w:r>
      <w:r>
        <w:t xml:space="preserve"> </w:t>
      </w:r>
      <w:r>
        <w:t xml:space="preserve">of </w:t>
      </w:r>
      <w:r>
        <w:t xml:space="preserve">(Goldreich, Ron, and Sudan 1999; Shoup 2009)</w:t>
      </w:r>
      <w:r>
        <w:t xml:space="preserve"> </w:t>
      </w:r>
      <w:r>
        <w:t xml:space="preserve">make precise</w:t>
      </w:r>
      <w:r>
        <w:t xml:space="preserve"> </w:t>
      </w:r>
      <w:r>
        <w:t xml:space="preserve">but do not by themselves establish for any deployed system,</w:t>
      </w:r>
      <w:r>
        <w:t xml:space="preserve"> </w:t>
      </w:r>
      <w:r>
        <w:t xml:space="preserve">connecting the transmission and privacy threads that</w:t>
      </w:r>
      <w:r>
        <w:t xml:space="preserve"> </w:t>
      </w:r>
      <w:r>
        <w:t xml:space="preserve">Section </w:t>
      </w:r>
      <w:hyperlink w:anchor="subsec:lit_privacy">
        <w:r>
          <w:rPr>
            <w:rStyle w:val="Hyperlink"/>
          </w:rPr>
          <w:t xml:space="preserve">2.2.6</w:t>
        </w:r>
      </w:hyperlink>
      <w:r>
        <w:t xml:space="preserve"> </w:t>
      </w:r>
      <w:r>
        <w:t xml:space="preserve">shows have developed</w:t>
      </w:r>
      <w:r>
        <w:t xml:space="preserve"> </w:t>
      </w:r>
      <w:r>
        <w:t xml:space="preserve">separately.</w:t>
      </w:r>
    </w:p>
    <w:p>
      <w:pPr>
        <w:numPr>
          <w:ilvl w:val="0"/>
          <w:numId w:val="1003"/>
        </w:numPr>
      </w:pPr>
      <w:r>
        <w:t xml:space="preserve">It reports the combined system, transmission, ledger and access</w:t>
      </w:r>
      <w:r>
        <w:t xml:space="preserve"> </w:t>
      </w:r>
      <w:r>
        <w:t xml:space="preserve">control, characterised together on one deployment, rather than</w:t>
      </w:r>
      <w:r>
        <w:t xml:space="preserve"> </w:t>
      </w:r>
      <w:r>
        <w:t xml:space="preserve">each mechanism validated in isolation, which</w:t>
      </w:r>
      <w:r>
        <w:t xml:space="preserve"> </w:t>
      </w:r>
      <w:r>
        <w:t xml:space="preserve">Section </w:t>
      </w:r>
      <w:hyperlink w:anchor="sec:lit_critique">
        <w:r>
          <w:rPr>
            <w:rStyle w:val="Hyperlink"/>
          </w:rPr>
          <w:t xml:space="preserve">2.4</w:t>
        </w:r>
      </w:hyperlink>
      <w:r>
        <w:t xml:space="preserve"> </w:t>
      </w:r>
      <w:r>
        <w:t xml:space="preserve">identifies as the pattern the</w:t>
      </w:r>
      <w:r>
        <w:t xml:space="preserve"> </w:t>
      </w:r>
      <w:r>
        <w:t xml:space="preserve">reviewed literature does not yet show.</w:t>
      </w:r>
    </w:p>
    <w:bookmarkEnd w:id="55"/>
    <w:bookmarkStart w:id="56" w:name="references"/>
    <w:p>
      <w:pPr>
        <w:pStyle w:val="Heading2"/>
      </w:pPr>
      <w:r>
        <w:t xml:space="preserve">REFERENCES</w:t>
      </w:r>
    </w:p>
    <w:bookmarkEnd w:id="56"/>
    <w:bookmarkEnd w:id="57"/>
    <w:bookmarkStart w:id="62" w:name="app:crt_worked"/>
    <w:p>
      <w:pPr>
        <w:pStyle w:val="Heading1"/>
      </w:pPr>
      <w:r>
        <w:rPr>
          <w:rStyle w:val="SectionNumber"/>
        </w:rPr>
        <w:t xml:space="preserve">3</w:t>
      </w:r>
      <w:r>
        <w:tab/>
      </w:r>
      <w:r>
        <w:t xml:space="preserve">Worked Reconstruction Example for the Chinese Remainder Theorem</w:t>
      </w:r>
    </w:p>
    <w:p>
      <w:pPr>
        <w:pStyle w:val="FirstParagraph"/>
      </w:pPr>
      <w:r>
        <w:t xml:space="preserve">Section </w:t>
      </w:r>
      <w:hyperlink w:anchor="subsec:lit_crt">
        <w:r>
          <w:rPr>
            <w:rStyle w:val="Hyperlink"/>
          </w:rPr>
          <w:t xml:space="preserve">2.2.3</w:t>
        </w:r>
      </w:hyperlink>
      <w:r>
        <w:t xml:space="preserve"> </w:t>
      </w:r>
      <w:r>
        <w:t xml:space="preserve">states Garner’s reconstruction identity</w:t>
      </w:r>
      <w:r>
        <w:t xml:space="preserve"> </w:t>
      </w:r>
      <w:r>
        <w:t xml:space="preserve">(Equation </w:t>
      </w:r>
      <w:hyperlink w:anchor="eq:crt_reconstruction">
        <w:r>
          <w:rPr>
            <w:rStyle w:val="Hyperlink"/>
          </w:rPr>
          <w:t xml:space="preserve">[eq:crt_reconstruction]</w:t>
        </w:r>
      </w:hyperlink>
      <w:r>
        <w:t xml:space="preserve">) in general form. This appendix</w:t>
      </w:r>
      <w:r>
        <w:t xml:space="preserve"> </w:t>
      </w:r>
      <w:r>
        <w:t xml:space="preserve">carries one complete numeric instance through every step, including the</w:t>
      </w:r>
      <w:r>
        <w:t xml:space="preserve"> </w:t>
      </w:r>
      <w:r>
        <w:t xml:space="preserve">modular-inverse computations that Chapter Two states as results, so that</w:t>
      </w:r>
      <w:r>
        <w:t xml:space="preserve"> </w:t>
      </w:r>
      <w:r>
        <w:t xml:space="preserve">the arithmetic underlying Chapter Three’s implementation is checkable by</w:t>
      </w:r>
      <w:r>
        <w:t xml:space="preserve"> </w:t>
      </w:r>
      <w:r>
        <w:t xml:space="preserve">hand.</w:t>
      </w:r>
    </w:p>
    <w:p>
      <w:pPr>
        <w:pStyle w:val="BodyText"/>
      </w:pPr>
      <w:r>
        <w:t xml:space="preserve">Take the moduli set</w:t>
      </w:r>
      <w:r>
        <w:t xml:space="preserve"> </w:t>
      </w:r>
      <m:oMath>
        <m:r>
          <m:rPr>
            <m:sty m:val="p"/>
          </m:rPr>
          <m:t>{</m:t>
        </m:r>
        <m:r>
          <m:t>97</m:t>
        </m:r>
        <m:r>
          <m:rPr>
            <m:sty m:val="p"/>
          </m:rPr>
          <m:t>,</m:t>
        </m:r>
        <m:r>
          <m:t>101</m:t>
        </m:r>
        <m:r>
          <m:rPr>
            <m:sty m:val="p"/>
          </m:rPr>
          <m:t>,</m:t>
        </m:r>
        <m:r>
          <m:t>103</m:t>
        </m:r>
        <m:r>
          <m:rPr>
            <m:sty m:val="p"/>
          </m:rPr>
          <m:t>}</m:t>
        </m:r>
      </m:oMath>
      <w:r>
        <w:t xml:space="preserve">, pairwise coprime, with product</w:t>
      </w:r>
    </w:p>
    <w:p>
      <w:pPr>
        <w:pStyle w:val="BodyText"/>
      </w:pPr>
      <m:oMathPara>
        <m:oMathParaPr>
          <m:jc m:val="center"/>
        </m:oMathParaPr>
        <m:oMath>
          <m:r>
            <m:t>M</m:t>
          </m:r>
          <m:r>
            <m:rPr>
              <m:sty m:val="p"/>
            </m:rPr>
            <m:t>=</m:t>
          </m:r>
          <m:r>
            <m:t>97</m:t>
          </m:r>
          <m:r>
            <m:rPr>
              <m:sty m:val="p"/>
            </m:rPr>
            <m:t>×</m:t>
          </m:r>
          <m:r>
            <m:t>101</m:t>
          </m:r>
          <m:r>
            <m:rPr>
              <m:sty m:val="p"/>
            </m:rPr>
            <m:t>×</m:t>
          </m:r>
          <m:r>
            <m:t>103</m:t>
          </m:r>
          <m:r>
            <m:rPr>
              <m:sty m:val="p"/>
            </m:rPr>
            <m:t>=</m:t>
          </m:r>
          <m:r>
            <m:t>1</m:t>
          </m:r>
          <m:r>
            <m:rPr>
              <m:sty m:val="p"/>
            </m:rPr>
            <m:t>,</m:t>
          </m:r>
          <m:r>
            <m:t>009</m:t>
          </m:r>
          <m:r>
            <m:rPr>
              <m:sty m:val="p"/>
            </m:rPr>
            <m:t>,</m:t>
          </m:r>
          <m:r>
            <m:t>091</m:t>
          </m:r>
          <m:r>
            <m:rPr>
              <m:sty m:val="p"/>
            </m:rPr>
            <m:t>.</m:t>
          </m:r>
        </m:oMath>
      </m:oMathPara>
    </w:p>
    <w:p>
      <w:pPr>
        <w:pStyle w:val="FirstParagraph"/>
      </w:pPr>
      <w:r>
        <w:t xml:space="preserve">A sensor reading of 25.30 °C, scaled by 100 to keep the value</w:t>
      </w:r>
      <w:r>
        <w:t xml:space="preserve"> </w:t>
      </w:r>
      <w:r>
        <w:t xml:space="preserve">integral, gives</w:t>
      </w:r>
      <w:r>
        <w:t xml:space="preserve"> </w:t>
      </w:r>
      <m:oMath>
        <m:r>
          <m:t>x</m:t>
        </m:r>
        <m:r>
          <m:rPr>
            <m:sty m:val="p"/>
          </m:rPr>
          <m:t>=</m:t>
        </m:r>
        <m:r>
          <m:t>2530</m:t>
        </m:r>
      </m:oMath>
      <w:r>
        <w:t xml:space="preserve">. Its three residues are</w:t>
      </w:r>
    </w:p>
    <w:p>
      <w:pPr>
        <w:pStyle w:val="BodyText"/>
      </w:pPr>
      <m:oMathPara>
        <m:oMathParaPr>
          <m:jc m:val="center"/>
        </m:oMathParaPr>
        <m:oMath>
          <m:m>
            <m:mPr>
              <m:baseJc m:val="center"/>
              <m:plcHide m:val="on"/>
              <m:mcs>
                <m:mc>
                  <m:mcPr>
                    <m:mcJc m:val="right"/>
                    <m:count m:val="1"/>
                  </m:mcPr>
                </m:mc>
                <m:mc>
                  <m:mcPr>
                    <m:mcJc m:val="left"/>
                    <m:count m:val="1"/>
                  </m:mcPr>
                </m:mc>
              </m:mcs>
            </m:mPr>
            <m:mr>
              <m:e>
                <m:sSub>
                  <m:e>
                    <m:r>
                      <m:t>r</m:t>
                    </m:r>
                  </m:e>
                  <m:sub>
                    <m:r>
                      <m:t>1</m:t>
                    </m:r>
                  </m:sub>
                </m:sSub>
              </m:e>
              <m:e>
                <m:r>
                  <m:rPr>
                    <m:sty m:val="p"/>
                  </m:rPr>
                  <m:t>=</m:t>
                </m:r>
                <m:r>
                  <m:t>2530</m:t>
                </m:r>
                <m:r>
                  <m:t> </m:t>
                </m:r>
                <m:r>
                  <m:rPr>
                    <m:sty m:val="p"/>
                  </m:rPr>
                  <m:t>mod</m:t>
                </m:r>
                <m:r>
                  <m:t> </m:t>
                </m:r>
                <m:r>
                  <m:t>97</m:t>
                </m:r>
                <m:r>
                  <m:rPr>
                    <m:sty m:val="p"/>
                  </m:rPr>
                  <m:t>=</m:t>
                </m:r>
                <m:r>
                  <m:t>8</m:t>
                </m:r>
                <m:r>
                  <m:rPr>
                    <m:sty m:val="p"/>
                  </m:rPr>
                  <m:t>,</m:t>
                </m:r>
              </m:e>
            </m:mr>
            <m:mr>
              <m:e>
                <m:sSub>
                  <m:e>
                    <m:r>
                      <m:t>r</m:t>
                    </m:r>
                  </m:e>
                  <m:sub>
                    <m:r>
                      <m:t>2</m:t>
                    </m:r>
                  </m:sub>
                </m:sSub>
              </m:e>
              <m:e>
                <m:r>
                  <m:rPr>
                    <m:sty m:val="p"/>
                  </m:rPr>
                  <m:t>=</m:t>
                </m:r>
                <m:r>
                  <m:t>2530</m:t>
                </m:r>
                <m:r>
                  <m:t> </m:t>
                </m:r>
                <m:r>
                  <m:rPr>
                    <m:sty m:val="p"/>
                  </m:rPr>
                  <m:t>mod</m:t>
                </m:r>
                <m:r>
                  <m:t> </m:t>
                </m:r>
                <m:r>
                  <m:t>101</m:t>
                </m:r>
                <m:r>
                  <m:rPr>
                    <m:sty m:val="p"/>
                  </m:rPr>
                  <m:t>=</m:t>
                </m:r>
                <m:r>
                  <m:t>5</m:t>
                </m:r>
                <m:r>
                  <m:rPr>
                    <m:sty m:val="p"/>
                  </m:rPr>
                  <m:t>,</m:t>
                </m:r>
              </m:e>
            </m:mr>
            <m:mr>
              <m:e>
                <m:sSub>
                  <m:e>
                    <m:r>
                      <m:t>r</m:t>
                    </m:r>
                  </m:e>
                  <m:sub>
                    <m:r>
                      <m:t>3</m:t>
                    </m:r>
                  </m:sub>
                </m:sSub>
              </m:e>
              <m:e>
                <m:r>
                  <m:rPr>
                    <m:sty m:val="p"/>
                  </m:rPr>
                  <m:t>=</m:t>
                </m:r>
                <m:r>
                  <m:t>2530</m:t>
                </m:r>
                <m:r>
                  <m:t> </m:t>
                </m:r>
                <m:r>
                  <m:rPr>
                    <m:sty m:val="p"/>
                  </m:rPr>
                  <m:t>mod</m:t>
                </m:r>
                <m:r>
                  <m:t> </m:t>
                </m:r>
                <m:r>
                  <m:t>103</m:t>
                </m:r>
                <m:r>
                  <m:rPr>
                    <m:sty m:val="p"/>
                  </m:rPr>
                  <m:t>=</m:t>
                </m:r>
                <m:r>
                  <m:t>58</m:t>
                </m:r>
                <m:r>
                  <m:rPr>
                    <m:sty m:val="p"/>
                  </m:rPr>
                  <m:t>.</m:t>
                </m:r>
              </m:e>
            </m:mr>
          </m:m>
        </m:oMath>
      </m:oMathPara>
    </w:p>
    <w:bookmarkStart w:id="58" w:name="step-1-partial-products."/>
    <w:p>
      <w:pPr>
        <w:pStyle w:val="Heading5"/>
      </w:pPr>
      <w:r>
        <w:rPr>
          <w:rStyle w:val="SectionNumber"/>
        </w:rPr>
        <w:t xml:space="preserve">3.0.0.0.1</w:t>
      </w:r>
      <w:r>
        <w:tab/>
      </w:r>
      <w:r>
        <w:t xml:space="preserve">Step 1: partial products.</w:t>
      </w:r>
    </w:p>
    <w:p>
      <w:pPr>
        <w:pStyle w:val="FirstParagraph"/>
      </w:pPr>
      <w:r>
        <w:t xml:space="preserve">For each modulus</w:t>
      </w:r>
      <w:r>
        <w:t xml:space="preserve"> </w:t>
      </w:r>
      <m:oMath>
        <m:sSub>
          <m:e>
            <m:r>
              <m:t>m</m:t>
            </m:r>
          </m:e>
          <m:sub>
            <m:r>
              <m:t>i</m:t>
            </m:r>
          </m:sub>
        </m:sSub>
      </m:oMath>
      <w:r>
        <w:t xml:space="preserve">,</w:t>
      </w:r>
      <w:r>
        <w:t xml:space="preserve"> </w:t>
      </w:r>
      <m:oMath>
        <m:sSub>
          <m:e>
            <m:r>
              <m:t>M</m:t>
            </m:r>
          </m:e>
          <m:sub>
            <m:r>
              <m:t>i</m:t>
            </m:r>
          </m:sub>
        </m:sSub>
        <m:r>
          <m:rPr>
            <m:sty m:val="p"/>
          </m:rPr>
          <m:t>=</m:t>
        </m:r>
        <m:r>
          <m:t>M</m:t>
        </m:r>
        <m:r>
          <m:rPr>
            <m:sty m:val="p"/>
          </m:rPr>
          <m:t>/</m:t>
        </m:r>
        <m:sSub>
          <m:e>
            <m:r>
              <m:t>m</m:t>
            </m:r>
          </m:e>
          <m:sub>
            <m:r>
              <m:t>i</m:t>
            </m:r>
          </m:sub>
        </m:sSub>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e>
              <m:e>
                <m:r>
                  <m:rPr>
                    <m:sty m:val="p"/>
                  </m:rPr>
                  <m:t>=</m:t>
                </m:r>
                <m:r>
                  <m:t>101</m:t>
                </m:r>
                <m:r>
                  <m:rPr>
                    <m:sty m:val="p"/>
                  </m:rPr>
                  <m:t>×</m:t>
                </m:r>
                <m:r>
                  <m:t>103</m:t>
                </m:r>
                <m:r>
                  <m:rPr>
                    <m:sty m:val="p"/>
                  </m:rPr>
                  <m:t>=</m:t>
                </m:r>
                <m:r>
                  <m:t>10</m:t>
                </m:r>
                <m:r>
                  <m:rPr>
                    <m:sty m:val="p"/>
                  </m:rPr>
                  <m:t>,</m:t>
                </m:r>
                <m:r>
                  <m:t>403</m:t>
                </m:r>
                <m:r>
                  <m:rPr>
                    <m:sty m:val="p"/>
                  </m:rPr>
                  <m:t>,</m:t>
                </m:r>
              </m:e>
            </m:mr>
            <m:mr>
              <m:e>
                <m:sSub>
                  <m:e>
                    <m:r>
                      <m:t>M</m:t>
                    </m:r>
                  </m:e>
                  <m:sub>
                    <m:r>
                      <m:t>2</m:t>
                    </m:r>
                  </m:sub>
                </m:sSub>
              </m:e>
              <m:e>
                <m:r>
                  <m:rPr>
                    <m:sty m:val="p"/>
                  </m:rPr>
                  <m:t>=</m:t>
                </m:r>
                <m:r>
                  <m:t>97</m:t>
                </m:r>
                <m:r>
                  <m:rPr>
                    <m:sty m:val="p"/>
                  </m:rPr>
                  <m:t>×</m:t>
                </m:r>
                <m:r>
                  <m:t>103</m:t>
                </m:r>
                <m:r>
                  <m:rPr>
                    <m:sty m:val="p"/>
                  </m:rPr>
                  <m:t>=</m:t>
                </m:r>
                <m:r>
                  <m:t>9</m:t>
                </m:r>
                <m:r>
                  <m:rPr>
                    <m:sty m:val="p"/>
                  </m:rPr>
                  <m:t>,</m:t>
                </m:r>
                <m:r>
                  <m:t>991</m:t>
                </m:r>
                <m:r>
                  <m:rPr>
                    <m:sty m:val="p"/>
                  </m:rPr>
                  <m:t>,</m:t>
                </m:r>
              </m:e>
            </m:mr>
            <m:mr>
              <m:e>
                <m:sSub>
                  <m:e>
                    <m:r>
                      <m:t>M</m:t>
                    </m:r>
                  </m:e>
                  <m:sub>
                    <m:r>
                      <m:t>3</m:t>
                    </m:r>
                  </m:sub>
                </m:sSub>
              </m:e>
              <m:e>
                <m:r>
                  <m:rPr>
                    <m:sty m:val="p"/>
                  </m:rPr>
                  <m:t>=</m:t>
                </m:r>
                <m:r>
                  <m:t>97</m:t>
                </m:r>
                <m:r>
                  <m:rPr>
                    <m:sty m:val="p"/>
                  </m:rPr>
                  <m:t>×</m:t>
                </m:r>
                <m:r>
                  <m:t>101</m:t>
                </m:r>
                <m:r>
                  <m:rPr>
                    <m:sty m:val="p"/>
                  </m:rPr>
                  <m:t>=</m:t>
                </m:r>
                <m:r>
                  <m:t>9</m:t>
                </m:r>
                <m:r>
                  <m:rPr>
                    <m:sty m:val="p"/>
                  </m:rPr>
                  <m:t>,</m:t>
                </m:r>
                <m:r>
                  <m:t>797</m:t>
                </m:r>
                <m:r>
                  <m:rPr>
                    <m:sty m:val="p"/>
                  </m:rPr>
                  <m:t>.</m:t>
                </m:r>
              </m:e>
            </m:mr>
          </m:m>
        </m:oMath>
      </m:oMathPara>
    </w:p>
    <w:bookmarkEnd w:id="58"/>
    <w:bookmarkStart w:id="59" w:name="step-2-modular-inverses."/>
    <w:p>
      <w:pPr>
        <w:pStyle w:val="Heading5"/>
      </w:pPr>
      <w:r>
        <w:rPr>
          <w:rStyle w:val="SectionNumber"/>
        </w:rPr>
        <w:t xml:space="preserve">3.0.0.0.2</w:t>
      </w:r>
      <w:r>
        <w:tab/>
      </w:r>
      <w:r>
        <w:t xml:space="preserve">Step 2: modular inverses.</w:t>
      </w:r>
    </w:p>
    <w:p>
      <w:pPr>
        <w:pStyle w:val="FirstParagraph"/>
      </w:pPr>
      <w:r>
        <w:t xml:space="preserve">Each</w:t>
      </w:r>
      <w:r>
        <w:t xml:space="preserve"> </w:t>
      </w:r>
      <m:oMath>
        <m:sSub>
          <m:e>
            <m:r>
              <m:t>N</m:t>
            </m:r>
          </m:e>
          <m:sub>
            <m:r>
              <m:t>i</m:t>
            </m:r>
          </m:sub>
        </m:sSub>
      </m:oMath>
      <w:r>
        <w:t xml:space="preserve"> </w:t>
      </w:r>
      <w:r>
        <w:t xml:space="preserve">satisfies</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Reducing</w:t>
      </w:r>
      <w:r>
        <w:t xml:space="preserve"> </w:t>
      </w:r>
      <m:oMath>
        <m:sSub>
          <m:e>
            <m:r>
              <m:t>M</m:t>
            </m:r>
          </m:e>
          <m:sub>
            <m:r>
              <m:t>i</m:t>
            </m:r>
          </m:sub>
        </m:sSub>
      </m:oMath>
      <w:r>
        <w:t xml:space="preserve"> </w:t>
      </w:r>
      <w:r>
        <w:t xml:space="preserve">modulo</w:t>
      </w:r>
      <w:r>
        <w:t xml:space="preserve"> </w:t>
      </w:r>
      <m:oMath>
        <m:sSub>
          <m:e>
            <m:r>
              <m:t>m</m:t>
            </m:r>
          </m:e>
          <m:sub>
            <m:r>
              <m:t>i</m:t>
            </m:r>
          </m:sub>
        </m:sSub>
      </m:oMath>
      <w:r>
        <w:t xml:space="preserve"> </w:t>
      </w:r>
      <w:r>
        <w:t xml:space="preserve">first keeps the</w:t>
      </w:r>
      <w:r>
        <w:t xml:space="preserve"> </w:t>
      </w:r>
      <w:r>
        <w:t xml:space="preserve">inverse search small. For</w:t>
      </w:r>
      <w:r>
        <w:t xml:space="preserve"> </w:t>
      </w:r>
      <m:oMath>
        <m:sSub>
          <m:e>
            <m:r>
              <m:t>m</m:t>
            </m:r>
          </m:e>
          <m:sub>
            <m:r>
              <m:t>1</m:t>
            </m:r>
          </m:sub>
        </m:sSub>
        <m:r>
          <m:rPr>
            <m:sty m:val="p"/>
          </m:rPr>
          <m:t>=</m:t>
        </m:r>
        <m:r>
          <m:t>97</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1</m:t>
                    </m:r>
                  </m:sub>
                </m:sSub>
                <m:r>
                  <m:t> </m:t>
                </m:r>
                <m:r>
                  <m:rPr>
                    <m:sty m:val="p"/>
                  </m:rPr>
                  <m:t>mod</m:t>
                </m:r>
                <m:r>
                  <m:t> </m:t>
                </m:r>
                <m:r>
                  <m:t>97</m:t>
                </m:r>
              </m:e>
              <m:e>
                <m:r>
                  <m:rPr>
                    <m:sty m:val="p"/>
                  </m:rPr>
                  <m:t>=</m:t>
                </m:r>
                <m:r>
                  <m:t>10</m:t>
                </m:r>
                <m:r>
                  <m:rPr>
                    <m:sty m:val="p"/>
                  </m:rPr>
                  <m:t>,</m:t>
                </m:r>
                <m:r>
                  <m:t>403</m:t>
                </m:r>
                <m:r>
                  <m:t> </m:t>
                </m:r>
                <m:r>
                  <m:rPr>
                    <m:sty m:val="p"/>
                  </m:rPr>
                  <m:t>mod</m:t>
                </m:r>
                <m:r>
                  <m:t> </m:t>
                </m:r>
                <m:r>
                  <m:t>97</m:t>
                </m:r>
                <m:r>
                  <m:rPr>
                    <m:sty m:val="p"/>
                  </m:rPr>
                  <m:t>=</m:t>
                </m:r>
                <m:r>
                  <m:t>24</m:t>
                </m:r>
                <m:r>
                  <m:rPr>
                    <m:sty m:val="p"/>
                  </m:rPr>
                  <m:t>,</m:t>
                </m:r>
              </m:e>
            </m:mr>
            <m:mr>
              <m:e>
                <m:r>
                  <m:t>24</m:t>
                </m:r>
                <m:r>
                  <m:rPr>
                    <m:sty m:val="p"/>
                  </m:rPr>
                  <m:t>×</m:t>
                </m:r>
                <m:r>
                  <m:t>93</m:t>
                </m:r>
              </m:e>
              <m:e>
                <m:r>
                  <m:rPr>
                    <m:sty m:val="p"/>
                  </m:rPr>
                  <m:t>=</m:t>
                </m:r>
                <m:r>
                  <m:t>2</m:t>
                </m:r>
                <m:r>
                  <m:rPr>
                    <m:sty m:val="p"/>
                  </m:rPr>
                  <m:t>,</m:t>
                </m:r>
                <m:r>
                  <m:t>232</m:t>
                </m:r>
                <m:r>
                  <m:rPr>
                    <m:sty m:val="p"/>
                  </m:rPr>
                  <m:t>=</m:t>
                </m:r>
                <m:r>
                  <m:t>23</m:t>
                </m:r>
                <m:r>
                  <m:rPr>
                    <m:sty m:val="p"/>
                  </m:rPr>
                  <m:t>×</m:t>
                </m:r>
                <m:r>
                  <m:t>97</m:t>
                </m:r>
                <m:r>
                  <m:rPr>
                    <m:sty m:val="p"/>
                  </m:rPr>
                  <m:t>+</m:t>
                </m:r>
                <m:r>
                  <m:t>1</m:t>
                </m:r>
                <m:r>
                  <m:t> </m:t>
                </m:r>
                <m:r>
                  <m:rPr>
                    <m:sty m:val="p"/>
                  </m:rPr>
                  <m:t>⇒</m:t>
                </m:r>
                <m:r>
                  <m:t> </m:t>
                </m:r>
                <m:sSub>
                  <m:e>
                    <m:r>
                      <m:t>N</m:t>
                    </m:r>
                  </m:e>
                  <m:sub>
                    <m:r>
                      <m:t>1</m:t>
                    </m:r>
                  </m:sub>
                </m:sSub>
                <m:r>
                  <m:rPr>
                    <m:sty m:val="p"/>
                  </m:rPr>
                  <m:t>=</m:t>
                </m:r>
                <m:r>
                  <m:t>93</m:t>
                </m:r>
                <m:r>
                  <m:rPr>
                    <m:sty m:val="p"/>
                  </m:rPr>
                  <m:t>.</m:t>
                </m:r>
              </m:e>
            </m:mr>
          </m:m>
        </m:oMath>
      </m:oMathPara>
    </w:p>
    <w:p>
      <w:pPr>
        <w:pStyle w:val="FirstParagraph"/>
      </w:pPr>
      <w:r>
        <w:t xml:space="preserve">For</w:t>
      </w:r>
      <w:r>
        <w:t xml:space="preserve"> </w:t>
      </w:r>
      <m:oMath>
        <m:sSub>
          <m:e>
            <m:r>
              <m:t>m</m:t>
            </m:r>
          </m:e>
          <m:sub>
            <m:r>
              <m:t>2</m:t>
            </m:r>
          </m:sub>
        </m:sSub>
        <m:r>
          <m:rPr>
            <m:sty m:val="p"/>
          </m:rPr>
          <m:t>=</m:t>
        </m:r>
        <m:r>
          <m:t>101</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2</m:t>
                    </m:r>
                  </m:sub>
                </m:sSub>
                <m:r>
                  <m:t> </m:t>
                </m:r>
                <m:r>
                  <m:rPr>
                    <m:sty m:val="p"/>
                  </m:rPr>
                  <m:t>mod</m:t>
                </m:r>
                <m:r>
                  <m:t> </m:t>
                </m:r>
                <m:r>
                  <m:t>101</m:t>
                </m:r>
              </m:e>
              <m:e>
                <m:r>
                  <m:rPr>
                    <m:sty m:val="p"/>
                  </m:rPr>
                  <m:t>=</m:t>
                </m:r>
                <m:r>
                  <m:t>9</m:t>
                </m:r>
                <m:r>
                  <m:rPr>
                    <m:sty m:val="p"/>
                  </m:rPr>
                  <m:t>,</m:t>
                </m:r>
                <m:r>
                  <m:t>991</m:t>
                </m:r>
                <m:r>
                  <m:t> </m:t>
                </m:r>
                <m:r>
                  <m:rPr>
                    <m:sty m:val="p"/>
                  </m:rPr>
                  <m:t>mod</m:t>
                </m:r>
                <m:r>
                  <m:t> </m:t>
                </m:r>
                <m:r>
                  <m:t>101</m:t>
                </m:r>
                <m:r>
                  <m:rPr>
                    <m:sty m:val="p"/>
                  </m:rPr>
                  <m:t>=</m:t>
                </m:r>
                <m:r>
                  <m:t>93</m:t>
                </m:r>
                <m:r>
                  <m:rPr>
                    <m:sty m:val="p"/>
                  </m:rPr>
                  <m:t>,</m:t>
                </m:r>
              </m:e>
            </m:mr>
            <m:mr>
              <m:e>
                <m:r>
                  <m:t>93</m:t>
                </m:r>
                <m:r>
                  <m:rPr>
                    <m:sty m:val="p"/>
                  </m:rPr>
                  <m:t>×</m:t>
                </m:r>
                <m:r>
                  <m:t>63</m:t>
                </m:r>
              </m:e>
              <m:e>
                <m:r>
                  <m:rPr>
                    <m:sty m:val="p"/>
                  </m:rPr>
                  <m:t>=</m:t>
                </m:r>
                <m:r>
                  <m:t>5</m:t>
                </m:r>
                <m:r>
                  <m:rPr>
                    <m:sty m:val="p"/>
                  </m:rPr>
                  <m:t>,</m:t>
                </m:r>
                <m:r>
                  <m:t>859</m:t>
                </m:r>
                <m:r>
                  <m:rPr>
                    <m:sty m:val="p"/>
                  </m:rPr>
                  <m:t>=</m:t>
                </m:r>
                <m:r>
                  <m:t>58</m:t>
                </m:r>
                <m:r>
                  <m:rPr>
                    <m:sty m:val="p"/>
                  </m:rPr>
                  <m:t>×</m:t>
                </m:r>
                <m:r>
                  <m:t>101</m:t>
                </m:r>
                <m:r>
                  <m:rPr>
                    <m:sty m:val="p"/>
                  </m:rPr>
                  <m:t>+</m:t>
                </m:r>
                <m:r>
                  <m:t>1</m:t>
                </m:r>
                <m:r>
                  <m:t> </m:t>
                </m:r>
                <m:r>
                  <m:rPr>
                    <m:sty m:val="p"/>
                  </m:rPr>
                  <m:t>⇒</m:t>
                </m:r>
                <m:r>
                  <m:t> </m:t>
                </m:r>
                <m:sSub>
                  <m:e>
                    <m:r>
                      <m:t>N</m:t>
                    </m:r>
                  </m:e>
                  <m:sub>
                    <m:r>
                      <m:t>2</m:t>
                    </m:r>
                  </m:sub>
                </m:sSub>
                <m:r>
                  <m:rPr>
                    <m:sty m:val="p"/>
                  </m:rPr>
                  <m:t>=</m:t>
                </m:r>
                <m:r>
                  <m:t>63</m:t>
                </m:r>
                <m:r>
                  <m:rPr>
                    <m:sty m:val="p"/>
                  </m:rPr>
                  <m:t>.</m:t>
                </m:r>
              </m:e>
            </m:mr>
          </m:m>
        </m:oMath>
      </m:oMathPara>
    </w:p>
    <w:p>
      <w:pPr>
        <w:pStyle w:val="FirstParagraph"/>
      </w:pPr>
      <w:r>
        <w:t xml:space="preserve">For</w:t>
      </w:r>
      <w:r>
        <w:t xml:space="preserve"> </w:t>
      </w:r>
      <m:oMath>
        <m:sSub>
          <m:e>
            <m:r>
              <m:t>m</m:t>
            </m:r>
          </m:e>
          <m:sub>
            <m:r>
              <m:t>3</m:t>
            </m:r>
          </m:sub>
        </m:sSub>
        <m:r>
          <m:rPr>
            <m:sty m:val="p"/>
          </m:rPr>
          <m:t>=</m:t>
        </m:r>
        <m:r>
          <m:t>103</m:t>
        </m:r>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sSub>
                  <m:e>
                    <m:r>
                      <m:t>M</m:t>
                    </m:r>
                  </m:e>
                  <m:sub>
                    <m:r>
                      <m:t>3</m:t>
                    </m:r>
                  </m:sub>
                </m:sSub>
                <m:r>
                  <m:t> </m:t>
                </m:r>
                <m:r>
                  <m:rPr>
                    <m:sty m:val="p"/>
                  </m:rPr>
                  <m:t>mod</m:t>
                </m:r>
                <m:r>
                  <m:t> </m:t>
                </m:r>
                <m:r>
                  <m:t>103</m:t>
                </m:r>
              </m:e>
              <m:e>
                <m:r>
                  <m:rPr>
                    <m:sty m:val="p"/>
                  </m:rPr>
                  <m:t>=</m:t>
                </m:r>
                <m:r>
                  <m:t>9</m:t>
                </m:r>
                <m:r>
                  <m:rPr>
                    <m:sty m:val="p"/>
                  </m:rPr>
                  <m:t>,</m:t>
                </m:r>
                <m:r>
                  <m:t>797</m:t>
                </m:r>
                <m:r>
                  <m:t> </m:t>
                </m:r>
                <m:r>
                  <m:rPr>
                    <m:sty m:val="p"/>
                  </m:rPr>
                  <m:t>mod</m:t>
                </m:r>
                <m:r>
                  <m:t> </m:t>
                </m:r>
                <m:r>
                  <m:t>103</m:t>
                </m:r>
                <m:r>
                  <m:rPr>
                    <m:sty m:val="p"/>
                  </m:rPr>
                  <m:t>=</m:t>
                </m:r>
                <m:r>
                  <m:t>12</m:t>
                </m:r>
                <m:r>
                  <m:rPr>
                    <m:sty m:val="p"/>
                  </m:rPr>
                  <m:t>,</m:t>
                </m:r>
              </m:e>
            </m:mr>
            <m:mr>
              <m:e>
                <m:r>
                  <m:t>12</m:t>
                </m:r>
                <m:r>
                  <m:rPr>
                    <m:sty m:val="p"/>
                  </m:rPr>
                  <m:t>×</m:t>
                </m:r>
                <m:r>
                  <m:t>43</m:t>
                </m:r>
              </m:e>
              <m:e>
                <m:r>
                  <m:rPr>
                    <m:sty m:val="p"/>
                  </m:rPr>
                  <m:t>=</m:t>
                </m:r>
                <m:r>
                  <m:t>516</m:t>
                </m:r>
                <m:r>
                  <m:rPr>
                    <m:sty m:val="p"/>
                  </m:rPr>
                  <m:t>=</m:t>
                </m:r>
                <m:r>
                  <m:t>5</m:t>
                </m:r>
                <m:r>
                  <m:rPr>
                    <m:sty m:val="p"/>
                  </m:rPr>
                  <m:t>×</m:t>
                </m:r>
                <m:r>
                  <m:t>103</m:t>
                </m:r>
                <m:r>
                  <m:rPr>
                    <m:sty m:val="p"/>
                  </m:rPr>
                  <m:t>+</m:t>
                </m:r>
                <m:r>
                  <m:t>1</m:t>
                </m:r>
                <m:r>
                  <m:t> </m:t>
                </m:r>
                <m:r>
                  <m:rPr>
                    <m:sty m:val="p"/>
                  </m:rPr>
                  <m:t>⇒</m:t>
                </m:r>
                <m:r>
                  <m:t> </m:t>
                </m:r>
                <m:sSub>
                  <m:e>
                    <m:r>
                      <m:t>N</m:t>
                    </m:r>
                  </m:e>
                  <m:sub>
                    <m:r>
                      <m:t>3</m:t>
                    </m:r>
                  </m:sub>
                </m:sSub>
                <m:r>
                  <m:rPr>
                    <m:sty m:val="p"/>
                  </m:rPr>
                  <m:t>=</m:t>
                </m:r>
                <m:r>
                  <m:t>43</m:t>
                </m:r>
                <m:r>
                  <m:rPr>
                    <m:sty m:val="p"/>
                  </m:rPr>
                  <m:t>.</m:t>
                </m:r>
              </m:e>
            </m:mr>
          </m:m>
        </m:oMath>
      </m:oMathPara>
    </w:p>
    <w:p>
      <w:pPr>
        <w:pStyle w:val="FirstParagraph"/>
      </w:pPr>
      <w:r>
        <w:t xml:space="preserve">Each inverse is found by inspection here because the moduli are small; the</w:t>
      </w:r>
      <w:r>
        <w:t xml:space="preserve"> </w:t>
      </w:r>
      <w:r>
        <w:t xml:space="preserve">gateway firmware computes the same quantity with the extended Euclidean</w:t>
      </w:r>
      <w:r>
        <w:t xml:space="preserve"> </w:t>
      </w:r>
      <w:r>
        <w:t xml:space="preserve">algorithm,</w:t>
      </w:r>
      <w:r>
        <w:t xml:space="preserve"> </w:t>
      </w:r>
      <m:oMath>
        <m:r>
          <m:t>O</m:t>
        </m:r>
        <m:d>
          <m:dPr>
            <m:begChr m:val="("/>
            <m:endChr m:val=")"/>
            <m:sepChr m:val=""/>
            <m:grow/>
          </m:dPr>
          <m:e>
            <m:r>
              <m:rPr>
                <m:sty m:val="p"/>
              </m:rPr>
              <m:t>log</m:t>
            </m:r>
            <m:sSub>
              <m:e>
                <m:r>
                  <m:t>m</m:t>
                </m:r>
              </m:e>
              <m:sub>
                <m:r>
                  <m:t>i</m:t>
                </m:r>
              </m:sub>
            </m:sSub>
          </m:e>
        </m:d>
      </m:oMath>
      <w:r>
        <w:t xml:space="preserve"> </w:t>
      </w:r>
      <w:r>
        <w:t xml:space="preserve">per modulus, a sub-millisecond cost at this</w:t>
      </w:r>
      <w:r>
        <w:t xml:space="preserve"> </w:t>
      </w:r>
      <w:r>
        <w:t xml:space="preserve">moduli size (Chapter Three reports measured decomposition and</w:t>
      </w:r>
      <w:r>
        <w:t xml:space="preserve"> </w:t>
      </w:r>
      <w:r>
        <w:t xml:space="preserve">reconstruction timings).</w:t>
      </w:r>
    </w:p>
    <w:bookmarkEnd w:id="59"/>
    <w:bookmarkStart w:id="60" w:name="step-3-reconstruction."/>
    <w:p>
      <w:pPr>
        <w:pStyle w:val="Heading5"/>
      </w:pPr>
      <w:r>
        <w:rPr>
          <w:rStyle w:val="SectionNumber"/>
        </w:rPr>
        <w:t xml:space="preserve">3.0.0.0.3</w:t>
      </w:r>
      <w:r>
        <w:tab/>
      </w:r>
      <w:r>
        <w:t xml:space="preserve">Step 3: reconstruction.</w:t>
      </w:r>
    </w:p>
    <w:p>
      <w:pPr>
        <w:pStyle w:val="FirstParagraph"/>
      </w:pPr>
      <w:r>
        <w:t xml:space="preserve">Substituting into</w:t>
      </w:r>
      <w:r>
        <w:t xml:space="preserve"> </w:t>
      </w:r>
      <w:r>
        <w:t xml:space="preserve">Equation </w:t>
      </w:r>
      <w:hyperlink w:anchor="eq:crt_reconstruction">
        <w:r>
          <w:rPr>
            <w:rStyle w:val="Hyperlink"/>
          </w:rPr>
          <w:t xml:space="preserve">[eq:crt_reconstruction]</w:t>
        </w:r>
      </w:hyperlink>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x</m:t>
                </m:r>
              </m:e>
              <m:e>
                <m:r>
                  <m:rPr>
                    <m:sty m:val="p"/>
                  </m:rPr>
                  <m:t>=</m:t>
                </m:r>
                <m:d>
                  <m:dPr>
                    <m:begChr m:val="("/>
                    <m:endChr m:val=")"/>
                    <m:sepChr m:val=""/>
                    <m:grow/>
                  </m:dPr>
                  <m:e>
                    <m:sSub>
                      <m:e>
                        <m:r>
                          <m:t>r</m:t>
                        </m:r>
                      </m:e>
                      <m:sub>
                        <m:r>
                          <m:t>1</m:t>
                        </m:r>
                      </m:sub>
                    </m:sSub>
                    <m:sSub>
                      <m:e>
                        <m:r>
                          <m:t>M</m:t>
                        </m:r>
                      </m:e>
                      <m:sub>
                        <m:r>
                          <m:t>1</m:t>
                        </m:r>
                      </m:sub>
                    </m:sSub>
                    <m:sSub>
                      <m:e>
                        <m:r>
                          <m:t>N</m:t>
                        </m:r>
                      </m:e>
                      <m:sub>
                        <m:r>
                          <m:t>1</m:t>
                        </m:r>
                      </m:sub>
                    </m:sSub>
                    <m:r>
                      <m:rPr>
                        <m:sty m:val="p"/>
                      </m:rPr>
                      <m:t>+</m:t>
                    </m:r>
                    <m:sSub>
                      <m:e>
                        <m:r>
                          <m:t>r</m:t>
                        </m:r>
                      </m:e>
                      <m:sub>
                        <m:r>
                          <m:t>2</m:t>
                        </m:r>
                      </m:sub>
                    </m:sSub>
                    <m:sSub>
                      <m:e>
                        <m:r>
                          <m:t>M</m:t>
                        </m:r>
                      </m:e>
                      <m:sub>
                        <m:r>
                          <m:t>2</m:t>
                        </m:r>
                      </m:sub>
                    </m:sSub>
                    <m:sSub>
                      <m:e>
                        <m:r>
                          <m:t>N</m:t>
                        </m:r>
                      </m:e>
                      <m:sub>
                        <m:r>
                          <m:t>2</m:t>
                        </m:r>
                      </m:sub>
                    </m:sSub>
                    <m:r>
                      <m:rPr>
                        <m:sty m:val="p"/>
                      </m:rPr>
                      <m:t>+</m:t>
                    </m:r>
                    <m:sSub>
                      <m:e>
                        <m:r>
                          <m:t>r</m:t>
                        </m:r>
                      </m:e>
                      <m:sub>
                        <m:r>
                          <m:t>3</m:t>
                        </m:r>
                      </m:sub>
                    </m:sSub>
                    <m:sSub>
                      <m:e>
                        <m:r>
                          <m:t>M</m:t>
                        </m:r>
                      </m:e>
                      <m:sub>
                        <m:r>
                          <m:t>3</m:t>
                        </m:r>
                      </m:sub>
                    </m:sSub>
                    <m:sSub>
                      <m:e>
                        <m:r>
                          <m:t>N</m:t>
                        </m:r>
                      </m:e>
                      <m:sub>
                        <m:r>
                          <m:t>3</m:t>
                        </m:r>
                      </m:sub>
                    </m:sSub>
                  </m:e>
                </m:d>
                <m:r>
                  <m:t> </m:t>
                </m:r>
                <m:r>
                  <m:rPr>
                    <m:sty m:val="p"/>
                  </m:rPr>
                  <m:t>mod</m:t>
                </m:r>
                <m:r>
                  <m:t> </m:t>
                </m:r>
                <m:r>
                  <m:t>M</m:t>
                </m:r>
              </m:e>
            </m:mr>
            <m:mr>
              <m:e/>
              <m:e>
                <m:r>
                  <m:rPr>
                    <m:sty m:val="p"/>
                  </m:rPr>
                  <m:t>=</m:t>
                </m:r>
                <m:d>
                  <m:dPr>
                    <m:begChr m:val="("/>
                    <m:endChr m:val=")"/>
                    <m:sepChr m:val=""/>
                    <m:grow/>
                  </m:dPr>
                  <m:e>
                    <m:r>
                      <m:t>8</m:t>
                    </m:r>
                    <m:r>
                      <m:rPr>
                        <m:sty m:val="p"/>
                      </m:rPr>
                      <m:t>×</m:t>
                    </m:r>
                    <m:r>
                      <m:t>10</m:t>
                    </m:r>
                    <m:r>
                      <m:rPr>
                        <m:sty m:val="p"/>
                      </m:rPr>
                      <m:t>,</m:t>
                    </m:r>
                    <m:r>
                      <m:t>403</m:t>
                    </m:r>
                    <m:r>
                      <m:rPr>
                        <m:sty m:val="p"/>
                      </m:rPr>
                      <m:t>×</m:t>
                    </m:r>
                    <m:r>
                      <m:t>93</m:t>
                    </m:r>
                    <m:r>
                      <m:rPr>
                        <m:sty m:val="p"/>
                      </m:rPr>
                      <m:t>+</m:t>
                    </m:r>
                    <m:r>
                      <m:t>5</m:t>
                    </m:r>
                    <m:r>
                      <m:rPr>
                        <m:sty m:val="p"/>
                      </m:rPr>
                      <m:t>×</m:t>
                    </m:r>
                    <m:r>
                      <m:t>9</m:t>
                    </m:r>
                    <m:r>
                      <m:rPr>
                        <m:sty m:val="p"/>
                      </m:rPr>
                      <m:t>,</m:t>
                    </m:r>
                    <m:r>
                      <m:t>991</m:t>
                    </m:r>
                    <m:r>
                      <m:rPr>
                        <m:sty m:val="p"/>
                      </m:rPr>
                      <m:t>×</m:t>
                    </m:r>
                    <m:r>
                      <m:t>63</m:t>
                    </m:r>
                    <m:r>
                      <m:rPr>
                        <m:sty m:val="p"/>
                      </m:rPr>
                      <m:t>+</m:t>
                    </m:r>
                    <m:r>
                      <m:t>58</m:t>
                    </m:r>
                    <m:r>
                      <m:rPr>
                        <m:sty m:val="p"/>
                      </m:rPr>
                      <m:t>×</m:t>
                    </m:r>
                    <m:r>
                      <m:t>9</m:t>
                    </m:r>
                    <m:r>
                      <m:rPr>
                        <m:sty m:val="p"/>
                      </m:rPr>
                      <m:t>,</m:t>
                    </m:r>
                    <m:r>
                      <m:t>797</m:t>
                    </m:r>
                    <m:r>
                      <m:rPr>
                        <m:sty m:val="p"/>
                      </m:rPr>
                      <m:t>×</m:t>
                    </m:r>
                    <m:r>
                      <m:t>43</m:t>
                    </m:r>
                  </m:e>
                </m:d>
                <m:r>
                  <m:t> </m:t>
                </m:r>
                <m:r>
                  <m:rPr>
                    <m:sty m:val="p"/>
                  </m:rPr>
                  <m:t>mod</m:t>
                </m:r>
                <m:r>
                  <m:t> </m:t>
                </m:r>
                <m:r>
                  <m:t>1</m:t>
                </m:r>
                <m:r>
                  <m:rPr>
                    <m:sty m:val="p"/>
                  </m:rPr>
                  <m:t>,</m:t>
                </m:r>
                <m:r>
                  <m:t>009</m:t>
                </m:r>
                <m:r>
                  <m:rPr>
                    <m:sty m:val="p"/>
                  </m:rPr>
                  <m:t>,</m:t>
                </m:r>
                <m:r>
                  <m:t>091</m:t>
                </m:r>
              </m:e>
            </m:mr>
            <m:mr>
              <m:e/>
              <m:e>
                <m:r>
                  <m:rPr>
                    <m:sty m:val="p"/>
                  </m:rPr>
                  <m:t>=</m:t>
                </m:r>
                <m:r>
                  <m:t>2</m:t>
                </m:r>
                <m:r>
                  <m:rPr>
                    <m:sty m:val="p"/>
                  </m:rPr>
                  <m:t>,</m:t>
                </m:r>
                <m:r>
                  <m:t>530</m:t>
                </m:r>
                <m:r>
                  <m:rPr>
                    <m:sty m:val="p"/>
                  </m:rPr>
                  <m:t>,</m:t>
                </m:r>
              </m:e>
            </m:mr>
          </m:m>
        </m:oMath>
      </m:oMathPara>
    </w:p>
    <w:p>
      <w:pPr>
        <w:pStyle w:val="FirstParagraph"/>
      </w:pPr>
      <w:r>
        <w:t xml:space="preserve">exact, with zero reconstruction error, recovering 25.30 °C</w:t>
      </w:r>
      <w:r>
        <w:t xml:space="preserve"> </w:t>
      </w:r>
      <w:r>
        <w:t xml:space="preserve">after descaling. Losing any one residue, say</w:t>
      </w:r>
      <w:r>
        <w:t xml:space="preserve"> </w:t>
      </w:r>
      <m:oMath>
        <m:sSub>
          <m:e>
            <m:r>
              <m:t>r</m:t>
            </m:r>
          </m:e>
          <m:sub>
            <m:r>
              <m:t>3</m:t>
            </m:r>
          </m:sub>
        </m:sSub>
      </m:oMath>
      <w:r>
        <w:t xml:space="preserve">, leaves a unique</w:t>
      </w:r>
      <w:r>
        <w:t xml:space="preserve"> </w:t>
      </w:r>
      <w:r>
        <w:t xml:space="preserve">solution modulo</w:t>
      </w:r>
      <w:r>
        <w:t xml:space="preserve"> </w:t>
      </w:r>
      <m:oMath>
        <m:sSub>
          <m:e>
            <m:r>
              <m:t>m</m:t>
            </m:r>
          </m:e>
          <m:sub>
            <m:r>
              <m:t>1</m:t>
            </m:r>
          </m:sub>
        </m:sSub>
        <m:sSub>
          <m:e>
            <m:r>
              <m:t>m</m:t>
            </m:r>
          </m:e>
          <m:sub>
            <m:r>
              <m:t>2</m:t>
            </m:r>
          </m:sub>
        </m:sSub>
        <m:r>
          <m:rPr>
            <m:sty m:val="p"/>
          </m:rPr>
          <m:t>=</m:t>
        </m:r>
        <m:r>
          <m:t>9</m:t>
        </m:r>
        <m:r>
          <m:rPr>
            <m:sty m:val="p"/>
          </m:rPr>
          <m:t>,</m:t>
        </m:r>
        <m:r>
          <m:t>797</m:t>
        </m:r>
      </m:oMath>
      <w:r>
        <w:t xml:space="preserve">, which happens to be exact for</w:t>
      </w:r>
      <w:r>
        <w:t xml:space="preserve"> </w:t>
      </w:r>
      <w:r>
        <w:rPr>
          <w:iCs/>
          <w:i/>
        </w:rPr>
        <w:t xml:space="preserve">this particular</w:t>
      </w:r>
      <w:r>
        <w:t xml:space="preserve"> </w:t>
      </w:r>
      <w:r>
        <w:t xml:space="preserve">value because</w:t>
      </w:r>
      <w:r>
        <w:t xml:space="preserve"> </w:t>
      </w:r>
      <m:oMath>
        <m:r>
          <m:t>2</m:t>
        </m:r>
        <m:r>
          <m:rPr>
            <m:sty m:val="p"/>
          </m:rPr>
          <m:t>,</m:t>
        </m:r>
        <m:r>
          <m:t>530</m:t>
        </m:r>
        <m:r>
          <m:rPr>
            <m:sty m:val="p"/>
          </m:rPr>
          <m:t>&lt;</m:t>
        </m:r>
        <m:r>
          <m:t>9</m:t>
        </m:r>
        <m:r>
          <m:rPr>
            <m:sty m:val="p"/>
          </m:rPr>
          <m:t>,</m:t>
        </m:r>
        <m:r>
          <m:t>797</m:t>
        </m:r>
      </m:oMath>
      <w:r>
        <w:t xml:space="preserve">.</w:t>
      </w:r>
    </w:p>
    <w:bookmarkEnd w:id="60"/>
    <w:bookmarkStart w:id="61" w:name="why-that-qualifier-matters."/>
    <w:p>
      <w:pPr>
        <w:pStyle w:val="Heading5"/>
      </w:pPr>
      <w:r>
        <w:rPr>
          <w:rStyle w:val="SectionNumber"/>
        </w:rPr>
        <w:t xml:space="preserve">3.0.0.0.4</w:t>
      </w:r>
      <w:r>
        <w:tab/>
      </w:r>
      <w:r>
        <w:t xml:space="preserve">Why that qualifier matters.</w:t>
      </w:r>
    </w:p>
    <w:p>
      <w:pPr>
        <w:pStyle w:val="FirstParagraph"/>
      </w:pPr>
      <w:r>
        <w:t xml:space="preserve">It does not generalise to every</w:t>
      </w:r>
      <w:r>
        <w:t xml:space="preserve"> </w:t>
      </w:r>
      <w:r>
        <w:t xml:space="preserve">encoded value the firmware produces. The single-sensor value worked above</w:t>
      </w:r>
      <w:r>
        <w:t xml:space="preserve"> </w:t>
      </w:r>
      <w:r>
        <w:t xml:space="preserve">fits comfortably under any two-modulus product, but the deployed encoding</w:t>
      </w:r>
      <w:r>
        <w:t xml:space="preserve"> </w:t>
      </w:r>
      <w:r>
        <w:t xml:space="preserve">in</w:t>
      </w:r>
      <w:r>
        <w:t xml:space="preserve"> </w:t>
      </w:r>
      <w:r>
        <w:rPr>
          <w:rStyle w:val="VerbatimChar"/>
        </w:rPr>
        <w:t xml:space="preserve">esp32/main/main.c</w:t>
      </w:r>
      <w:r>
        <w:t xml:space="preserve"> </w:t>
      </w:r>
      <w:r>
        <w:t xml:space="preserve">packs a soil-moisture reading and a</w:t>
      </w:r>
      <w:r>
        <w:t xml:space="preserve"> </w:t>
      </w:r>
      <w:r>
        <w:t xml:space="preserve">temperature bucket into one integer,</w:t>
      </w:r>
      <w:r>
        <w:t xml:space="preserve"> </w:t>
      </w:r>
      <m:oMath>
        <m:r>
          <m:t>x</m:t>
        </m:r>
        <m:r>
          <m:rPr>
            <m:sty m:val="p"/>
          </m:rPr>
          <m:t>=</m:t>
        </m:r>
        <m:r>
          <m:rPr>
            <m:sty m:val="p"/>
          </m:rPr>
          <m:t>s</m:t>
        </m:r>
        <m:r>
          <m:rPr>
            <m:sty m:val="p"/>
          </m:rPr>
          <m:t>o</m:t>
        </m:r>
        <m:r>
          <m:rPr>
            <m:sty m:val="p"/>
          </m:rPr>
          <m:t>i</m:t>
        </m:r>
        <m:r>
          <m:rPr>
            <m:sty m:val="p"/>
          </m:rPr>
          <m:t>l</m:t>
        </m:r>
        <m:r>
          <m:rPr>
            <m:sty m:val="p"/>
          </m:rPr>
          <m:t>×</m:t>
        </m:r>
        <m:r>
          <m:t>201</m:t>
        </m:r>
        <m:r>
          <m:rPr>
            <m:sty m:val="p"/>
          </m:rPr>
          <m:t>+</m:t>
        </m:r>
        <m:r>
          <m:rPr>
            <m:sty m:val="p"/>
          </m:rPr>
          <m:t>t</m:t>
        </m:r>
        <m:r>
          <m:rPr>
            <m:sty m:val="p"/>
          </m:rPr>
          <m:t>e</m:t>
        </m:r>
        <m:r>
          <m:rPr>
            <m:sty m:val="p"/>
          </m:rPr>
          <m:t>m</m:t>
        </m:r>
        <m:r>
          <m:rPr>
            <m:sty m:val="p"/>
          </m:rPr>
          <m:t>p</m:t>
        </m:r>
        <m:r>
          <m:rPr>
            <m:sty m:val="p"/>
          </m:rPr>
          <m:t>_</m:t>
        </m:r>
        <m:r>
          <m:rPr>
            <m:sty m:val="p"/>
          </m:rPr>
          <m:t>b</m:t>
        </m:r>
        <m:r>
          <m:rPr>
            <m:sty m:val="p"/>
          </m:rPr>
          <m:t>u</m:t>
        </m:r>
        <m:r>
          <m:rPr>
            <m:sty m:val="p"/>
          </m:rPr>
          <m:t>c</m:t>
        </m:r>
        <m:r>
          <m:rPr>
            <m:sty m:val="p"/>
          </m:rPr>
          <m:t>k</m:t>
        </m:r>
        <m:r>
          <m:rPr>
            <m:sty m:val="p"/>
          </m:rPr>
          <m:t>e</m:t>
        </m:r>
        <m:r>
          <m:rPr>
            <m:sty m:val="p"/>
          </m:rPr>
          <m:t>t</m:t>
        </m:r>
      </m:oMath>
      <w:r>
        <w:t xml:space="preserve">, precisely so that the full three-modulus budget of</w:t>
      </w:r>
      <w:r>
        <w:t xml:space="preserve"> </w:t>
      </w:r>
      <w:r>
        <w:t xml:space="preserve">Section </w:t>
      </w:r>
      <w:hyperlink w:anchor="subsec:lit_crt">
        <w:r>
          <w:rPr>
            <w:rStyle w:val="Hyperlink"/>
          </w:rPr>
          <w:t xml:space="preserve">2.2.3</w:t>
        </w:r>
      </w:hyperlink>
      <w:r>
        <w:t xml:space="preserve"> </w:t>
      </w:r>
      <w:r>
        <w:t xml:space="preserve">is used; with soil scaled to</w:t>
      </w:r>
      <w:r>
        <w:t xml:space="preserve"> </w:t>
      </w:r>
      <m:oMath>
        <m:d>
          <m:dPr>
            <m:begChr m:val="["/>
            <m:endChr m:val="]"/>
            <m:sepChr m:val=""/>
            <m:grow/>
          </m:dPr>
          <m:e>
            <m:r>
              <m:t>0</m:t>
            </m:r>
            <m:r>
              <m:rPr>
                <m:sty m:val="p"/>
              </m:rPr>
              <m:t>,</m:t>
            </m:r>
            <m:r>
              <m:t>4095</m:t>
            </m:r>
          </m:e>
        </m:d>
      </m:oMath>
      <w:r>
        <w:t xml:space="preserve">,</w:t>
      </w:r>
      <w:r>
        <w:t xml:space="preserve"> </w:t>
      </w:r>
      <m:oMath>
        <m:r>
          <m:t>x</m:t>
        </m:r>
      </m:oMath>
      <w:r>
        <w:t xml:space="preserve"> </w:t>
      </w:r>
      <w:r>
        <w:t xml:space="preserve">reaches up to</w:t>
      </w:r>
      <w:r>
        <w:t xml:space="preserve"> </w:t>
      </w:r>
      <m:oMath>
        <m:r>
          <m:t>823</m:t>
        </m:r>
        <m:r>
          <m:rPr>
            <m:sty m:val="p"/>
          </m:rPr>
          <m:t>,</m:t>
        </m:r>
        <m:r>
          <m:t>295</m:t>
        </m:r>
      </m:oMath>
      <w:r>
        <w:t xml:space="preserve">, which requires all three</w:t>
      </w:r>
      <w:r>
        <w:t xml:space="preserve"> </w:t>
      </w:r>
      <w:r>
        <w:t xml:space="preserve">moduli, since no pair’s product exceeds</w:t>
      </w:r>
      <w:r>
        <w:t xml:space="preserve"> </w:t>
      </w:r>
      <m:oMath>
        <m:r>
          <m:t>10</m:t>
        </m:r>
        <m:r>
          <m:rPr>
            <m:sty m:val="p"/>
          </m:rPr>
          <m:t>,</m:t>
        </m:r>
        <m:r>
          <m:t>403</m:t>
        </m:r>
      </m:oMath>
      <w:r>
        <w:t xml:space="preserve">. The gateway’s</w:t>
      </w:r>
      <w:r>
        <w:t xml:space="preserve"> </w:t>
      </w:r>
      <w:r>
        <w:rPr>
          <w:rStyle w:val="VerbatimChar"/>
        </w:rPr>
        <w:t xml:space="preserve">decode</w:t>
      </w:r>
      <w:r>
        <w:t xml:space="preserve"> </w:t>
      </w:r>
      <w:r>
        <w:t xml:space="preserve">routine (</w:t>
      </w:r>
      <w:r>
        <w:rPr>
          <w:rStyle w:val="VerbatimChar"/>
        </w:rPr>
        <w:t xml:space="preserve">gateway/crt_decode.py</w:t>
      </w:r>
      <w:r>
        <w:t xml:space="preserve">) accepts any two</w:t>
      </w:r>
      <w:r>
        <w:t xml:space="preserve"> </w:t>
      </w:r>
      <w:r>
        <w:t xml:space="preserve">residues and returns the smallest non-negative solution modulo their</w:t>
      </w:r>
      <w:r>
        <w:t xml:space="preserve"> </w:t>
      </w:r>
      <w:r>
        <w:t xml:space="preserve">product, documenting that this "matches gateway reassembly for sensor</w:t>
      </w:r>
      <w:r>
        <w:t xml:space="preserve"> </w:t>
      </w:r>
      <w:r>
        <w:t xml:space="preserve">values constrained below the product of the received moduli" rather than</w:t>
      </w:r>
      <w:r>
        <w:t xml:space="preserve"> </w:t>
      </w:r>
      <w:r>
        <w:t xml:space="preserve">guaranteeing correctness in general; for a combined value at or above</w:t>
      </w:r>
      <w:r>
        <w:t xml:space="preserve"> </w:t>
      </w:r>
      <w:r>
        <w:t xml:space="preserve">that product, two-residue decoding returns a different, aliased value</w:t>
      </w:r>
      <w:r>
        <w:t xml:space="preserve"> </w:t>
      </w:r>
      <w:r>
        <w:t xml:space="preserve">rather than signalling failure. This is why the subset-recovery figure</w:t>
      </w:r>
      <w:r>
        <w:t xml:space="preserve"> </w:t>
      </w:r>
      <w:r>
        <w:t xml:space="preserve">the source article reports is a measured</w:t>
      </w:r>
      <w:r>
        <w:t xml:space="preserve"> </w:t>
      </w:r>
      <m:oMath>
        <m:r>
          <m:t>64.1</m:t>
        </m:r>
        <m:r>
          <m:rPr>
            <m:sty m:val="p"/>
          </m:rPr>
          <m:t>%</m:t>
        </m:r>
      </m:oMath>
      <w:r>
        <w:t xml:space="preserve"> </w:t>
      </w:r>
      <w:r>
        <w:t xml:space="preserve">against a</w:t>
      </w:r>
      <w:r>
        <w:t xml:space="preserve"> </w:t>
      </w:r>
      <m:oMath>
        <m:r>
          <m:t>66.7</m:t>
        </m:r>
        <m:r>
          <m:rPr>
            <m:sty m:val="p"/>
          </m:rPr>
          <m:t>%</m:t>
        </m:r>
      </m:oMath>
      <w:r>
        <w:t xml:space="preserve"> </w:t>
      </w:r>
      <w:r>
        <w:t xml:space="preserve">theoretical figure for two-of-three recovery, not the</w:t>
      </w:r>
      <w:r>
        <w:t xml:space="preserve"> </w:t>
      </w:r>
      <m:oMath>
        <m:r>
          <m:t>100</m:t>
        </m:r>
        <m:r>
          <m:rPr>
            <m:sty m:val="p"/>
          </m:rPr>
          <m:t>%</m:t>
        </m:r>
      </m:oMath>
      <w:r>
        <w:t xml:space="preserve"> </w:t>
      </w:r>
      <w:r>
        <w:t xml:space="preserve">that would</w:t>
      </w:r>
      <w:r>
        <w:t xml:space="preserve"> </w:t>
      </w:r>
      <w:r>
        <w:t xml:space="preserve">hold if every encoded value stayed under every two-modulus product; when</w:t>
      </w:r>
      <w:r>
        <w:t xml:space="preserve"> </w:t>
      </w:r>
      <w:r>
        <w:t xml:space="preserve">Chapter Three’s own data-recovery table is written, it should carry the</w:t>
      </w:r>
      <w:r>
        <w:t xml:space="preserve"> </w:t>
      </w:r>
      <w:r>
        <w:t xml:space="preserve">same measured figure rather than a general bound. The</w:t>
      </w:r>
      <w:r>
        <w:t xml:space="preserve"> </w:t>
      </w:r>
      <w:r>
        <w:t xml:space="preserve">subset-recovery property of Section </w:t>
      </w:r>
      <w:hyperlink w:anchor="subsec:lit_crt">
        <w:r>
          <w:rPr>
            <w:rStyle w:val="Hyperlink"/>
          </w:rPr>
          <w:t xml:space="preserve">2.2.3</w:t>
        </w:r>
      </w:hyperlink>
      <w:r>
        <w:t xml:space="preserve"> </w:t>
      </w:r>
      <w:r>
        <w:t xml:space="preserve">is real and</w:t>
      </w:r>
      <w:r>
        <w:t xml:space="preserve"> </w:t>
      </w:r>
      <w:r>
        <w:t xml:space="preserve">exact for values small enough relative to the moduli in play; it is not,</w:t>
      </w:r>
      <w:r>
        <w:t xml:space="preserve"> </w:t>
      </w:r>
      <w:r>
        <w:t xml:space="preserve">as deployed here, a blanket guarantee, and Chapter Three’s treatment of</w:t>
      </w:r>
      <w:r>
        <w:t xml:space="preserve"> </w:t>
      </w:r>
      <w:r>
        <w:t xml:space="preserve">loss resilience should state the recovery rate as measured rather than</w:t>
      </w:r>
      <w:r>
        <w:t xml:space="preserve"> </w:t>
      </w:r>
      <w:r>
        <w:t xml:space="preserve">imply the general bound applies unconditionally.</w:t>
      </w:r>
    </w:p>
    <w:bookmarkEnd w:id="61"/>
    <w:bookmarkEnd w:id="62"/>
    <w:bookmarkStart w:id="347" w:name="app:hrbac_matrix"/>
    <w:p>
      <w:pPr>
        <w:pStyle w:val="Heading1"/>
      </w:pPr>
      <w:r>
        <w:rPr>
          <w:rStyle w:val="SectionNumber"/>
        </w:rPr>
        <w:t xml:space="preserve">4</w:t>
      </w:r>
      <w:r>
        <w:tab/>
      </w:r>
      <w:r>
        <w:t xml:space="preserve">Hierarchical Role-Based Access Control Permission Matrix</w:t>
      </w:r>
    </w:p>
    <w:p>
      <w:pPr>
        <w:pStyle w:val="FirstParagraph"/>
      </w:pPr>
      <w:r>
        <w:t xml:space="preserve">Section </w:t>
      </w:r>
      <w:hyperlink w:anchor="subsec:lit_privacy">
        <w:r>
          <w:rPr>
            <w:rStyle w:val="Hyperlink"/>
          </w:rPr>
          <w:t xml:space="preserve">2.2.6</w:t>
        </w:r>
      </w:hyperlink>
      <w:r>
        <w:t xml:space="preserve"> </w:t>
      </w:r>
      <w:r>
        <w:t xml:space="preserve">states the access-grant predicate</w:t>
      </w:r>
      <w:r>
        <w:t xml:space="preserve"> </w:t>
      </w:r>
      <w:r>
        <w:t xml:space="preserve">(Equation </w:t>
      </w:r>
      <w:hyperlink w:anchor="eq:hrbac_grant">
        <w:r>
          <w:rPr>
            <w:rStyle w:val="Hyperlink"/>
          </w:rPr>
          <w:t xml:space="preserve">[eq:hrbac_grant]</w:t>
        </w:r>
      </w:hyperlink>
      <w:r>
        <w:t xml:space="preserve">) that the seven-role HRBAC model</w:t>
      </w:r>
      <w:r>
        <w:t xml:space="preserve"> </w:t>
      </w:r>
      <w:r>
        <w:t xml:space="preserve">evaluates but does not reproduce the permission assignment itself. Both are</w:t>
      </w:r>
      <w:r>
        <w:t xml:space="preserve"> </w:t>
      </w:r>
      <w:r>
        <w:t xml:space="preserve">part of the candidate’s own prior formalisation </w:t>
      </w:r>
      <w:r>
        <w:t xml:space="preserve">(Beloa et al. 2025)</w:t>
      </w:r>
      <w:r>
        <w:t xml:space="preserve">;</w:t>
      </w:r>
      <w:r>
        <w:t xml:space="preserve"> </w:t>
      </w:r>
      <w:r>
        <w:t xml:space="preserve">Table </w:t>
      </w:r>
      <w:hyperlink w:anchor="tab:app-hrbac-matrix">
        <w:r>
          <w:rPr>
            <w:rStyle w:val="Hyperlink"/>
          </w:rPr>
          <w:t xml:space="preserve">4.1</w:t>
        </w:r>
      </w:hyperlink>
      <w:r>
        <w:t xml:space="preserve"> </w:t>
      </w:r>
      <w:r>
        <w:t xml:space="preserve">reproduces it here so that the effective-</w:t>
      </w:r>
      <w:r>
        <w:t xml:space="preserve"> </w:t>
      </w:r>
      <w:r>
        <w:t xml:space="preserve">permission union in Equation </w:t>
      </w:r>
      <w:hyperlink w:anchor="eq:hrbac_eff">
        <w:r>
          <w:rPr>
            <w:rStyle w:val="Hyperlink"/>
          </w:rPr>
          <w:t xml:space="preserve">[eq:hrbac_eff]</w:t>
        </w:r>
      </w:hyperlink>
      <w:r>
        <w:t xml:space="preserve"> </w:t>
      </w:r>
      <w:r>
        <w:t xml:space="preserve">can be checked against a</w:t>
      </w:r>
      <w:r>
        <w:t xml:space="preserve"> </w:t>
      </w:r>
      <w:r>
        <w:t xml:space="preserve">concrete</w:t>
      </w:r>
      <w:r>
        <w:t xml:space="preserve"> </w:t>
      </w:r>
      <m:oMath>
        <m:r>
          <m:t>p</m:t>
        </m:r>
        <m:r>
          <m:t>a</m:t>
        </m:r>
        <m:d>
          <m:dPr>
            <m:begChr m:val="("/>
            <m:endChr m:val=")"/>
            <m:sepChr m:val=""/>
            <m:grow/>
          </m:dPr>
          <m:e>
            <m:r>
              <m:t>r</m:t>
            </m:r>
          </m:e>
        </m:d>
      </m:oMath>
      <w:r>
        <w:t xml:space="preserve"> </w:t>
      </w:r>
      <w:r>
        <w:t xml:space="preserve">for every role and resource this thesis’s chaincode</w:t>
      </w:r>
      <w:r>
        <w:t xml:space="preserve"> </w:t>
      </w:r>
      <w:r>
        <w:t xml:space="preserve">governs.</w:t>
      </w:r>
    </w:p>
    <w:bookmarkStart w:id="63" w:name="tab:app-hrbac-matrix"/>
    <w:p>
      <w:pPr>
        <w:pStyle w:val="TableCaption"/>
      </w:pPr>
      <w:r>
        <w:t xml:space="preserve">Permission matrix for agricultural resources across the seven</w:t>
      </w:r>
      <w:r>
        <w:t xml:space="preserve"> </w:t>
      </w:r>
      <w:r>
        <w:t xml:space="preserve">HRBAC roles.</w:t>
      </w:r>
      <w:r>
        <w:t xml:space="preserve"> </w:t>
      </w:r>
      <w:r>
        <w:rPr>
          <w:iCs/>
          <w:i/>
        </w:rPr>
        <w:t xml:space="preserve">own</w:t>
      </w:r>
      <w:r>
        <w:t xml:space="preserve"> </w:t>
      </w:r>
      <w:r>
        <w:t xml:space="preserve">= own zone only,</w:t>
      </w:r>
      <w:r>
        <w:t xml:space="preserve"> </w:t>
      </w:r>
      <w:r>
        <w:rPr>
          <w:iCs/>
          <w:i/>
        </w:rPr>
        <w:t xml:space="preserve">zone</w:t>
      </w:r>
      <w:r>
        <w:t xml:space="preserve"> </w:t>
      </w:r>
      <w:r>
        <w:t xml:space="preserve">=</w:t>
      </w:r>
      <w:r>
        <w:t xml:space="preserve"> </w:t>
      </w:r>
      <w:r>
        <w:t xml:space="preserve">assigned zone,</w:t>
      </w:r>
      <w:r>
        <w:t xml:space="preserve"> </w:t>
      </w:r>
      <w:r>
        <w:rPr>
          <w:iCs/>
          <w:i/>
        </w:rPr>
        <w:t xml:space="preserve">all</w:t>
      </w:r>
      <w:r>
        <w:t xml:space="preserve"> </w:t>
      </w:r>
      <w:r>
        <w:t xml:space="preserve">= all zones, N/A = no access.</w:t>
      </w:r>
      <w:r>
        <w:t xml:space="preserve"> </w:t>
      </w:r>
      <w:r>
        <w:t xml:space="preserve">Source:</w:t>
      </w:r>
      <w:r>
        <w:t xml:space="preserve"> </w:t>
      </w:r>
      <w:r>
        <w:t xml:space="preserve">(Beloa et al. 2025)</w:t>
      </w:r>
      <w:r>
        <w:t xml:space="preserve">.</w:t>
      </w:r>
    </w:p>
    <w:tbl>
      <w:tblPr>
        <w:tblStyle w:val="Table"/>
        <w:tblW w:type="auto" w:w="0"/>
        <w:tblLook w:firstRow="1" w:lastRow="0" w:firstColumn="0" w:lastColumn="0" w:noHBand="0" w:noVBand="0" w:val="0020"/>
        <w:jc w:val="start"/>
        <w:tblCaption w:val="Permission matrix for agricultural resources across the seven HRBAC roles. own = own zone only, zone = assigned zone, all = all zones, N/A = no access. Source: (Beloa et al. 2025)."/>
      </w:tblPr>
      <w:tblGrid>
        <w:gridCol w:w="990"/>
        <w:gridCol w:w="990"/>
        <w:gridCol w:w="990"/>
        <w:gridCol w:w="990"/>
        <w:gridCol w:w="990"/>
        <w:gridCol w:w="990"/>
        <w:gridCol w:w="990"/>
        <w:gridCol w:w="990"/>
      </w:tblGrid>
      <w:tr>
        <w:trPr>
          <w:tblHeader w:val="true"/>
        </w:trPr>
        <w:tc>
          <w:tcPr/>
          <w:p>
            <w:pPr>
              <w:pStyle w:val="Compact"/>
              <w:jc w:val="left"/>
            </w:pPr>
            <w:r>
              <w:rPr>
                <w:bCs/>
                <w:b/>
              </w:rPr>
              <w:t xml:space="preserve">Resource</w:t>
            </w:r>
          </w:p>
        </w:tc>
        <w:tc>
          <w:tcPr/>
          <w:p>
            <w:pPr>
              <w:pStyle w:val="Compact"/>
              <w:jc w:val="left"/>
            </w:pPr>
            <w:r>
              <w:rPr>
                <w:bCs/>
                <w:b/>
              </w:rPr>
              <w:t xml:space="preserve">Sensor</w:t>
            </w:r>
          </w:p>
        </w:tc>
        <w:tc>
          <w:tcPr/>
          <w:p>
            <w:pPr>
              <w:pStyle w:val="Compact"/>
              <w:jc w:val="left"/>
            </w:pPr>
            <w:r>
              <w:rPr>
                <w:bCs/>
                <w:b/>
              </w:rPr>
              <w:t xml:space="preserve">Gateway</w:t>
            </w:r>
          </w:p>
        </w:tc>
        <w:tc>
          <w:tcPr/>
          <w:p>
            <w:pPr>
              <w:pStyle w:val="Compact"/>
              <w:jc w:val="left"/>
            </w:pPr>
            <w:r>
              <w:rPr>
                <w:bCs/>
                <w:b/>
              </w:rPr>
              <w:t xml:space="preserve">Farmer</w:t>
            </w:r>
          </w:p>
        </w:tc>
        <w:tc>
          <w:tcPr/>
          <w:p>
            <w:pPr>
              <w:pStyle w:val="Compact"/>
              <w:jc w:val="left"/>
            </w:pPr>
            <w:r>
              <w:rPr>
                <w:bCs/>
                <w:b/>
              </w:rPr>
              <w:t xml:space="preserve">Agron.</w:t>
            </w:r>
          </w:p>
        </w:tc>
        <w:tc>
          <w:tcPr/>
          <w:p>
            <w:pPr>
              <w:pStyle w:val="Compact"/>
              <w:jc w:val="left"/>
            </w:pPr>
            <w:r>
              <w:rPr>
                <w:bCs/>
                <w:b/>
              </w:rPr>
              <w:t xml:space="preserve">Cert.</w:t>
            </w:r>
          </w:p>
        </w:tc>
        <w:tc>
          <w:tcPr/>
          <w:p>
            <w:pPr>
              <w:pStyle w:val="Compact"/>
              <w:jc w:val="left"/>
            </w:pPr>
            <w:r>
              <w:rPr>
                <w:bCs/>
                <w:b/>
              </w:rPr>
              <w:t xml:space="preserve">Supply</w:t>
            </w:r>
          </w:p>
        </w:tc>
        <w:tc>
          <w:tcPr/>
          <w:p>
            <w:pPr>
              <w:pStyle w:val="Compact"/>
              <w:jc w:val="left"/>
            </w:pPr>
            <w:r>
              <w:rPr>
                <w:bCs/>
                <w:b/>
              </w:rPr>
              <w:t xml:space="preserve">Admin</w:t>
            </w:r>
          </w:p>
        </w:tc>
      </w:tr>
      <w:tr>
        <w:tc>
          <w:tcPr/>
          <w:p>
            <w:pPr>
              <w:pStyle w:val="Compact"/>
              <w:jc w:val="left"/>
            </w:pPr>
            <w:r>
              <w:t xml:space="preserve">Sensor data</w:t>
            </w:r>
          </w:p>
        </w:tc>
        <w:tc>
          <w:tcPr/>
          <w:p>
            <w:pPr>
              <w:pStyle w:val="Compact"/>
              <w:jc w:val="left"/>
            </w:pPr>
            <w:r>
              <w:t xml:space="preserve">own</w:t>
            </w:r>
          </w:p>
        </w:tc>
        <w:tc>
          <w:tcPr/>
          <w:p>
            <w:pPr>
              <w:pStyle w:val="Compact"/>
              <w:jc w:val="left"/>
            </w:pPr>
            <w:r>
              <w:t xml:space="preserve">zone</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N/A</w:t>
            </w:r>
          </w:p>
        </w:tc>
        <w:tc>
          <w:tcPr/>
          <w:p>
            <w:pPr>
              <w:pStyle w:val="Compact"/>
              <w:jc w:val="left"/>
            </w:pPr>
            <w:r>
              <w:t xml:space="preserve">all</w:t>
            </w:r>
          </w:p>
        </w:tc>
      </w:tr>
      <w:tr>
        <w:tc>
          <w:tcPr/>
          <w:p>
            <w:pPr>
              <w:pStyle w:val="Compact"/>
              <w:jc w:val="left"/>
            </w:pPr>
            <w:r>
              <w:t xml:space="preserve">Irrigation control</w:t>
            </w:r>
          </w:p>
        </w:tc>
        <w:tc>
          <w:tcPr/>
          <w:p>
            <w:pPr>
              <w:pStyle w:val="Compact"/>
              <w:jc w:val="left"/>
            </w:pPr>
            <w:r>
              <w:t xml:space="preserve">N/A</w:t>
            </w:r>
          </w:p>
        </w:tc>
        <w:tc>
          <w:tcPr/>
          <w:p>
            <w:pPr>
              <w:pStyle w:val="Compact"/>
              <w:jc w:val="left"/>
            </w:pPr>
            <w:r>
              <w:t xml:space="preserve">zone</w:t>
            </w:r>
          </w:p>
        </w:tc>
        <w:tc>
          <w:tcPr/>
          <w:p>
            <w:pPr>
              <w:pStyle w:val="Compact"/>
              <w:jc w:val="left"/>
            </w:pPr>
            <w:r>
              <w:t xml:space="preserve">full</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Audit logs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read</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Role assignments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full</w:t>
            </w:r>
          </w:p>
        </w:tc>
      </w:tr>
      <w:tr>
        <w:tc>
          <w:tcPr/>
          <w:p>
            <w:pPr>
              <w:pStyle w:val="Compact"/>
              <w:jc w:val="left"/>
            </w:pPr>
            <w:r>
              <w:t xml:space="preserve">Cross-zone tokens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issue</w:t>
            </w:r>
          </w:p>
        </w:tc>
      </w:tr>
    </w:tbl>
    <w:bookmarkEnd w:id="63"/>
    <w:p>
      <w:pPr>
        <w:pStyle w:val="BodyText"/>
      </w:pPr>
      <w:r>
        <w:rPr>
          <w:iCs/>
          <w:i/>
        </w:rPr>
        <w:t xml:space="preserve">Note:</w:t>
      </w:r>
      <w:r>
        <w:t xml:space="preserve"> </w:t>
      </w:r>
      <w:r>
        <w:t xml:space="preserve">Agron. = Agronomist, Cert. = Certification</w:t>
      </w:r>
      <w:r>
        <w:t xml:space="preserve"> </w:t>
      </w:r>
      <w:r>
        <w:t xml:space="preserve">Body, Supply = Supply Chain Partner, following the source’s own column</w:t>
      </w:r>
      <w:r>
        <w:t xml:space="preserve"> </w:t>
      </w:r>
      <w:r>
        <w:t xml:space="preserve">abbreviations </w:t>
      </w:r>
      <w:r>
        <w:t xml:space="preserve">(Beloa et al. 2025)</w:t>
      </w:r>
      <w:r>
        <w:t xml:space="preserve">.</w:t>
      </w:r>
    </w:p>
    <w:p>
      <w:pPr>
        <w:pStyle w:val="BodyText"/>
      </w:pPr>
      <w:r>
        <w:t xml:space="preserve">Two rows are worth reading against Equation </w:t>
      </w:r>
      <w:hyperlink w:anchor="eq:hrbac_grant">
        <w:r>
          <w:rPr>
            <w:rStyle w:val="Hyperlink"/>
          </w:rPr>
          <w:t xml:space="preserve">[eq:hrbac_grant]</w:t>
        </w:r>
      </w:hyperlink>
      <w:r>
        <w:t xml:space="preserve"> </w:t>
      </w:r>
      <w:r>
        <w:t xml:space="preserve">directly.</w:t>
      </w:r>
      <w:r>
        <w:t xml:space="preserve"> </w:t>
      </w:r>
      <w:r>
        <w:rPr>
          <w:bCs/>
          <w:b/>
        </w:rPr>
        <w:t xml:space="preserve">Sensor data</w:t>
      </w:r>
      <w:r>
        <w:t xml:space="preserve"> </w:t>
      </w:r>
      <w:r>
        <w:t xml:space="preserve">is the only resource every role can reach in some</w:t>
      </w:r>
      <w:r>
        <w:t xml:space="preserve"> </w:t>
      </w:r>
      <w:r>
        <w:t xml:space="preserve">capacity, own-zone write for the sensor itself, zone-scoped read for the</w:t>
      </w:r>
      <w:r>
        <w:t xml:space="preserve"> </w:t>
      </w:r>
      <w:r>
        <w:t xml:space="preserve">gateway, and unrestricted read for the roles that sit above</w:t>
      </w:r>
      <w:r>
        <w:t xml:space="preserve"> </w:t>
      </w:r>
      <w:r>
        <w:rPr>
          <w:smallCaps/>
        </w:rPr>
        <w:t xml:space="preserve">Farmer</w:t>
      </w:r>
      <w:r>
        <w:t xml:space="preserve"> </w:t>
      </w:r>
      <w:r>
        <w:t xml:space="preserve">in the partial order of Section </w:t>
      </w:r>
      <w:hyperlink w:anchor="subsec:lit_privacy">
        <w:r>
          <w:rPr>
            <w:rStyle w:val="Hyperlink"/>
          </w:rPr>
          <w:t xml:space="preserve">2.2.6</w:t>
        </w:r>
      </w:hyperlink>
      <w:r>
        <w:t xml:space="preserve">; this is what</w:t>
      </w:r>
      <w:r>
        <w:t xml:space="preserve"> </w:t>
      </w:r>
      <w:r>
        <w:t xml:space="preserve">makes the zone predicate</w:t>
      </w:r>
      <w:r>
        <w:t xml:space="preserve"> </w:t>
      </w:r>
      <m:oMath>
        <m:r>
          <m:rPr>
            <m:sty m:val="p"/>
          </m:rPr>
          <m:t>z</m:t>
        </m:r>
        <m:r>
          <m:rPr>
            <m:sty m:val="p"/>
          </m:rPr>
          <m:t>o</m:t>
        </m:r>
        <m:r>
          <m:rPr>
            <m:sty m:val="p"/>
          </m:rPr>
          <m:t>n</m:t>
        </m:r>
        <m:r>
          <m:rPr>
            <m:sty m:val="p"/>
          </m:rPr>
          <m:t>e</m:t>
        </m:r>
        <m:d>
          <m:dPr>
            <m:begChr m:val="("/>
            <m:endChr m:val=")"/>
            <m:sepChr m:val=""/>
            <m:grow/>
          </m:dPr>
          <m:e>
            <m:r>
              <m:t>u</m:t>
            </m:r>
          </m:e>
        </m:d>
        <m:r>
          <m:rPr>
            <m:sty m:val="p"/>
          </m:rPr>
          <m:t>=</m:t>
        </m:r>
        <m:r>
          <m:rPr>
            <m:sty m:val="p"/>
          </m:rPr>
          <m:t>z</m:t>
        </m:r>
        <m:r>
          <m:rPr>
            <m:sty m:val="p"/>
          </m:rPr>
          <m:t>o</m:t>
        </m:r>
        <m:r>
          <m:rPr>
            <m:sty m:val="p"/>
          </m:rPr>
          <m:t>n</m:t>
        </m:r>
        <m:r>
          <m:rPr>
            <m:sty m:val="p"/>
          </m:rPr>
          <m:t>e</m:t>
        </m:r>
        <m:d>
          <m:dPr>
            <m:begChr m:val="("/>
            <m:endChr m:val=")"/>
            <m:sepChr m:val=""/>
            <m:grow/>
          </m:dPr>
          <m:e>
            <m:r>
              <m:t>r</m:t>
            </m:r>
            <m:r>
              <m:t>e</m:t>
            </m:r>
            <m:r>
              <m:t>s</m:t>
            </m:r>
          </m:e>
        </m:d>
      </m:oMath>
      <w:r>
        <w:t xml:space="preserve"> </w:t>
      </w:r>
      <w:r>
        <w:t xml:space="preserve">load-</w:t>
      </w:r>
      <w:r>
        <w:t xml:space="preserve"> </w:t>
      </w:r>
      <w:r>
        <w:t xml:space="preserve">bearing rather than redundant; without it, every role above Gateway would</w:t>
      </w:r>
      <w:r>
        <w:t xml:space="preserve"> </w:t>
      </w:r>
      <w:r>
        <w:t xml:space="preserve">read every zone’s sensor data by default.</w:t>
      </w:r>
      <w:r>
        <w:t xml:space="preserve"> </w:t>
      </w:r>
      <w:r>
        <w:rPr>
          <w:bCs/>
          <w:b/>
        </w:rPr>
        <w:t xml:space="preserve">Role assignments</w:t>
      </w:r>
      <w:r>
        <w:t xml:space="preserve"> </w:t>
      </w:r>
      <w:r>
        <w:t xml:space="preserve">and</w:t>
      </w:r>
      <w:r>
        <w:t xml:space="preserve"> </w:t>
      </w:r>
      <w:r>
        <w:rPr>
          <w:bCs/>
          <w:b/>
        </w:rPr>
        <w:t xml:space="preserve">cross-zone tokens</w:t>
      </w:r>
      <w:r>
        <w:t xml:space="preserve"> </w:t>
      </w:r>
      <w:r>
        <w:t xml:space="preserve">are reachable only by</w:t>
      </w:r>
      <w:r>
        <w:t xml:space="preserve"> </w:t>
      </w:r>
      <w:r>
        <w:rPr>
          <w:smallCaps/>
        </w:rPr>
        <w:t xml:space="preserve">Admin</w:t>
      </w:r>
      <w:r>
        <w:t xml:space="preserve">, which is</w:t>
      </w:r>
      <w:r>
        <w:t xml:space="preserve"> </w:t>
      </w:r>
      <w:r>
        <w:t xml:space="preserve">what closes Equation </w:t>
      </w:r>
      <w:hyperlink w:anchor="eq:hrbac_grant">
        <w:r>
          <w:rPr>
            <w:rStyle w:val="Hyperlink"/>
          </w:rPr>
          <w:t xml:space="preserve">[eq:hrbac_grant]</w:t>
        </w:r>
      </w:hyperlink>
      <w:r>
        <w:t xml:space="preserve">’s</w:t>
      </w:r>
      <w:r>
        <w:t xml:space="preserve"> </w:t>
      </w:r>
      <m:oMath>
        <m:r>
          <m:rPr>
            <m:sty m:val="p"/>
          </m:rPr>
          <m:t>c</m:t>
        </m:r>
        <m:r>
          <m:rPr>
            <m:sty m:val="p"/>
          </m:rPr>
          <m:t>z</m:t>
        </m:r>
        <m:r>
          <m:rPr>
            <m:sty m:val="p"/>
          </m:rPr>
          <m:t>t</m:t>
        </m:r>
        <m:d>
          <m:dPr>
            <m:begChr m:val="("/>
            <m:endChr m:val=")"/>
            <m:sepChr m:val=""/>
            <m:grow/>
          </m:dPr>
          <m:e>
            <m:r>
              <m:t>u</m:t>
            </m:r>
            <m:r>
              <m:rPr>
                <m:sty m:val="p"/>
              </m:rPr>
              <m:t>,</m:t>
            </m:r>
            <m:r>
              <m:rPr>
                <m:sty m:val="p"/>
              </m:rPr>
              <m:t>z</m:t>
            </m:r>
            <m:r>
              <m:rPr>
                <m:sty m:val="p"/>
              </m:rPr>
              <m:t>o</m:t>
            </m:r>
            <m:r>
              <m:rPr>
                <m:sty m:val="p"/>
              </m:rPr>
              <m:t>n</m:t>
            </m:r>
            <m:r>
              <m:rPr>
                <m:sty m:val="p"/>
              </m:rPr>
              <m:t>e</m:t>
            </m:r>
            <m:d>
              <m:dPr>
                <m:begChr m:val="("/>
                <m:endChr m:val=")"/>
                <m:sepChr m:val=""/>
                <m:grow/>
              </m:dPr>
              <m:e>
                <m:r>
                  <m:t>r</m:t>
                </m:r>
                <m:r>
                  <m:t>e</m:t>
                </m:r>
                <m:r>
                  <m:t>s</m:t>
                </m:r>
              </m:e>
            </m:d>
            <m:r>
              <m:rPr>
                <m:sty m:val="p"/>
              </m:rPr>
              <m:t>,</m:t>
            </m:r>
            <m:r>
              <m:t>t</m:t>
            </m:r>
          </m:e>
        </m:d>
      </m:oMath>
      <w:r>
        <w:t xml:space="preserve"> </w:t>
      </w:r>
      <w:r>
        <w:t xml:space="preserve">predicate: a cross-zone token can only be minted by the one role</w:t>
      </w:r>
      <w:r>
        <w:t xml:space="preserve"> </w:t>
      </w:r>
      <w:r>
        <w:t xml:space="preserve">whose own access is already unrestricted, so the token mechanism widens a</w:t>
      </w:r>
      <w:r>
        <w:t xml:space="preserve"> </w:t>
      </w:r>
      <w:r>
        <w:t xml:space="preserve">requester’s reach without ever widening the set of principals who can</w:t>
      </w:r>
      <w:r>
        <w:t xml:space="preserve"> </w:t>
      </w:r>
      <w:r>
        <w:t xml:space="preserve">create that widening.</w:t>
      </w:r>
    </w:p>
    <w:bookmarkStart w:id="346" w:name="refs"/>
    <w:bookmarkStart w:id="65"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64">
        <w:r>
          <w:rPr>
            <w:rStyle w:val="Hyperlink"/>
          </w:rPr>
          <w:t xml:space="preserve">https://doi.org/10.1016/j.compag.2020.105441</w:t>
        </w:r>
      </w:hyperlink>
      <w:r>
        <w:t xml:space="preserve">.</w:t>
      </w:r>
    </w:p>
    <w:bookmarkEnd w:id="65"/>
    <w:bookmarkStart w:id="67"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66">
        <w:r>
          <w:rPr>
            <w:rStyle w:val="Hyperlink"/>
          </w:rPr>
          <w:t xml:space="preserve">https://doi.org/10.1109/MCOM.2017.1600613</w:t>
        </w:r>
      </w:hyperlink>
      <w:r>
        <w:t xml:space="preserve">.</w:t>
      </w:r>
    </w:p>
    <w:bookmarkEnd w:id="67"/>
    <w:bookmarkStart w:id="69" w:name="ref-pereira2023blockchainTrust"/>
    <w:p>
      <w:pPr>
        <w:pStyle w:val="Bibliography"/>
      </w:pPr>
      <w:r>
        <w:t xml:space="preserve">Aliyu, Ahmed Abubakar, and Jinshuo Liu. 2023b.</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68">
        <w:r>
          <w:rPr>
            <w:rStyle w:val="Hyperlink"/>
          </w:rPr>
          <w:t xml:space="preserve">https://doi.org/10.3390/s23187992</w:t>
        </w:r>
      </w:hyperlink>
      <w:r>
        <w:t xml:space="preserve">.</w:t>
      </w:r>
    </w:p>
    <w:bookmarkEnd w:id="69"/>
    <w:bookmarkStart w:id="70" w:name="ref-ali2023farmDataTampering"/>
    <w:p>
      <w:pPr>
        <w:pStyle w:val="Bibliography"/>
      </w:pPr>
      <w:r>
        <w:t xml:space="preserve">———. 2023a.</w:t>
      </w:r>
      <w:r>
        <w:t xml:space="preserve"> </w:t>
      </w:r>
      <w:r>
        <w:t xml:space="preserve">“Blockchain-Based Smart Farm Security Framework for the</w:t>
      </w:r>
      <w:r>
        <w:t xml:space="preserve"> </w:t>
      </w:r>
      <w:r>
        <w:t xml:space="preserve">Internet of Things</w:t>
      </w:r>
      <w:r>
        <w:t xml:space="preserve">.”</w:t>
      </w:r>
      <w:r>
        <w:t xml:space="preserve"> </w:t>
      </w:r>
      <w:r>
        <w:rPr>
          <w:iCs/>
          <w:i/>
        </w:rPr>
        <w:t xml:space="preserve">Sensors</w:t>
      </w:r>
      <w:r>
        <w:t xml:space="preserve"> </w:t>
      </w:r>
      <w:r>
        <w:t xml:space="preserve">23 (18): 7992.</w:t>
      </w:r>
      <w:r>
        <w:t xml:space="preserve"> </w:t>
      </w:r>
      <w:hyperlink r:id="rId68">
        <w:r>
          <w:rPr>
            <w:rStyle w:val="Hyperlink"/>
          </w:rPr>
          <w:t xml:space="preserve">https://doi.org/10.3390/s23187992</w:t>
        </w:r>
      </w:hyperlink>
      <w:r>
        <w:t xml:space="preserve">.</w:t>
      </w:r>
    </w:p>
    <w:bookmarkEnd w:id="70"/>
    <w:bookmarkStart w:id="71" w:name="ref-aliyu2023blockchainbasedsmartfarm"/>
    <w:p>
      <w:pPr>
        <w:pStyle w:val="Bibliography"/>
      </w:pPr>
      <w:r>
        <w:t xml:space="preserve">———. 2023c.</w:t>
      </w:r>
      <w:r>
        <w:t xml:space="preserve"> </w:t>
      </w:r>
      <w:r>
        <w:t xml:space="preserve">“Blockchain-Based Smart Farm Security Framework for the Internet of Things.”</w:t>
      </w:r>
      <w:r>
        <w:t xml:space="preserve"> </w:t>
      </w:r>
      <w:r>
        <w:rPr>
          <w:iCs/>
          <w:i/>
        </w:rPr>
        <w:t xml:space="preserve">Sensors (Basel, Switzerland)</w:t>
      </w:r>
      <w:r>
        <w:t xml:space="preserve"> </w:t>
      </w:r>
      <w:r>
        <w:t xml:space="preserve">23 (September).</w:t>
      </w:r>
      <w:r>
        <w:t xml:space="preserve"> </w:t>
      </w:r>
      <w:hyperlink r:id="rId68">
        <w:r>
          <w:rPr>
            <w:rStyle w:val="Hyperlink"/>
          </w:rPr>
          <w:t xml:space="preserve">https://doi.org/10.3390/s23187992</w:t>
        </w:r>
      </w:hyperlink>
      <w:r>
        <w:t xml:space="preserve">.</w:t>
      </w:r>
    </w:p>
    <w:bookmarkEnd w:id="71"/>
    <w:bookmarkStart w:id="72" w:name="ref-loraalliance2021regional"/>
    <w:p>
      <w:pPr>
        <w:pStyle w:val="Bibliography"/>
      </w:pPr>
      <w:r>
        <w:t xml:space="preserve">Alliance, LoRa. 2021.</w:t>
      </w:r>
      <w:r>
        <w:t xml:space="preserve"> </w:t>
      </w:r>
      <w:r>
        <w:t xml:space="preserve">“LoRaWAN Regional Parameters V1.0.”</w:t>
      </w:r>
      <w:r>
        <w:t xml:space="preserve"> </w:t>
      </w:r>
      <w:r>
        <w:rPr>
          <w:iCs/>
          <w:i/>
        </w:rPr>
        <w:t xml:space="preserve">LoRa Alliance Technical Specification</w:t>
      </w:r>
      <w:r>
        <w:t xml:space="preserve">.</w:t>
      </w:r>
    </w:p>
    <w:bookmarkEnd w:id="72"/>
    <w:bookmarkStart w:id="74" w:name="ref-amdahl1967validity"/>
    <w:p>
      <w:pPr>
        <w:pStyle w:val="Bibliography"/>
      </w:pPr>
      <w:r>
        <w:t xml:space="preserve">Amdahl, Gene M. 1967.</w:t>
      </w:r>
      <w:r>
        <w:t xml:space="preserve"> </w:t>
      </w:r>
      <w:r>
        <w:t xml:space="preserve">“Validity of the Single Processor Approach to Achieving Large Scale Computing Capabilities.”</w:t>
      </w:r>
      <w:r>
        <w:t xml:space="preserve"> </w:t>
      </w:r>
      <w:r>
        <w:t xml:space="preserve">In</w:t>
      </w:r>
      <w:r>
        <w:t xml:space="preserve"> </w:t>
      </w:r>
      <w:r>
        <w:rPr>
          <w:iCs/>
          <w:i/>
        </w:rPr>
        <w:t xml:space="preserve">Proceedings of the April 18-20, 1967, Spring Joint Computer Conference</w:t>
      </w:r>
      <w:r>
        <w:t xml:space="preserve">, 483–85. ACM.</w:t>
      </w:r>
      <w:r>
        <w:t xml:space="preserve"> </w:t>
      </w:r>
      <w:hyperlink r:id="rId73">
        <w:r>
          <w:rPr>
            <w:rStyle w:val="Hyperlink"/>
          </w:rPr>
          <w:t xml:space="preserve">https://doi.org/10.1145/1465482.1465560</w:t>
        </w:r>
      </w:hyperlink>
      <w:r>
        <w:t xml:space="preserve">.</w:t>
      </w:r>
    </w:p>
    <w:bookmarkEnd w:id="74"/>
    <w:bookmarkStart w:id="76" w:name="ref-liu2024blockchainwater"/>
    <w:p>
      <w:pPr>
        <w:pStyle w:val="Bibliography"/>
      </w:pPr>
      <w:r>
        <w:t xml:space="preserve">Amraouy, Okacha, Mohammed Benbrahim, and Mohammed Nabil Kabbaj. 2025a.</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101654.</w:t>
      </w:r>
      <w:r>
        <w:t xml:space="preserve"> </w:t>
      </w:r>
      <w:hyperlink r:id="rId75">
        <w:r>
          <w:rPr>
            <w:rStyle w:val="Hyperlink"/>
          </w:rPr>
          <w:t xml:space="preserve">https://doi.org/10.1016/j.atech.2025.101654</w:t>
        </w:r>
      </w:hyperlink>
      <w:r>
        <w:t xml:space="preserve">.</w:t>
      </w:r>
    </w:p>
    <w:bookmarkEnd w:id="76"/>
    <w:bookmarkStart w:id="77" w:name="ref-amraouy2025ssi"/>
    <w:p>
      <w:pPr>
        <w:pStyle w:val="Bibliography"/>
      </w:pPr>
      <w:r>
        <w:t xml:space="preserve">———. 2025b.</w:t>
      </w:r>
      <w:r>
        <w:t xml:space="preserve"> </w:t>
      </w:r>
      <w:r>
        <w:t xml:space="preserve">“A Blockchain- and Self-Sovereign Identity-Based Collaborative Framework for Secure and Verifiable Cross-Organizational Data Sharing in Smart Irrigation.”</w:t>
      </w:r>
      <w:r>
        <w:t xml:space="preserve"> </w:t>
      </w:r>
      <w:r>
        <w:rPr>
          <w:iCs/>
          <w:i/>
        </w:rPr>
        <w:t xml:space="preserve">Smart Agricultural Technology</w:t>
      </w:r>
      <w:r>
        <w:t xml:space="preserve"> </w:t>
      </w:r>
      <w:r>
        <w:t xml:space="preserve">12 (December): 101654.</w:t>
      </w:r>
      <w:r>
        <w:t xml:space="preserve"> </w:t>
      </w:r>
      <w:hyperlink r:id="rId75">
        <w:r>
          <w:rPr>
            <w:rStyle w:val="Hyperlink"/>
          </w:rPr>
          <w:t xml:space="preserve">https://doi.org/10.1016/j.atech.2025.101654</w:t>
        </w:r>
      </w:hyperlink>
      <w:r>
        <w:t xml:space="preserve">.</w:t>
      </w:r>
    </w:p>
    <w:bookmarkEnd w:id="77"/>
    <w:bookmarkStart w:id="79" w:name="ref-fabric2019performance"/>
    <w:p>
      <w:pPr>
        <w:pStyle w:val="Bibliography"/>
      </w:pPr>
      <w:r>
        <w:t xml:space="preserve">Androulaki, Elli, Artem Barger, Vita Bortnikov, Christian Cachin, Konstantinos Christidis, Angelo De Caro, David Enyeart, et al. 2018b.</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78">
        <w:r>
          <w:rPr>
            <w:rStyle w:val="Hyperlink"/>
          </w:rPr>
          <w:t xml:space="preserve">https://doi.org/10.1145/3190508.3190538</w:t>
        </w:r>
      </w:hyperlink>
      <w:r>
        <w:t xml:space="preserve">.</w:t>
      </w:r>
    </w:p>
    <w:bookmarkEnd w:id="79"/>
    <w:bookmarkStart w:id="80" w:name="ref-jayaram2023hyperledger"/>
    <w:p>
      <w:pPr>
        <w:pStyle w:val="Bibliography"/>
      </w:pPr>
      <w:r>
        <w:t xml:space="preserve">———, et al. 2018a.</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78">
        <w:r>
          <w:rPr>
            <w:rStyle w:val="Hyperlink"/>
          </w:rPr>
          <w:t xml:space="preserve">https://doi.org/10.1145/3190508.3190538</w:t>
        </w:r>
      </w:hyperlink>
      <w:r>
        <w:t xml:space="preserve">.</w:t>
      </w:r>
    </w:p>
    <w:bookmarkEnd w:id="80"/>
    <w:bookmarkStart w:id="82" w:name="ref-arshad2022blockchainBenefits"/>
    <w:p>
      <w:pPr>
        <w:pStyle w:val="Bibliography"/>
      </w:pPr>
      <w:r>
        <w:t xml:space="preserve">Aqeel-ur-Rehman, Asad Ullah Abbasi, Nizar Islam, and Zubair Ahmed Shaikh. 2014.</w:t>
      </w:r>
      <w:r>
        <w:t xml:space="preserve"> </w:t>
      </w:r>
      <w:r>
        <w:t xml:space="preserve">“A Review of Wireless Sensors and Networks’ Applications in Agriculture.”</w:t>
      </w:r>
      <w:r>
        <w:t xml:space="preserve"> </w:t>
      </w:r>
      <w:r>
        <w:rPr>
          <w:iCs/>
          <w:i/>
        </w:rPr>
        <w:t xml:space="preserve">Computer Standards &amp; Interfaces</w:t>
      </w:r>
      <w:r>
        <w:t xml:space="preserve"> </w:t>
      </w:r>
      <w:r>
        <w:t xml:space="preserve">36 (2): 263–70.</w:t>
      </w:r>
      <w:r>
        <w:t xml:space="preserve"> </w:t>
      </w:r>
      <w:hyperlink r:id="rId81">
        <w:r>
          <w:rPr>
            <w:rStyle w:val="Hyperlink"/>
          </w:rPr>
          <w:t xml:space="preserve">https://doi.org/10.1016/j.csi.2011.03.004</w:t>
        </w:r>
      </w:hyperlink>
      <w:r>
        <w:t xml:space="preserve">.</w:t>
      </w:r>
    </w:p>
    <w:bookmarkEnd w:id="82"/>
    <w:bookmarkStart w:id="84" w:name="ref-aydin2021comprehensive"/>
    <w:p>
      <w:pPr>
        <w:pStyle w:val="Bibliography"/>
      </w:pPr>
      <w:r>
        <w:t xml:space="preserve">Aydin, Gokhan, and Michael J. Hall. 2021.</w:t>
      </w:r>
      <w:r>
        <w:t xml:space="preserve"> </w:t>
      </w:r>
      <w:r>
        <w:t xml:space="preserve">“A Comprehensive Review of IoT and Wireless Sensor Networks in Precision Agriculture.”</w:t>
      </w:r>
      <w:r>
        <w:t xml:space="preserve"> </w:t>
      </w:r>
      <w:r>
        <w:rPr>
          <w:iCs/>
          <w:i/>
        </w:rPr>
        <w:t xml:space="preserve">IEEE Access</w:t>
      </w:r>
      <w:r>
        <w:t xml:space="preserve"> </w:t>
      </w:r>
      <w:r>
        <w:t xml:space="preserve">9: 157733–55.</w:t>
      </w:r>
      <w:r>
        <w:t xml:space="preserve"> </w:t>
      </w:r>
      <w:hyperlink r:id="rId83">
        <w:r>
          <w:rPr>
            <w:rStyle w:val="Hyperlink"/>
          </w:rPr>
          <w:t xml:space="preserve">https://doi.org/10.1109/ACCESS.2021.3129552</w:t>
        </w:r>
      </w:hyperlink>
      <w:r>
        <w:t xml:space="preserve">.</w:t>
      </w:r>
    </w:p>
    <w:bookmarkEnd w:id="84"/>
    <w:bookmarkStart w:id="85" w:name="ref-barr1994energy"/>
    <w:p>
      <w:pPr>
        <w:pStyle w:val="Bibliography"/>
      </w:pPr>
      <w:r>
        <w:t xml:space="preserve">Barr, K. C., and K. Asanovic. 2004.</w:t>
      </w:r>
      <w:r>
        <w:t xml:space="preserve"> </w:t>
      </w:r>
      <w:r>
        <w:t xml:space="preserve">“Energy Consumption and Bandwidth in Wireless Sensor Networks.”</w:t>
      </w:r>
      <w:r>
        <w:t xml:space="preserve"> </w:t>
      </w:r>
      <w:r>
        <w:rPr>
          <w:iCs/>
          <w:i/>
        </w:rPr>
        <w:t xml:space="preserve">IEEE Micro</w:t>
      </w:r>
      <w:r>
        <w:t xml:space="preserve"> </w:t>
      </w:r>
      <w:r>
        <w:t xml:space="preserve">24 (6): 58–68.</w:t>
      </w:r>
    </w:p>
    <w:bookmarkEnd w:id="85"/>
    <w:bookmarkStart w:id="86" w:name="ref-beloa2025bitcoincrt"/>
    <w:p>
      <w:pPr>
        <w:pStyle w:val="Bibliography"/>
      </w:pPr>
      <w:r>
        <w:t xml:space="preserve">Beloa, Forcha Glen. 2025.</w:t>
      </w:r>
      <w:r>
        <w:t xml:space="preserve"> </w:t>
      </w:r>
      <w:r>
        <w:t xml:space="preserve">“Enhancing Bitcoin Scalability Through Parallel Programming and Chinese Remainder Theorem Optimization with Applications in Agriculture and Healthcare.”</w:t>
      </w:r>
    </w:p>
    <w:bookmarkEnd w:id="86"/>
    <w:bookmarkStart w:id="87" w:name="ref-beloasone2025hrbac"/>
    <w:p>
      <w:pPr>
        <w:pStyle w:val="Bibliography"/>
      </w:pPr>
      <w:r>
        <w:t xml:space="preserve">Beloa, Forcha Glen, Michael Ekonde Sone, Elie Fute Tagne, and André Paul Mvogo Asse. 2025.</w:t>
      </w:r>
      <w:r>
        <w:t xml:space="preserve"> </w:t>
      </w:r>
      <w:r>
        <w:t xml:space="preserve">“A Decentralized Hierarchical Role-Based Access Control Framework for Agricultural Edge</w:t>
      </w:r>
      <w:r>
        <w:t xml:space="preserve"> </w:t>
      </w:r>
      <w:r>
        <w:t xml:space="preserve">Internet of Things</w:t>
      </w:r>
      <w:r>
        <w:t xml:space="preserve">: Design, Implementation, and 61-Day Field Evaluation.”</w:t>
      </w:r>
    </w:p>
    <w:bookmarkEnd w:id="87"/>
    <w:bookmarkStart w:id="89" w:name="ref-bessani2014state"/>
    <w:p>
      <w:pPr>
        <w:pStyle w:val="Bibliography"/>
      </w:pPr>
      <w:r>
        <w:t xml:space="preserve">Bessani, Alysson, João Sousa, and Eduardo E. Alchieri. 2014.</w:t>
      </w:r>
      <w:r>
        <w:t xml:space="preserve"> </w:t>
      </w:r>
      <w:r>
        <w:t xml:space="preserve">“State Machine Replication for the Masses with BFT-SMART.”</w:t>
      </w:r>
      <w:r>
        <w:t xml:space="preserve"> </w:t>
      </w:r>
      <w:r>
        <w:rPr>
          <w:iCs/>
          <w:i/>
        </w:rPr>
        <w:t xml:space="preserve">IEEE/IFIP International Conference on Dependable Systems and Networks (DSN)</w:t>
      </w:r>
      <w:r>
        <w:t xml:space="preserve">, 355–62.</w:t>
      </w:r>
      <w:r>
        <w:t xml:space="preserve"> </w:t>
      </w:r>
      <w:hyperlink r:id="rId88">
        <w:r>
          <w:rPr>
            <w:rStyle w:val="Hyperlink"/>
          </w:rPr>
          <w:t xml:space="preserve">https://doi.org/10.1109/DSN.2014.43</w:t>
        </w:r>
      </w:hyperlink>
      <w:r>
        <w:t xml:space="preserve">.</w:t>
      </w:r>
    </w:p>
    <w:bookmarkEnd w:id="89"/>
    <w:bookmarkStart w:id="91" w:name="ref-bicamumakuba2025lorawan"/>
    <w:p>
      <w:pPr>
        <w:pStyle w:val="Bibliography"/>
      </w:pPr>
      <w:r>
        <w:t xml:space="preserve">Bicamumakuba, Emmanuel, Eliezel Habineza, Samsuzzaman, Md Nasim Reza, and Sun-Ok Chung. 2025.</w:t>
      </w:r>
      <w:r>
        <w:t xml:space="preserve"> </w:t>
      </w:r>
      <w:r>
        <w:t xml:space="preserve">“IoT-Enabled LoRaWAN Gateway for Monitoring and Predicting Spatial Environmental Parameters in Smart Greenhouses: A Review.”</w:t>
      </w:r>
      <w:r>
        <w:t xml:space="preserve"> </w:t>
      </w:r>
      <w:r>
        <w:rPr>
          <w:iCs/>
          <w:i/>
        </w:rPr>
        <w:t xml:space="preserve">Precision Agriculture Science and Technology</w:t>
      </w:r>
      <w:r>
        <w:t xml:space="preserve"> </w:t>
      </w:r>
      <w:r>
        <w:t xml:space="preserve">28: 28–46.</w:t>
      </w:r>
      <w:r>
        <w:t xml:space="preserve"> </w:t>
      </w:r>
      <w:hyperlink r:id="rId90">
        <w:r>
          <w:rPr>
            <w:rStyle w:val="Hyperlink"/>
          </w:rPr>
          <w:t xml:space="preserve">https://doi.org/10.22765/pastj.20250003</w:t>
        </w:r>
      </w:hyperlink>
      <w:r>
        <w:t xml:space="preserve">.</w:t>
      </w:r>
    </w:p>
    <w:bookmarkEnd w:id="91"/>
    <w:bookmarkStart w:id="93" w:name="ref-bogena2010soil"/>
    <w:p>
      <w:pPr>
        <w:pStyle w:val="Bibliography"/>
      </w:pPr>
      <w:r>
        <w:t xml:space="preserve">Bogena, Heye R., Johan A. Huisman, Christian Oberdörster, and Harry Vereecken. 2010.</w:t>
      </w:r>
      <w:r>
        <w:t xml:space="preserve"> </w:t>
      </w:r>
      <w:r>
        <w:t xml:space="preserve">“Evaluation of a Low-Cost Soil Water Content Sensor for Wireless Network Applications.”</w:t>
      </w:r>
      <w:r>
        <w:t xml:space="preserve"> </w:t>
      </w:r>
      <w:r>
        <w:rPr>
          <w:iCs/>
          <w:i/>
        </w:rPr>
        <w:t xml:space="preserve">Journal of Hydrology</w:t>
      </w:r>
      <w:r>
        <w:t xml:space="preserve"> </w:t>
      </w:r>
      <w:r>
        <w:t xml:space="preserve">344 (1): 32–42.</w:t>
      </w:r>
      <w:r>
        <w:t xml:space="preserve"> </w:t>
      </w:r>
      <w:hyperlink r:id="rId92">
        <w:r>
          <w:rPr>
            <w:rStyle w:val="Hyperlink"/>
          </w:rPr>
          <w:t xml:space="preserve">https://doi.org/10.1016/j.jhydrol.2007.06.032</w:t>
        </w:r>
      </w:hyperlink>
      <w:r>
        <w:t xml:space="preserve">.</w:t>
      </w:r>
    </w:p>
    <w:bookmarkEnd w:id="93"/>
    <w:bookmarkStart w:id="95" w:name="ref-bor2016lorawan"/>
    <w:p>
      <w:pPr>
        <w:pStyle w:val="Bibliography"/>
      </w:pPr>
      <w:r>
        <w:t xml:space="preserve">Bor, Martin C., Utz Roedig, Thiemo Voigt, and Juan M. Alonso. 2016.</w:t>
      </w:r>
      <w:r>
        <w:t xml:space="preserve"> </w:t>
      </w:r>
      <w:r>
        <w:t xml:space="preserve">“Do</w:t>
      </w:r>
      <w:r>
        <w:t xml:space="preserve"> </w:t>
      </w:r>
      <w:r>
        <w:t xml:space="preserve">LoRa</w:t>
      </w:r>
      <w:r>
        <w:t xml:space="preserve"> </w:t>
      </w:r>
      <w:r>
        <w:t xml:space="preserve">Low-Power Wide-Area Networks Scale?”</w:t>
      </w:r>
      <w:r>
        <w:t xml:space="preserve"> In</w:t>
      </w:r>
      <w:r>
        <w:t xml:space="preserve"> </w:t>
      </w:r>
      <w:r>
        <w:rPr>
          <w:iCs/>
          <w:i/>
        </w:rPr>
        <w:t xml:space="preserve">Proceedings of the 19th ACM International Conference on Modeling, Analysis and Simulation of Wireless and Mobile Systems (MSWiM)</w:t>
      </w:r>
      <w:r>
        <w:t xml:space="preserve">, 59–67. ACM.</w:t>
      </w:r>
      <w:r>
        <w:t xml:space="preserve"> </w:t>
      </w:r>
      <w:hyperlink r:id="rId94">
        <w:r>
          <w:rPr>
            <w:rStyle w:val="Hyperlink"/>
          </w:rPr>
          <w:t xml:space="preserve">https://doi.org/10.1145/2988287.2989163</w:t>
        </w:r>
      </w:hyperlink>
      <w:r>
        <w:t xml:space="preserve">.</w:t>
      </w:r>
    </w:p>
    <w:bookmarkEnd w:id="95"/>
    <w:bookmarkStart w:id="97" w:name="ref-oh2025foodsafety"/>
    <w:p>
      <w:pPr>
        <w:pStyle w:val="Bibliography"/>
      </w:pPr>
      <w:r>
        <w:t xml:space="preserve">Bosona, Techane, and Girma Gebresenbet. 2023.</w:t>
      </w:r>
      <w:r>
        <w:t xml:space="preserve"> </w:t>
      </w:r>
      <w:r>
        <w:t xml:space="preserve">“The Role of Blockchain Technology in Promoting Traceability Systems in Agri-Food Production and Supply Chains.”</w:t>
      </w:r>
      <w:r>
        <w:t xml:space="preserve"> </w:t>
      </w:r>
      <w:r>
        <w:rPr>
          <w:iCs/>
          <w:i/>
        </w:rPr>
        <w:t xml:space="preserve">Sensors</w:t>
      </w:r>
      <w:r>
        <w:t xml:space="preserve"> </w:t>
      </w:r>
      <w:r>
        <w:t xml:space="preserve">23 (11): 5342.</w:t>
      </w:r>
      <w:r>
        <w:t xml:space="preserve"> </w:t>
      </w:r>
      <w:hyperlink r:id="rId96">
        <w:r>
          <w:rPr>
            <w:rStyle w:val="Hyperlink"/>
          </w:rPr>
          <w:t xml:space="preserve">https://doi.org/10.3390/s23115342</w:t>
        </w:r>
      </w:hyperlink>
      <w:r>
        <w:t xml:space="preserve">.</w:t>
      </w:r>
    </w:p>
    <w:bookmarkEnd w:id="97"/>
    <w:bookmarkStart w:id="99" w:name="ref-garcia2021sensorFailures"/>
    <w:p>
      <w:pPr>
        <w:pStyle w:val="Bibliography"/>
      </w:pPr>
      <w:r>
        <w:t xml:space="preserve">Botta, Alessio, Walter de Donato, Valerio Persico, and Antonio Pescapé. 2016.</w:t>
      </w:r>
      <w:r>
        <w:t xml:space="preserve"> </w:t>
      </w:r>
      <w:r>
        <w:t xml:space="preserve">“Integration of Cloud Computing and Internet of Things: A Survey.”</w:t>
      </w:r>
      <w:r>
        <w:t xml:space="preserve"> </w:t>
      </w:r>
      <w:r>
        <w:rPr>
          <w:iCs/>
          <w:i/>
        </w:rPr>
        <w:t xml:space="preserve">Future Generation Computer Systems</w:t>
      </w:r>
      <w:r>
        <w:t xml:space="preserve"> </w:t>
      </w:r>
      <w:r>
        <w:t xml:space="preserve">56: 684–700.</w:t>
      </w:r>
      <w:r>
        <w:t xml:space="preserve"> </w:t>
      </w:r>
      <w:hyperlink r:id="rId98">
        <w:r>
          <w:rPr>
            <w:rStyle w:val="Hyperlink"/>
          </w:rPr>
          <w:t xml:space="preserve">https://doi.org/10.1016/j.future.2015.09.021</w:t>
        </w:r>
      </w:hyperlink>
      <w:r>
        <w:t xml:space="preserve">.</w:t>
      </w:r>
    </w:p>
    <w:bookmarkEnd w:id="99"/>
    <w:bookmarkStart w:id="101" w:name="ref-mozambique2021lorawan"/>
    <w:p>
      <w:pPr>
        <w:pStyle w:val="Bibliography"/>
      </w:pPr>
      <w:r>
        <w:t xml:space="preserve">Bouaziz, Maha, Abderrezak Rachedi, and Aref Belghith. 2020.</w:t>
      </w:r>
      <w:r>
        <w:t xml:space="preserve"> </w:t>
      </w:r>
      <w:r>
        <w:t xml:space="preserve">“A Study of</w:t>
      </w:r>
      <w:r>
        <w:t xml:space="preserve"> </w:t>
      </w:r>
      <w:r>
        <w:t xml:space="preserve">LoRaWAN</w:t>
      </w:r>
      <w:r>
        <w:t xml:space="preserve"> </w:t>
      </w:r>
      <w:r>
        <w:t xml:space="preserve">Protocol Performance for</w:t>
      </w:r>
      <w:r>
        <w:t xml:space="preserve"> </w:t>
      </w:r>
      <w:r>
        <w:t xml:space="preserve">IoT</w:t>
      </w:r>
      <w:r>
        <w:t xml:space="preserve"> </w:t>
      </w:r>
      <w:r>
        <w:t xml:space="preserve">Applications in Smart Agriculture.”</w:t>
      </w:r>
      <w:r>
        <w:t xml:space="preserve"> </w:t>
      </w:r>
      <w:r>
        <w:rPr>
          <w:iCs/>
          <w:i/>
        </w:rPr>
        <w:t xml:space="preserve">Computer Communications</w:t>
      </w:r>
      <w:r>
        <w:t xml:space="preserve"> </w:t>
      </w:r>
      <w:r>
        <w:t xml:space="preserve">164: 148–57.</w:t>
      </w:r>
      <w:r>
        <w:t xml:space="preserve"> </w:t>
      </w:r>
      <w:hyperlink r:id="rId100">
        <w:r>
          <w:rPr>
            <w:rStyle w:val="Hyperlink"/>
          </w:rPr>
          <w:t xml:space="preserve">https://doi.org/10.1016/j.comcom.2020.10.009</w:t>
        </w:r>
      </w:hyperlink>
      <w:r>
        <w:t xml:space="preserve">.</w:t>
      </w:r>
    </w:p>
    <w:bookmarkEnd w:id="101"/>
    <w:bookmarkStart w:id="103" w:name="ref-mdpi_tunisia_tomato"/>
    <w:p>
      <w:pPr>
        <w:pStyle w:val="Bibliography"/>
      </w:pPr>
      <w:r>
        <w:t xml:space="preserve">Boukhriss, Monia, Arwa Marzouk, Ines Cherif, Badr Gaalich, Tarek Triki, and Nihed Zoghlami. 2021.</w:t>
      </w:r>
      <w:r>
        <w:t xml:space="preserve"> </w:t>
      </w:r>
      <w:r>
        <w:t xml:space="preserve">“Effects of Water Deficit on Growth, Physiology and Fruit Quality Traits of Two Contrasting Tomato (</w:t>
      </w:r>
      <w:r>
        <w:t xml:space="preserve">Solanum lycopersicum</w:t>
      </w:r>
      <w:r>
        <w:t xml:space="preserve"> </w:t>
      </w:r>
      <w:r>
        <w:t xml:space="preserve">l.) Genotypes.”</w:t>
      </w:r>
      <w:r>
        <w:t xml:space="preserve"> </w:t>
      </w:r>
      <w:r>
        <w:rPr>
          <w:iCs/>
          <w:i/>
        </w:rPr>
        <w:t xml:space="preserve">Agriculture</w:t>
      </w:r>
      <w:r>
        <w:t xml:space="preserve"> </w:t>
      </w:r>
      <w:r>
        <w:t xml:space="preserve">11 (10): 927.</w:t>
      </w:r>
      <w:r>
        <w:t xml:space="preserve"> </w:t>
      </w:r>
      <w:hyperlink r:id="rId102">
        <w:r>
          <w:rPr>
            <w:rStyle w:val="Hyperlink"/>
          </w:rPr>
          <w:t xml:space="preserve">https://doi.org/10.3390/agriculture11100927</w:t>
        </w:r>
      </w:hyperlink>
      <w:r>
        <w:t xml:space="preserve">.</w:t>
      </w:r>
    </w:p>
    <w:bookmarkEnd w:id="103"/>
    <w:bookmarkStart w:id="104" w:name="ref-brewer2000towards"/>
    <w:p>
      <w:pPr>
        <w:pStyle w:val="Bibliography"/>
      </w:pPr>
      <w:r>
        <w:t xml:space="preserve">Brewer, Eric A. 2000.</w:t>
      </w:r>
      <w:r>
        <w:t xml:space="preserve"> </w:t>
      </w:r>
      <w:r>
        <w:t xml:space="preserve">“Towards Robust Distributed Systems.”</w:t>
      </w:r>
      <w:r>
        <w:t xml:space="preserve"> </w:t>
      </w:r>
      <w:r>
        <w:t xml:space="preserve">In</w:t>
      </w:r>
      <w:r>
        <w:t xml:space="preserve"> </w:t>
      </w:r>
      <w:r>
        <w:rPr>
          <w:iCs/>
          <w:i/>
        </w:rPr>
        <w:t xml:space="preserve">Proceedings of the 19th Annual ACM Symposium on Principles of Distributed Computing (PODC)</w:t>
      </w:r>
      <w:r>
        <w:t xml:space="preserve">, 7.</w:t>
      </w:r>
    </w:p>
    <w:bookmarkEnd w:id="104"/>
    <w:bookmarkStart w:id="106" w:name="ref-khan2023fuzzycrt"/>
    <w:p>
      <w:pPr>
        <w:pStyle w:val="Bibliography"/>
      </w:pPr>
      <w:r>
        <w:t xml:space="preserve">Buttigieg, Victor, Reuben A. Farrugia, and Christoph Zammit-Mangion. 2014.</w:t>
      </w:r>
      <w:r>
        <w:t xml:space="preserve"> </w:t>
      </w:r>
      <w:r>
        <w:t xml:space="preserve">“Improving Lifetime in Wireless Sensor Networks Using the Residue Number System.”</w:t>
      </w:r>
      <w:r>
        <w:t xml:space="preserve"> </w:t>
      </w:r>
      <w:r>
        <w:rPr>
          <w:iCs/>
          <w:i/>
        </w:rPr>
        <w:t xml:space="preserve">IET Wireless Sensor Systems</w:t>
      </w:r>
      <w:r>
        <w:t xml:space="preserve"> </w:t>
      </w:r>
      <w:r>
        <w:t xml:space="preserve">4 (2): 73–79.</w:t>
      </w:r>
      <w:r>
        <w:t xml:space="preserve"> </w:t>
      </w:r>
      <w:hyperlink r:id="rId105">
        <w:r>
          <w:rPr>
            <w:rStyle w:val="Hyperlink"/>
          </w:rPr>
          <w:t xml:space="preserve">https://doi.org/10.1049/iet-wss.2013.0025</w:t>
        </w:r>
      </w:hyperlink>
      <w:r>
        <w:t xml:space="preserve">.</w:t>
      </w:r>
    </w:p>
    <w:bookmarkEnd w:id="106"/>
    <w:bookmarkStart w:id="107" w:name="ref-castro1999practical"/>
    <w:p>
      <w:pPr>
        <w:pStyle w:val="Bibliography"/>
      </w:pPr>
      <w:r>
        <w:t xml:space="preserve">Castro, Miguel, and Barbara Liskov. 1999.</w:t>
      </w:r>
      <w:r>
        <w:t xml:space="preserve"> </w:t>
      </w:r>
      <w:r>
        <w:t xml:space="preserve">“Practical Byzantine Fault Tolerance.”</w:t>
      </w:r>
      <w:r>
        <w:t xml:space="preserve"> </w:t>
      </w:r>
      <w:r>
        <w:t xml:space="preserve">In</w:t>
      </w:r>
      <w:r>
        <w:t xml:space="preserve"> </w:t>
      </w:r>
      <w:r>
        <w:rPr>
          <w:iCs/>
          <w:i/>
        </w:rPr>
        <w:t xml:space="preserve">Proceedings of the Third Symposium on Operating Systems Design and Implementation (OSDI)</w:t>
      </w:r>
      <w:r>
        <w:t xml:space="preserve">, 173–86.</w:t>
      </w:r>
    </w:p>
    <w:bookmarkEnd w:id="107"/>
    <w:bookmarkStart w:id="108" w:name="ref-centenaro2016lorawanlimits"/>
    <w:p>
      <w:pPr>
        <w:pStyle w:val="Bibliography"/>
      </w:pPr>
      <w:r>
        <w:t xml:space="preserve">Centenaro, Marco, Lorenzo Vangelista, Andrea Zanella, and Michele Zorzi. 2016.</w:t>
      </w:r>
      <w:r>
        <w:t xml:space="preserve"> </w:t>
      </w:r>
      <w:r>
        <w:t xml:space="preserve">“Long-Range Communications in Unlicensed Bands: The LoRa Technology.”</w:t>
      </w:r>
      <w:r>
        <w:t xml:space="preserve"> </w:t>
      </w:r>
      <w:r>
        <w:rPr>
          <w:iCs/>
          <w:i/>
        </w:rPr>
        <w:t xml:space="preserve">IEEE Wireless Communications</w:t>
      </w:r>
      <w:r>
        <w:t xml:space="preserve"> </w:t>
      </w:r>
      <w:r>
        <w:t xml:space="preserve">23 (5): 12–18.</w:t>
      </w:r>
    </w:p>
    <w:bookmarkEnd w:id="108"/>
    <w:bookmarkStart w:id="110" w:name="ref-chapungo2025lorawan"/>
    <w:p>
      <w:pPr>
        <w:pStyle w:val="Bibliography"/>
      </w:pPr>
      <w:r>
        <w:t xml:space="preserve">Chapungo, Nelson José, and Octavian Postolache. 2025.</w:t>
      </w:r>
      <w:r>
        <w:t xml:space="preserve"> </w:t>
      </w:r>
      <w:r>
        <w:t xml:space="preserve">“Experimental Evaluation of LoRaWAN Connectivity Reliability in Remote Rural Areas of Mozambique.”</w:t>
      </w:r>
      <w:r>
        <w:t xml:space="preserve"> </w:t>
      </w:r>
      <w:r>
        <w:rPr>
          <w:iCs/>
          <w:i/>
        </w:rPr>
        <w:t xml:space="preserve">Sensors</w:t>
      </w:r>
      <w:r>
        <w:t xml:space="preserve"> </w:t>
      </w:r>
      <w:r>
        <w:t xml:space="preserve">25 (19): 6027.</w:t>
      </w:r>
      <w:r>
        <w:t xml:space="preserve"> </w:t>
      </w:r>
      <w:hyperlink r:id="rId109">
        <w:r>
          <w:rPr>
            <w:rStyle w:val="Hyperlink"/>
          </w:rPr>
          <w:t xml:space="preserve">https://doi.org/10.3390/s25196027</w:t>
        </w:r>
      </w:hyperlink>
      <w:r>
        <w:t xml:space="preserve">.</w:t>
      </w:r>
    </w:p>
    <w:bookmarkEnd w:id="110"/>
    <w:bookmarkStart w:id="112" w:name="ref-chlingaryan2018machine"/>
    <w:p>
      <w:pPr>
        <w:pStyle w:val="Bibliography"/>
      </w:pPr>
      <w:r>
        <w:t xml:space="preserve">Chlingaryan, Anna, Salah Sukkarieh, and Brett Whelan. 2018.</w:t>
      </w:r>
      <w:r>
        <w:t xml:space="preserve"> </w:t>
      </w:r>
      <w:r>
        <w:t xml:space="preserve">“Machine Learning Approaches for Crop Yield Prediction and Nitrogen Status Estimation in Precision Agriculture: A Review.”</w:t>
      </w:r>
      <w:r>
        <w:t xml:space="preserve"> </w:t>
      </w:r>
      <w:r>
        <w:rPr>
          <w:iCs/>
          <w:i/>
        </w:rPr>
        <w:t xml:space="preserve">Computers and Electronics in Agriculture</w:t>
      </w:r>
      <w:r>
        <w:t xml:space="preserve"> </w:t>
      </w:r>
      <w:r>
        <w:t xml:space="preserve">151: 61–69.</w:t>
      </w:r>
      <w:r>
        <w:t xml:space="preserve"> </w:t>
      </w:r>
      <w:hyperlink r:id="rId111">
        <w:r>
          <w:rPr>
            <w:rStyle w:val="Hyperlink"/>
          </w:rPr>
          <w:t xml:space="preserve">https://doi.org/10.1016/j.compag.2018.05.012</w:t>
        </w:r>
      </w:hyperlink>
      <w:r>
        <w:t xml:space="preserve">.</w:t>
      </w:r>
    </w:p>
    <w:bookmarkEnd w:id="112"/>
    <w:bookmarkStart w:id="113" w:name="ref-christidis2016blockchain"/>
    <w:p>
      <w:pPr>
        <w:pStyle w:val="Bibliography"/>
      </w:pPr>
      <w:r>
        <w:t xml:space="preserve">Christidis, Konstantinos, and Michael Devetsikiotis. 2016.</w:t>
      </w:r>
      <w:r>
        <w:t xml:space="preserve"> </w:t>
      </w:r>
      <w:r>
        <w:t xml:space="preserve">“Blockchains and Smart Contracts for the Internet of Things.”</w:t>
      </w:r>
      <w:r>
        <w:t xml:space="preserve"> </w:t>
      </w:r>
      <w:r>
        <w:rPr>
          <w:iCs/>
          <w:i/>
        </w:rPr>
        <w:t xml:space="preserve">IEEE Access</w:t>
      </w:r>
      <w:r>
        <w:t xml:space="preserve"> </w:t>
      </w:r>
      <w:r>
        <w:t xml:space="preserve">4: 2292–2303.</w:t>
      </w:r>
    </w:p>
    <w:bookmarkEnd w:id="113"/>
    <w:bookmarkStart w:id="115" w:name="ref-lzw_dictionary_size"/>
    <w:p>
      <w:pPr>
        <w:pStyle w:val="Bibliography"/>
      </w:pPr>
      <w:r>
        <w:t xml:space="preserve">Community, Stack Overflow. 2016.</w:t>
      </w:r>
      <w:r>
        <w:t xml:space="preserve"> </w:t>
      </w:r>
      <w:r>
        <w:t xml:space="preserve">“What If Dictionary Size in LZW Algorithm Is Full?”</w:t>
      </w:r>
      <w:r>
        <w:t xml:space="preserve"> Stack Overflow.</w:t>
      </w:r>
      <w:r>
        <w:t xml:space="preserve"> </w:t>
      </w:r>
      <w:hyperlink r:id="rId114">
        <w:r>
          <w:rPr>
            <w:rStyle w:val="Hyperlink"/>
          </w:rPr>
          <w:t xml:space="preserve">https://stackoverflow.com/questions/40054218/what-if-dictionary-size-in-lzw-algorithm-is-full</w:t>
        </w:r>
      </w:hyperlink>
      <w:r>
        <w:t xml:space="preserve">.</w:t>
      </w:r>
    </w:p>
    <w:bookmarkEnd w:id="115"/>
    <w:bookmarkStart w:id="117" w:name="ref-benali2024tunisiaWater"/>
    <w:p>
      <w:pPr>
        <w:pStyle w:val="Bibliography"/>
      </w:pPr>
      <w:r>
        <w:t xml:space="preserve">Dhaouadi, Latifa, Houda Besser, and Fatma Wassar. 2020.</w:t>
      </w:r>
      <w:r>
        <w:t xml:space="preserve"> </w:t>
      </w:r>
      <w:r>
        <w:t xml:space="preserve">“Agriculture Sustainability in Arid Lands of Southern</w:t>
      </w:r>
      <w:r>
        <w:t xml:space="preserve"> </w:t>
      </w:r>
      <w:r>
        <w:t xml:space="preserve">Tunisia</w:t>
      </w:r>
      <w:r>
        <w:t xml:space="preserve">: Ecological Impacts of Irrigation Water Quality and Human Practices.”</w:t>
      </w:r>
      <w:r>
        <w:t xml:space="preserve"> </w:t>
      </w:r>
      <w:r>
        <w:rPr>
          <w:iCs/>
          <w:i/>
        </w:rPr>
        <w:t xml:space="preserve">Irrigation and Drainage</w:t>
      </w:r>
      <w:r>
        <w:t xml:space="preserve"> </w:t>
      </w:r>
      <w:r>
        <w:t xml:space="preserve">69: 974–96.</w:t>
      </w:r>
      <w:r>
        <w:t xml:space="preserve"> </w:t>
      </w:r>
      <w:hyperlink r:id="rId116">
        <w:r>
          <w:rPr>
            <w:rStyle w:val="Hyperlink"/>
          </w:rPr>
          <w:t xml:space="preserve">https://doi.org/10.1002/ird.2492</w:t>
        </w:r>
      </w:hyperlink>
      <w:r>
        <w:t xml:space="preserve">.</w:t>
      </w:r>
    </w:p>
    <w:bookmarkEnd w:id="117"/>
    <w:bookmarkStart w:id="119"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118">
        <w:r>
          <w:rPr>
            <w:rStyle w:val="Hyperlink"/>
          </w:rPr>
          <w:t xml:space="preserve">https://doi.org/10.1142/2893</w:t>
        </w:r>
      </w:hyperlink>
      <w:r>
        <w:t xml:space="preserve">.</w:t>
      </w:r>
    </w:p>
    <w:bookmarkEnd w:id="119"/>
    <w:bookmarkStart w:id="121" w:name="ref-mdpiAccessControl"/>
    <w:p>
      <w:pPr>
        <w:pStyle w:val="Bibliography"/>
      </w:pPr>
      <w:r>
        <w:t xml:space="preserve">Długosz, Pawel et al. 2022.</w:t>
      </w:r>
      <w:r>
        <w:t xml:space="preserve"> </w:t>
      </w:r>
      <w:r>
        <w:t xml:space="preserve">“Hyperledger Fabric Access Control System for IoT Layer in Blockchain-Based Applications.”</w:t>
      </w:r>
      <w:r>
        <w:t xml:space="preserve"> </w:t>
      </w:r>
      <w:r>
        <w:rPr>
          <w:iCs/>
          <w:i/>
        </w:rPr>
        <w:t xml:space="preserve">Sensors</w:t>
      </w:r>
      <w:r>
        <w:t xml:space="preserve"> </w:t>
      </w:r>
      <w:r>
        <w:t xml:space="preserve">22 (20): 5981–95.</w:t>
      </w:r>
      <w:r>
        <w:t xml:space="preserve"> </w:t>
      </w:r>
      <w:hyperlink r:id="rId120">
        <w:r>
          <w:rPr>
            <w:rStyle w:val="Hyperlink"/>
          </w:rPr>
          <w:t xml:space="preserve">https://doi.org/10.3390/s22205981</w:t>
        </w:r>
      </w:hyperlink>
      <w:r>
        <w:t xml:space="preserve">.</w:t>
      </w:r>
    </w:p>
    <w:bookmarkEnd w:id="121"/>
    <w:bookmarkStart w:id="123"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122">
        <w:r>
          <w:rPr>
            <w:rStyle w:val="Hyperlink"/>
          </w:rPr>
          <w:t xml:space="preserve">https://doi.org/10.1016/j.agwat.2010.01.025</w:t>
        </w:r>
      </w:hyperlink>
      <w:r>
        <w:t xml:space="preserve">.</w:t>
      </w:r>
    </w:p>
    <w:bookmarkEnd w:id="123"/>
    <w:bookmarkStart w:id="125" w:name="ref-dorri2017blockchain"/>
    <w:p>
      <w:pPr>
        <w:pStyle w:val="Bibliography"/>
      </w:pPr>
      <w:r>
        <w:t xml:space="preserve">Dorri, Ali, Salil S. Kanhere, and Raja Jurdak. 2017a.</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24">
        <w:r>
          <w:rPr>
            <w:rStyle w:val="Hyperlink"/>
          </w:rPr>
          <w:t xml:space="preserve">https://doi.org/10.1109/COMST.2017.2694144</w:t>
        </w:r>
      </w:hyperlink>
      <w:r>
        <w:t xml:space="preserve">.</w:t>
      </w:r>
    </w:p>
    <w:bookmarkEnd w:id="125"/>
    <w:bookmarkStart w:id="126" w:name="ref-anderson2021iotBlockchain"/>
    <w:p>
      <w:pPr>
        <w:pStyle w:val="Bibliography"/>
      </w:pPr>
      <w:r>
        <w:t xml:space="preserve">———. 2017b.</w:t>
      </w:r>
      <w:r>
        <w:t xml:space="preserve"> </w:t>
      </w:r>
      <w:r>
        <w:t xml:space="preserve">“Blockchain in Internet of Things: Challenges and Solutions.”</w:t>
      </w:r>
      <w:r>
        <w:t xml:space="preserve"> </w:t>
      </w:r>
      <w:r>
        <w:rPr>
          <w:iCs/>
          <w:i/>
        </w:rPr>
        <w:t xml:space="preserve">IEEE Communications Surveys &amp; Tutorials</w:t>
      </w:r>
      <w:r>
        <w:t xml:space="preserve"> </w:t>
      </w:r>
      <w:r>
        <w:t xml:space="preserve">19 (3): 1397–1408.</w:t>
      </w:r>
      <w:r>
        <w:t xml:space="preserve"> </w:t>
      </w:r>
      <w:hyperlink r:id="rId124">
        <w:r>
          <w:rPr>
            <w:rStyle w:val="Hyperlink"/>
          </w:rPr>
          <w:t xml:space="preserve">https://doi.org/10.1109/COMST.2017.2694144</w:t>
        </w:r>
      </w:hyperlink>
      <w:r>
        <w:t xml:space="preserve">.</w:t>
      </w:r>
    </w:p>
    <w:bookmarkEnd w:id="126"/>
    <w:bookmarkStart w:id="128" w:name="ref-nguyen2019blockchain"/>
    <w:p>
      <w:pPr>
        <w:pStyle w:val="Bibliography"/>
      </w:pPr>
      <w:r>
        <w:t xml:space="preserve">Dorri, Ali, Salil S. Kanhere, Raja Jurdak, and Praveen Gauravaram. 2017.</w:t>
      </w:r>
      <w:r>
        <w:t xml:space="preserve"> </w:t>
      </w:r>
      <w:r>
        <w:t xml:space="preserve">“Blockchain for</w:t>
      </w:r>
      <w:r>
        <w:t xml:space="preserve"> </w:t>
      </w:r>
      <w:r>
        <w:t xml:space="preserve">IoT</w:t>
      </w:r>
      <w:r>
        <w:t xml:space="preserve"> </w:t>
      </w:r>
      <w:r>
        <w:t xml:space="preserve">Security and Privacy: The Case Study of a Smart Home.”</w:t>
      </w:r>
      <w:r>
        <w:t xml:space="preserve"> </w:t>
      </w:r>
      <w:r>
        <w:rPr>
          <w:iCs/>
          <w:i/>
        </w:rPr>
        <w:t xml:space="preserve">2017 IEEE International Conference on Pervasive Computing and Communications Workshops (PerCom Workshops)</w:t>
      </w:r>
      <w:r>
        <w:t xml:space="preserve">, 618–23.</w:t>
      </w:r>
      <w:r>
        <w:t xml:space="preserve"> </w:t>
      </w:r>
      <w:hyperlink r:id="rId127">
        <w:r>
          <w:rPr>
            <w:rStyle w:val="Hyperlink"/>
          </w:rPr>
          <w:t xml:space="preserve">https://doi.org/10.1109/PERCOMW.2017.7917634</w:t>
        </w:r>
      </w:hyperlink>
      <w:r>
        <w:t xml:space="preserve">.</w:t>
      </w:r>
    </w:p>
    <w:bookmarkEnd w:id="128"/>
    <w:bookmarkStart w:id="130" w:name="ref-esp_hal_cache"/>
    <w:p>
      <w:pPr>
        <w:pStyle w:val="Bibliography"/>
      </w:pPr>
      <w:r>
        <w:t xml:space="preserve">esp-rs Project. 2025.</w:t>
      </w:r>
      <w:r>
        <w:t xml:space="preserve"> </w:t>
      </w:r>
      <w:r>
        <w:t xml:space="preserve">“Cache Management and Memory Barriers: Esp-Hal Documentation.”</w:t>
      </w:r>
      <w:r>
        <w:t xml:space="preserve"> </w:t>
      </w:r>
      <w:r>
        <w:t xml:space="preserve">DeepWiki.</w:t>
      </w:r>
      <w:r>
        <w:t xml:space="preserve"> </w:t>
      </w:r>
      <w:hyperlink r:id="rId129">
        <w:r>
          <w:rPr>
            <w:rStyle w:val="Hyperlink"/>
          </w:rPr>
          <w:t xml:space="preserve">https://deepwiki.com/esp-rs/esp-hal/8.3-cache-management-and-memory-barriers</w:t>
        </w:r>
      </w:hyperlink>
      <w:r>
        <w:t xml:space="preserve">.</w:t>
      </w:r>
    </w:p>
    <w:bookmarkEnd w:id="130"/>
    <w:bookmarkStart w:id="131" w:name="ref-evans2008precision"/>
    <w:p>
      <w:pPr>
        <w:pStyle w:val="Bibliography"/>
      </w:pPr>
      <w:r>
        <w:t xml:space="preserve">Evans, R. G., W. M. Iversen, and Y. Kim. 2008.</w:t>
      </w:r>
      <w:r>
        <w:t xml:space="preserve"> </w:t>
      </w:r>
      <w:r>
        <w:t xml:space="preserve">“Integration of Wireless Sensor Network with Variable Rate Irrigation Technology.”</w:t>
      </w:r>
      <w:r>
        <w:t xml:space="preserve"> </w:t>
      </w:r>
      <w:r>
        <w:rPr>
          <w:iCs/>
          <w:i/>
        </w:rPr>
        <w:t xml:space="preserve">Proceedings of the ASABE Annual International Meeting</w:t>
      </w:r>
      <w:r>
        <w:t xml:space="preserve"> </w:t>
      </w:r>
      <w:r>
        <w:t xml:space="preserve">12: 1–13.</w:t>
      </w:r>
    </w:p>
    <w:bookmarkEnd w:id="131"/>
    <w:bookmarkStart w:id="133" w:name="ref-hassan2019iotSecurity"/>
    <w:p>
      <w:pPr>
        <w:pStyle w:val="Bibliography"/>
      </w:pPr>
      <w:r>
        <w:t xml:space="preserve">Farooq, M. S., Shamyla Riaz, Adnan Abid, Kashif Abid, and M. A. Naeem. 2019.</w:t>
      </w:r>
      <w:r>
        <w:t xml:space="preserve"> </w:t>
      </w:r>
      <w:r>
        <w:t xml:space="preserve">“A Survey on the Role of</w:t>
      </w:r>
      <w:r>
        <w:t xml:space="preserve"> </w:t>
      </w:r>
      <w:r>
        <w:t xml:space="preserve">IoT</w:t>
      </w:r>
      <w:r>
        <w:t xml:space="preserve"> </w:t>
      </w:r>
      <w:r>
        <w:t xml:space="preserve">in Agriculture for the Implementation of Smart Farming.”</w:t>
      </w:r>
      <w:r>
        <w:t xml:space="preserve"> </w:t>
      </w:r>
      <w:r>
        <w:rPr>
          <w:iCs/>
          <w:i/>
        </w:rPr>
        <w:t xml:space="preserve">IEEE Access</w:t>
      </w:r>
      <w:r>
        <w:t xml:space="preserve"> </w:t>
      </w:r>
      <w:r>
        <w:t xml:space="preserve">7: 156237–71.</w:t>
      </w:r>
      <w:r>
        <w:t xml:space="preserve"> </w:t>
      </w:r>
      <w:hyperlink r:id="rId132">
        <w:r>
          <w:rPr>
            <w:rStyle w:val="Hyperlink"/>
          </w:rPr>
          <w:t xml:space="preserve">https://doi.org/10.1109/ACCESS.2019.2949703</w:t>
        </w:r>
      </w:hyperlink>
      <w:r>
        <w:t xml:space="preserve">.</w:t>
      </w:r>
    </w:p>
    <w:bookmarkEnd w:id="133"/>
    <w:bookmarkStart w:id="135" w:name="ref-adeloye2021tunisiaAgro"/>
    <w:p>
      <w:pPr>
        <w:pStyle w:val="Bibliography"/>
      </w:pPr>
      <w:r>
        <w:t xml:space="preserve">Fereres, Elias, and María Auxiliadora Soriano. 2007.</w:t>
      </w:r>
      <w:r>
        <w:t xml:space="preserve"> </w:t>
      </w:r>
      <w:r>
        <w:t xml:space="preserve">“Deficit Irrigation for Reducing Agricultural Water Use.”</w:t>
      </w:r>
      <w:r>
        <w:t xml:space="preserve"> </w:t>
      </w:r>
      <w:r>
        <w:rPr>
          <w:iCs/>
          <w:i/>
        </w:rPr>
        <w:t xml:space="preserve">Journal of Experimental Botany</w:t>
      </w:r>
      <w:r>
        <w:t xml:space="preserve"> </w:t>
      </w:r>
      <w:r>
        <w:t xml:space="preserve">58 (2): 147–59.</w:t>
      </w:r>
      <w:r>
        <w:t xml:space="preserve"> </w:t>
      </w:r>
      <w:hyperlink r:id="rId134">
        <w:r>
          <w:rPr>
            <w:rStyle w:val="Hyperlink"/>
          </w:rPr>
          <w:t xml:space="preserve">https://doi.org/10.1093/jxb/erl165</w:t>
        </w:r>
      </w:hyperlink>
      <w:r>
        <w:t xml:space="preserve">.</w:t>
      </w:r>
    </w:p>
    <w:bookmarkEnd w:id="135"/>
    <w:bookmarkStart w:id="137" w:name="ref-ferrag2020blockchain"/>
    <w:p>
      <w:pPr>
        <w:pStyle w:val="Bibliography"/>
      </w:pPr>
      <w:r>
        <w:t xml:space="preserve">Ferrag, M. A., L. Shu, and M. Debbah. 2020.</w:t>
      </w:r>
      <w:r>
        <w:t xml:space="preserve"> </w:t>
      </w:r>
      <w:r>
        <w:t xml:space="preserve">“Blockchain Technologies for the Internet of Things: Research Issues and Challenges.”</w:t>
      </w:r>
      <w:r>
        <w:t xml:space="preserve"> </w:t>
      </w:r>
      <w:r>
        <w:rPr>
          <w:iCs/>
          <w:i/>
        </w:rPr>
        <w:t xml:space="preserve">IEEE Internet of Things Journal</w:t>
      </w:r>
      <w:r>
        <w:t xml:space="preserve"> </w:t>
      </w:r>
      <w:r>
        <w:t xml:space="preserve">7 (10): 10288–313.</w:t>
      </w:r>
      <w:r>
        <w:t xml:space="preserve"> </w:t>
      </w:r>
      <w:hyperlink r:id="rId136">
        <w:r>
          <w:rPr>
            <w:rStyle w:val="Hyperlink"/>
          </w:rPr>
          <w:t xml:space="preserve">https://doi.org/10.1109/JIOT.2020.2984478</w:t>
        </w:r>
      </w:hyperlink>
      <w:r>
        <w:t xml:space="preserve">.</w:t>
      </w:r>
    </w:p>
    <w:bookmarkEnd w:id="137"/>
    <w:bookmarkStart w:id="139" w:name="ref-ferrag2020security"/>
    <w:p>
      <w:pPr>
        <w:pStyle w:val="Bibliography"/>
      </w:pPr>
      <w:r>
        <w:t xml:space="preserve">Ferrag, Mohamed Amine, Lei Shu, Xianjun Yang, Abdelouahid Derhab, and Leandros Maglaras. 2020.</w:t>
      </w:r>
      <w:r>
        <w:t xml:space="preserve"> </w:t>
      </w:r>
      <w:r>
        <w:t xml:space="preserve">“Security and Privacy for Green IoT-Based Agriculture: Review, Blockchain Solutions, and Challenges.”</w:t>
      </w:r>
      <w:r>
        <w:t xml:space="preserve"> </w:t>
      </w:r>
      <w:r>
        <w:rPr>
          <w:iCs/>
          <w:i/>
        </w:rPr>
        <w:t xml:space="preserve">IEEE Access</w:t>
      </w:r>
      <w:r>
        <w:t xml:space="preserve"> </w:t>
      </w:r>
      <w:r>
        <w:t xml:space="preserve">8: 32031–53.</w:t>
      </w:r>
      <w:r>
        <w:t xml:space="preserve"> </w:t>
      </w:r>
      <w:hyperlink r:id="rId138">
        <w:r>
          <w:rPr>
            <w:rStyle w:val="Hyperlink"/>
          </w:rPr>
          <w:t xml:space="preserve">https://doi.org/10.1109/ACCESS.2020.2973178</w:t>
        </w:r>
      </w:hyperlink>
      <w:r>
        <w:t xml:space="preserve">.</w:t>
      </w:r>
    </w:p>
    <w:bookmarkEnd w:id="139"/>
    <w:bookmarkStart w:id="141" w:name="ref-knight2025iotResilience"/>
    <w:p>
      <w:pPr>
        <w:pStyle w:val="Bibliography"/>
      </w:pPr>
      <w:r>
        <w:t xml:space="preserve">Ferrandez-Pastor, Francisco-Javier, Juan-Manuel Garcia-Chamizo, Mario Nieto-Hidalgo, Joselito Mora-Pascual, and Jose Mora-Martinez. 2016.</w:t>
      </w:r>
      <w:r>
        <w:t xml:space="preserve"> </w:t>
      </w:r>
      <w:r>
        <w:t xml:space="preserve">“Developing Ubiquitous Sensor Network Platform Using</w:t>
      </w:r>
      <w:r>
        <w:t xml:space="preserve"> </w:t>
      </w:r>
      <w:r>
        <w:t xml:space="preserve">Internet of Things</w:t>
      </w:r>
      <w:r>
        <w:t xml:space="preserve">: Application in Precision Agriculture.”</w:t>
      </w:r>
      <w:r>
        <w:t xml:space="preserve"> </w:t>
      </w:r>
      <w:r>
        <w:rPr>
          <w:iCs/>
          <w:i/>
        </w:rPr>
        <w:t xml:space="preserve">Sensors</w:t>
      </w:r>
      <w:r>
        <w:t xml:space="preserve"> </w:t>
      </w:r>
      <w:r>
        <w:t xml:space="preserve">16 (7): 1141.</w:t>
      </w:r>
      <w:r>
        <w:t xml:space="preserve"> </w:t>
      </w:r>
      <w:hyperlink r:id="rId140">
        <w:r>
          <w:rPr>
            <w:rStyle w:val="Hyperlink"/>
          </w:rPr>
          <w:t xml:space="preserve">https://doi.org/10.3390/s16071141</w:t>
        </w:r>
      </w:hyperlink>
      <w:r>
        <w:t xml:space="preserve">.</w:t>
      </w:r>
    </w:p>
    <w:bookmarkEnd w:id="141"/>
    <w:bookmarkStart w:id="142" w:name="ref-fao_tomato_guide"/>
    <w:p>
      <w:pPr>
        <w:pStyle w:val="Bibliography"/>
      </w:pPr>
      <w:r>
        <w:t xml:space="preserve">Food and Agriculture Organization. 2013.</w:t>
      </w:r>
      <w:r>
        <w:t xml:space="preserve"> </w:t>
      </w:r>
      <w:r>
        <w:t xml:space="preserve">“Good Agricultural Practices for Greenhouse Tomato Production.”</w:t>
      </w:r>
      <w:r>
        <w:t xml:space="preserve"> </w:t>
      </w:r>
      <w:r>
        <w:t xml:space="preserve">FAO Plant Production and Protection Paper.</w:t>
      </w:r>
    </w:p>
    <w:bookmarkEnd w:id="142"/>
    <w:bookmarkStart w:id="144" w:name="ref-fao2050"/>
    <w:p>
      <w:pPr>
        <w:pStyle w:val="Bibliography"/>
      </w:pPr>
      <w:r>
        <w:t xml:space="preserve">Food and Agriculture Organization of the United Nations. 2017.</w:t>
      </w:r>
      <w:r>
        <w:t xml:space="preserve"> </w:t>
      </w:r>
      <w:r>
        <w:t xml:space="preserve">“The Future of Food and Agriculture: Trends and Challenges.”</w:t>
      </w:r>
      <w:r>
        <w:t xml:space="preserve"> </w:t>
      </w:r>
      <w:hyperlink r:id="rId143">
        <w:r>
          <w:rPr>
            <w:rStyle w:val="Hyperlink"/>
          </w:rPr>
          <w:t xml:space="preserve">http://www.fao.org/3/a-i6583e.pdf</w:t>
        </w:r>
      </w:hyperlink>
      <w:r>
        <w:t xml:space="preserve">.</w:t>
      </w:r>
    </w:p>
    <w:bookmarkEnd w:id="144"/>
    <w:bookmarkStart w:id="146" w:name="ref-rahman2019agriSecurity"/>
    <w:p>
      <w:pPr>
        <w:pStyle w:val="Bibliography"/>
      </w:pPr>
      <w:r>
        <w:t xml:space="preserve">Frustaci, Mario, Pasquale Pace, Gianluca Aloi, and Giancarlo Fortino. 2018.</w:t>
      </w:r>
      <w:r>
        <w:t xml:space="preserve"> </w:t>
      </w:r>
      <w:r>
        <w:t xml:space="preserve">“Evaluating Critical Security Issues of the</w:t>
      </w:r>
      <w:r>
        <w:t xml:space="preserve"> </w:t>
      </w:r>
      <w:r>
        <w:t xml:space="preserve">IoT</w:t>
      </w:r>
      <w:r>
        <w:t xml:space="preserve"> </w:t>
      </w:r>
      <w:r>
        <w:t xml:space="preserve">World: Present and Future Challenges.”</w:t>
      </w:r>
      <w:r>
        <w:t xml:space="preserve"> </w:t>
      </w:r>
      <w:r>
        <w:rPr>
          <w:iCs/>
          <w:i/>
        </w:rPr>
        <w:t xml:space="preserve">IEEE Internet of Things Journal</w:t>
      </w:r>
      <w:r>
        <w:t xml:space="preserve"> </w:t>
      </w:r>
      <w:r>
        <w:t xml:space="preserve">5 (4): 2483–95.</w:t>
      </w:r>
      <w:r>
        <w:t xml:space="preserve"> </w:t>
      </w:r>
      <w:hyperlink r:id="rId145">
        <w:r>
          <w:rPr>
            <w:rStyle w:val="Hyperlink"/>
          </w:rPr>
          <w:t xml:space="preserve">https://doi.org/10.1109/JIOT.2017.2767291</w:t>
        </w:r>
      </w:hyperlink>
      <w:r>
        <w:t xml:space="preserve">.</w:t>
      </w:r>
    </w:p>
    <w:bookmarkEnd w:id="146"/>
    <w:bookmarkStart w:id="148" w:name="ref-galvez2018future"/>
    <w:p>
      <w:pPr>
        <w:pStyle w:val="Bibliography"/>
      </w:pPr>
      <w:r>
        <w:t xml:space="preserve">Galvez, Juan F., Javier Mejuto, and Jesus Simal-Gandara. 2018.</w:t>
      </w:r>
      <w:r>
        <w:t xml:space="preserve"> </w:t>
      </w:r>
      <w:r>
        <w:t xml:space="preserve">“Future Challenges on the Use of Blockchain for Food Traceability Analysis.”</w:t>
      </w:r>
      <w:r>
        <w:t xml:space="preserve"> </w:t>
      </w:r>
      <w:r>
        <w:rPr>
          <w:iCs/>
          <w:i/>
        </w:rPr>
        <w:t xml:space="preserve">TrAC Trends in Analytical Chemistry</w:t>
      </w:r>
      <w:r>
        <w:t xml:space="preserve"> </w:t>
      </w:r>
      <w:r>
        <w:t xml:space="preserve">107: 222–32.</w:t>
      </w:r>
      <w:r>
        <w:t xml:space="preserve"> </w:t>
      </w:r>
      <w:hyperlink r:id="rId147">
        <w:r>
          <w:rPr>
            <w:rStyle w:val="Hyperlink"/>
          </w:rPr>
          <w:t xml:space="preserve">https://doi.org/10.1016/j.trac.2018.08.011</w:t>
        </w:r>
      </w:hyperlink>
      <w:r>
        <w:t xml:space="preserve">.</w:t>
      </w:r>
    </w:p>
    <w:bookmarkEnd w:id="148"/>
    <w:bookmarkStart w:id="150" w:name="ref-singh2019iotSmartIrrigation"/>
    <w:p>
      <w:pPr>
        <w:pStyle w:val="Bibliography"/>
      </w:pPr>
      <w:r>
        <w:t xml:space="preserve">García, Laura, Lorena Parra, Jose M. Jimenez, Jaime Lloret, and Pascal Lorenz. 2020.</w:t>
      </w:r>
      <w:r>
        <w:t xml:space="preserve"> </w:t>
      </w:r>
      <w:r>
        <w:t xml:space="preserve">“</w:t>
      </w:r>
      <w:r>
        <w:t xml:space="preserve">IoT</w:t>
      </w:r>
      <w:r>
        <w:t xml:space="preserve">-Based Smart Irrigation Systems: An Overview on the Recent Trends on Sensors and</w:t>
      </w:r>
      <w:r>
        <w:t xml:space="preserve"> </w:t>
      </w:r>
      <w:r>
        <w:t xml:space="preserve">IoT</w:t>
      </w:r>
      <w:r>
        <w:t xml:space="preserve"> </w:t>
      </w:r>
      <w:r>
        <w:t xml:space="preserve">Systems for Irrigation in Precision Agriculture.”</w:t>
      </w:r>
      <w:r>
        <w:t xml:space="preserve"> </w:t>
      </w:r>
      <w:r>
        <w:rPr>
          <w:iCs/>
          <w:i/>
        </w:rPr>
        <w:t xml:space="preserve">Sensors</w:t>
      </w:r>
      <w:r>
        <w:t xml:space="preserve"> </w:t>
      </w:r>
      <w:r>
        <w:t xml:space="preserve">20 (4): 1042.</w:t>
      </w:r>
      <w:r>
        <w:t xml:space="preserve"> </w:t>
      </w:r>
      <w:hyperlink r:id="rId149">
        <w:r>
          <w:rPr>
            <w:rStyle w:val="Hyperlink"/>
          </w:rPr>
          <w:t xml:space="preserve">https://doi.org/10.3390/s20041042</w:t>
        </w:r>
      </w:hyperlink>
      <w:r>
        <w:t xml:space="preserve">.</w:t>
      </w:r>
    </w:p>
    <w:bookmarkEnd w:id="150"/>
    <w:bookmarkStart w:id="152"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151">
        <w:r>
          <w:rPr>
            <w:rStyle w:val="Hyperlink"/>
          </w:rPr>
          <w:t xml:space="preserve">https://doi.org/10.1109/TEC.1959.5219515</w:t>
        </w:r>
      </w:hyperlink>
      <w:r>
        <w:t xml:space="preserve">.</w:t>
      </w:r>
    </w:p>
    <w:bookmarkEnd w:id="152"/>
    <w:bookmarkStart w:id="154" w:name="ref-gebbers2010precision"/>
    <w:p>
      <w:pPr>
        <w:pStyle w:val="Bibliography"/>
      </w:pPr>
      <w:r>
        <w:t xml:space="preserve">Gebbers, Robin, and Viacheslav I. Adamchuk. 2010.</w:t>
      </w:r>
      <w:r>
        <w:t xml:space="preserve"> </w:t>
      </w:r>
      <w:r>
        <w:t xml:space="preserve">“Precision Agriculture and Food Security.”</w:t>
      </w:r>
      <w:r>
        <w:t xml:space="preserve"> </w:t>
      </w:r>
      <w:r>
        <w:rPr>
          <w:iCs/>
          <w:i/>
        </w:rPr>
        <w:t xml:space="preserve">Science</w:t>
      </w:r>
      <w:r>
        <w:t xml:space="preserve"> </w:t>
      </w:r>
      <w:r>
        <w:t xml:space="preserve">327 (5967): 828–31.</w:t>
      </w:r>
      <w:r>
        <w:t xml:space="preserve"> </w:t>
      </w:r>
      <w:hyperlink r:id="rId153">
        <w:r>
          <w:rPr>
            <w:rStyle w:val="Hyperlink"/>
          </w:rPr>
          <w:t xml:space="preserve">https://doi.org/10.1126/science.1183899</w:t>
        </w:r>
      </w:hyperlink>
      <w:r>
        <w:t xml:space="preserve">.</w:t>
      </w:r>
    </w:p>
    <w:bookmarkEnd w:id="154"/>
    <w:bookmarkStart w:id="156" w:name="ref-gilbert2002brewer"/>
    <w:p>
      <w:pPr>
        <w:pStyle w:val="Bibliography"/>
      </w:pPr>
      <w:r>
        <w:t xml:space="preserve">Gilbert, Seth, and Nancy Lynch. 2002.</w:t>
      </w:r>
      <w:r>
        <w:t xml:space="preserve"> </w:t>
      </w:r>
      <w:r>
        <w:t xml:space="preserve">“Brewer’s Conjecture and the Feasibility of Consistent, Available, Partition-Tolerant Web Services.”</w:t>
      </w:r>
      <w:r>
        <w:t xml:space="preserve"> </w:t>
      </w:r>
      <w:r>
        <w:rPr>
          <w:iCs/>
          <w:i/>
        </w:rPr>
        <w:t xml:space="preserve">ACM SIGACT News</w:t>
      </w:r>
      <w:r>
        <w:t xml:space="preserve"> </w:t>
      </w:r>
      <w:r>
        <w:t xml:space="preserve">33 (2): 51–59.</w:t>
      </w:r>
      <w:r>
        <w:t xml:space="preserve"> </w:t>
      </w:r>
      <w:hyperlink r:id="rId155">
        <w:r>
          <w:rPr>
            <w:rStyle w:val="Hyperlink"/>
          </w:rPr>
          <w:t xml:space="preserve">https://doi.org/10.1145/564585.564601</w:t>
        </w:r>
      </w:hyperlink>
      <w:r>
        <w:t xml:space="preserve">.</w:t>
      </w:r>
    </w:p>
    <w:bookmarkEnd w:id="156"/>
    <w:bookmarkStart w:id="158" w:name="ref-goap2018iot"/>
    <w:p>
      <w:pPr>
        <w:pStyle w:val="Bibliography"/>
      </w:pPr>
      <w:r>
        <w:t xml:space="preserve">Goap, Amarendra, Dinesh Sharma, A. K. Shukla, and C. Rama Krishna. 2018a.</w:t>
      </w:r>
      <w:r>
        <w:t xml:space="preserve"> </w:t>
      </w:r>
      <w:r>
        <w:t xml:space="preserve">“An IoT 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57">
        <w:r>
          <w:rPr>
            <w:rStyle w:val="Hyperlink"/>
          </w:rPr>
          <w:t xml:space="preserve">https://doi.org/10.1016/j.compag.2018.09.040</w:t>
        </w:r>
      </w:hyperlink>
      <w:r>
        <w:t xml:space="preserve">.</w:t>
      </w:r>
    </w:p>
    <w:bookmarkEnd w:id="158"/>
    <w:bookmarkStart w:id="159" w:name="ref-shanhong2021water"/>
    <w:p>
      <w:pPr>
        <w:pStyle w:val="Bibliography"/>
      </w:pPr>
      <w:r>
        <w:t xml:space="preserve">———. 2018b.</w:t>
      </w:r>
      <w:r>
        <w:t xml:space="preserve"> </w:t>
      </w:r>
      <w:r>
        <w:t xml:space="preserve">“An</w:t>
      </w:r>
      <w:r>
        <w:t xml:space="preserve"> </w:t>
      </w:r>
      <w:r>
        <w:t xml:space="preserve">IoT</w:t>
      </w:r>
      <w:r>
        <w:t xml:space="preserve"> </w:t>
      </w:r>
      <w:r>
        <w:t xml:space="preserve">Based Smart Irrigation Management System Using Machine Learning and Open Source Technologies.”</w:t>
      </w:r>
      <w:r>
        <w:t xml:space="preserve"> </w:t>
      </w:r>
      <w:r>
        <w:rPr>
          <w:iCs/>
          <w:i/>
        </w:rPr>
        <w:t xml:space="preserve">Computers and Electronics in Agriculture</w:t>
      </w:r>
      <w:r>
        <w:t xml:space="preserve"> </w:t>
      </w:r>
      <w:r>
        <w:t xml:space="preserve">155: 41–49.</w:t>
      </w:r>
      <w:r>
        <w:t xml:space="preserve"> </w:t>
      </w:r>
      <w:hyperlink r:id="rId157">
        <w:r>
          <w:rPr>
            <w:rStyle w:val="Hyperlink"/>
          </w:rPr>
          <w:t xml:space="preserve">https://doi.org/10.1016/j.compag.2018.09.040</w:t>
        </w:r>
      </w:hyperlink>
      <w:r>
        <w:t xml:space="preserve">.</w:t>
      </w:r>
    </w:p>
    <w:bookmarkEnd w:id="159"/>
    <w:bookmarkStart w:id="161" w:name="ref-goldreich1999china"/>
    <w:p>
      <w:pPr>
        <w:pStyle w:val="Bibliography"/>
      </w:pPr>
      <w:r>
        <w:t xml:space="preserve">Goldreich, Oded, Dana Ron, and Madhu Sudan. 1999.</w:t>
      </w:r>
      <w:r>
        <w:t xml:space="preserve"> </w:t>
      </w:r>
      <w:r>
        <w:t xml:space="preserve">“Chinese Remaindering with Errors.”</w:t>
      </w:r>
      <w:r>
        <w:t xml:space="preserve"> </w:t>
      </w:r>
      <w:r>
        <w:t xml:space="preserve">In</w:t>
      </w:r>
      <w:r>
        <w:t xml:space="preserve"> </w:t>
      </w:r>
      <w:r>
        <w:rPr>
          <w:iCs/>
          <w:i/>
        </w:rPr>
        <w:t xml:space="preserve">Proceedings of the 31st Annual ACM Symposium on Theory of Computing</w:t>
      </w:r>
      <w:r>
        <w:t xml:space="preserve">, 225–34.</w:t>
      </w:r>
      <w:r>
        <w:t xml:space="preserve"> </w:t>
      </w:r>
      <w:hyperlink r:id="rId160">
        <w:r>
          <w:rPr>
            <w:rStyle w:val="Hyperlink"/>
          </w:rPr>
          <w:t xml:space="preserve">https://doi.org/10.1145/301250.301308</w:t>
        </w:r>
      </w:hyperlink>
      <w:r>
        <w:t xml:space="preserve">.</w:t>
      </w:r>
    </w:p>
    <w:bookmarkEnd w:id="161"/>
    <w:bookmarkStart w:id="162" w:name="ref-gondchawar2016agriculture4"/>
    <w:p>
      <w:pPr>
        <w:pStyle w:val="Bibliography"/>
      </w:pPr>
      <w:r>
        <w:t xml:space="preserve">Gondchawar, Nikesh, and R. S. Kawitkar. 2016.</w:t>
      </w:r>
      <w:r>
        <w:t xml:space="preserve"> </w:t>
      </w:r>
      <w:r>
        <w:t xml:space="preserve">“</w:t>
      </w:r>
      <w:r>
        <w:t xml:space="preserve">IOT</w:t>
      </w:r>
      <w:r>
        <w:t xml:space="preserve"> </w:t>
      </w:r>
      <w:r>
        <w:t xml:space="preserve">Based Smart Agriculture.”</w:t>
      </w:r>
      <w:r>
        <w:t xml:space="preserve"> </w:t>
      </w:r>
      <w:r>
        <w:rPr>
          <w:iCs/>
          <w:i/>
        </w:rPr>
        <w:t xml:space="preserve">International Journal of Advanced Research in Computer and Communication Engineering</w:t>
      </w:r>
      <w:r>
        <w:t xml:space="preserve"> </w:t>
      </w:r>
      <w:r>
        <w:t xml:space="preserve">5 (6): 838–42.</w:t>
      </w:r>
    </w:p>
    <w:bookmarkEnd w:id="162"/>
    <w:bookmarkStart w:id="164" w:name="ref-gonzalez2000energy"/>
    <w:p>
      <w:pPr>
        <w:pStyle w:val="Bibliography"/>
      </w:pPr>
      <w:r>
        <w:t xml:space="preserve">Gonzalez, R., and M. Horowitz. 2000.</w:t>
      </w:r>
      <w:r>
        <w:t xml:space="preserve"> </w:t>
      </w:r>
      <w:r>
        <w:t xml:space="preserve">“Energy and Delay: A Metric for Early Design Space Exploration.”</w:t>
      </w:r>
      <w:r>
        <w:t xml:space="preserve"> </w:t>
      </w:r>
      <w:r>
        <w:rPr>
          <w:iCs/>
          <w:i/>
        </w:rPr>
        <w:t xml:space="preserve">IEEE Micro</w:t>
      </w:r>
      <w:r>
        <w:t xml:space="preserve"> </w:t>
      </w:r>
      <w:r>
        <w:t xml:space="preserve">20 (5): 56–64.</w:t>
      </w:r>
      <w:r>
        <w:t xml:space="preserve"> </w:t>
      </w:r>
      <w:hyperlink r:id="rId163">
        <w:r>
          <w:rPr>
            <w:rStyle w:val="Hyperlink"/>
          </w:rPr>
          <w:t xml:space="preserve">https://doi.org/10.1109/40.877952</w:t>
        </w:r>
      </w:hyperlink>
      <w:r>
        <w:t xml:space="preserve">.</w:t>
      </w:r>
    </w:p>
    <w:bookmarkEnd w:id="164"/>
    <w:bookmarkStart w:id="166" w:name="ref-pinto2024throughput"/>
    <w:p>
      <w:pPr>
        <w:pStyle w:val="Bibliography"/>
      </w:pPr>
      <w:r>
        <w:t xml:space="preserve">Gorenflo, Christian, Stephen Lee, Lukasz Golab, and Srinivasan Keshav. 2020.</w:t>
      </w:r>
      <w:r>
        <w:t xml:space="preserve"> </w:t>
      </w:r>
      <w:r>
        <w:t xml:space="preserve">“</w:t>
      </w:r>
      <w:r>
        <w:t xml:space="preserve">FastFabric</w:t>
      </w:r>
      <w:r>
        <w:t xml:space="preserve">: Scaling</w:t>
      </w:r>
      <w:r>
        <w:t xml:space="preserve"> </w:t>
      </w:r>
      <w:r>
        <w:t xml:space="preserve">Hyperledger Fabric</w:t>
      </w:r>
      <w:r>
        <w:t xml:space="preserve"> </w:t>
      </w:r>
      <w:r>
        <w:t xml:space="preserve">to 20,000 Transactions Per Second.”</w:t>
      </w:r>
      <w:r>
        <w:t xml:space="preserve"> </w:t>
      </w:r>
      <w:r>
        <w:rPr>
          <w:iCs/>
          <w:i/>
        </w:rPr>
        <w:t xml:space="preserve">International Journal of Network Management</w:t>
      </w:r>
      <w:r>
        <w:t xml:space="preserve"> </w:t>
      </w:r>
      <w:r>
        <w:t xml:space="preserve">30 (5): e2099.</w:t>
      </w:r>
      <w:r>
        <w:t xml:space="preserve"> </w:t>
      </w:r>
      <w:hyperlink r:id="rId165">
        <w:r>
          <w:rPr>
            <w:rStyle w:val="Hyperlink"/>
          </w:rPr>
          <w:t xml:space="preserve">https://doi.org/10.1002/nem.2099</w:t>
        </w:r>
      </w:hyperlink>
      <w:r>
        <w:t xml:space="preserve">.</w:t>
      </w:r>
    </w:p>
    <w:bookmarkEnd w:id="166"/>
    <w:bookmarkStart w:id="167" w:name="ref-gubbi2013internet"/>
    <w:p>
      <w:pPr>
        <w:pStyle w:val="Bibliography"/>
      </w:pPr>
      <w:r>
        <w:t xml:space="preserve">Gubbi, Jayavardhana, Rajkumar Buyya, Slaven Marusic, and Marimuthu Palaniswami. 2013.</w:t>
      </w:r>
      <w:r>
        <w:t xml:space="preserve"> </w:t>
      </w:r>
      <w:r>
        <w:t xml:space="preserve">“Internet of Things (IoT): A Vision, Architectural Elements, and Future Directions.”</w:t>
      </w:r>
      <w:r>
        <w:t xml:space="preserve"> </w:t>
      </w:r>
      <w:r>
        <w:rPr>
          <w:iCs/>
          <w:i/>
        </w:rPr>
        <w:t xml:space="preserve">Future Generation Computer Systems</w:t>
      </w:r>
      <w:r>
        <w:t xml:space="preserve"> </w:t>
      </w:r>
      <w:r>
        <w:t xml:space="preserve">29 (7): 1645–60.</w:t>
      </w:r>
    </w:p>
    <w:bookmarkEnd w:id="167"/>
    <w:bookmarkStart w:id="169" w:name="ref-benedict2021decentralized"/>
    <w:p>
      <w:pPr>
        <w:pStyle w:val="Bibliography"/>
      </w:pPr>
      <w:r>
        <w:t xml:space="preserve">Hammi, Mohamed Tahar, Badis Hammi, Patrick Bellot, and Ahmed Serhrouchni. 2018.</w:t>
      </w:r>
      <w:r>
        <w:t xml:space="preserve"> </w:t>
      </w:r>
      <w:r>
        <w:t xml:space="preserve">“Bubbles of Trust: A Decentralized Blockchain-Based Authentication System for</w:t>
      </w:r>
      <w:r>
        <w:t xml:space="preserve"> </w:t>
      </w:r>
      <w:r>
        <w:t xml:space="preserve">IoT</w:t>
      </w:r>
      <w:r>
        <w:t xml:space="preserve">.”</w:t>
      </w:r>
      <w:r>
        <w:t xml:space="preserve"> </w:t>
      </w:r>
      <w:r>
        <w:rPr>
          <w:iCs/>
          <w:i/>
        </w:rPr>
        <w:t xml:space="preserve">Computers &amp; Security</w:t>
      </w:r>
      <w:r>
        <w:t xml:space="preserve"> </w:t>
      </w:r>
      <w:r>
        <w:t xml:space="preserve">78: 126–42.</w:t>
      </w:r>
      <w:r>
        <w:t xml:space="preserve"> </w:t>
      </w:r>
      <w:hyperlink r:id="rId168">
        <w:r>
          <w:rPr>
            <w:rStyle w:val="Hyperlink"/>
          </w:rPr>
          <w:t xml:space="preserve">https://doi.org/10.1016/j.cose.2018.06.004</w:t>
        </w:r>
      </w:hyperlink>
      <w:r>
        <w:t xml:space="preserve">.</w:t>
      </w:r>
    </w:p>
    <w:bookmarkEnd w:id="169"/>
    <w:bookmarkStart w:id="171" w:name="ref-lopez2023remoteFailure"/>
    <w:p>
      <w:pPr>
        <w:pStyle w:val="Bibliography"/>
      </w:pPr>
      <w:r>
        <w:t xml:space="preserve">Hang, Lei, and Do-Hyeun Kim. 2019.</w:t>
      </w:r>
      <w:r>
        <w:t xml:space="preserve"> </w:t>
      </w:r>
      <w:r>
        <w:t xml:space="preserve">“Design and Implementation of an Integrated</w:t>
      </w:r>
      <w:r>
        <w:t xml:space="preserve"> </w:t>
      </w:r>
      <w:r>
        <w:t xml:space="preserve">IoT</w:t>
      </w:r>
      <w:r>
        <w:t xml:space="preserve"> </w:t>
      </w:r>
      <w:r>
        <w:t xml:space="preserve">Blockchain Platform for Sensing Data Integrity.”</w:t>
      </w:r>
      <w:r>
        <w:t xml:space="preserve"> </w:t>
      </w:r>
      <w:r>
        <w:rPr>
          <w:iCs/>
          <w:i/>
        </w:rPr>
        <w:t xml:space="preserve">Sensors</w:t>
      </w:r>
      <w:r>
        <w:t xml:space="preserve"> </w:t>
      </w:r>
      <w:r>
        <w:t xml:space="preserve">19 (10): 2228.</w:t>
      </w:r>
      <w:r>
        <w:t xml:space="preserve"> </w:t>
      </w:r>
      <w:hyperlink r:id="rId170">
        <w:r>
          <w:rPr>
            <w:rStyle w:val="Hyperlink"/>
          </w:rPr>
          <w:t xml:space="preserve">https://doi.org/10.3390/s19102228</w:t>
        </w:r>
      </w:hyperlink>
      <w:r>
        <w:t xml:space="preserve">.</w:t>
      </w:r>
    </w:p>
    <w:bookmarkEnd w:id="171"/>
    <w:bookmarkStart w:id="173" w:name="ref-haque2024scalable"/>
    <w:p>
      <w:pPr>
        <w:pStyle w:val="Bibliography"/>
      </w:pPr>
      <w:r>
        <w:t xml:space="preserve">Haque, Abu Bakar, Bharat Bhushan, and Gaurav Dhiman. 2024.</w:t>
      </w:r>
      <w:r>
        <w:t xml:space="preserve"> </w:t>
      </w:r>
      <w:r>
        <w:t xml:space="preserve">“Conceptualizing Smart City Applications: Requirements, Architecture, Security Issues, and Emerging Trends.”</w:t>
      </w:r>
      <w:r>
        <w:t xml:space="preserve"> </w:t>
      </w:r>
      <w:r>
        <w:rPr>
          <w:iCs/>
          <w:i/>
        </w:rPr>
        <w:t xml:space="preserve">Expert Systems</w:t>
      </w:r>
      <w:r>
        <w:t xml:space="preserve"> </w:t>
      </w:r>
      <w:r>
        <w:t xml:space="preserve">41 (5): e13382.</w:t>
      </w:r>
      <w:r>
        <w:t xml:space="preserve"> </w:t>
      </w:r>
      <w:hyperlink r:id="rId172">
        <w:r>
          <w:rPr>
            <w:rStyle w:val="Hyperlink"/>
          </w:rPr>
          <w:t xml:space="preserve">https://doi.org/10.1111/exsy.13382</w:t>
        </w:r>
      </w:hyperlink>
      <w:r>
        <w:t xml:space="preserve">.</w:t>
      </w:r>
    </w:p>
    <w:bookmarkEnd w:id="173"/>
    <w:bookmarkStart w:id="174" w:name="ref-hardy2008introduction"/>
    <w:p>
      <w:pPr>
        <w:pStyle w:val="Bibliography"/>
      </w:pPr>
      <w:r>
        <w:t xml:space="preserve">Hardy, Godfrey Harold, Edward Maitland Wright, Roger Heath-Brown, and Joseph Silverman. 2008.</w:t>
      </w:r>
      <w:r>
        <w:t xml:space="preserve"> </w:t>
      </w:r>
      <w:r>
        <w:rPr>
          <w:iCs/>
          <w:i/>
        </w:rPr>
        <w:t xml:space="preserve">An Introduction to the Theory of Numbers</w:t>
      </w:r>
      <w:r>
        <w:t xml:space="preserve">. 6th ed. Oxford University Press.</w:t>
      </w:r>
    </w:p>
    <w:bookmarkEnd w:id="174"/>
    <w:bookmarkStart w:id="176"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175">
        <w:r>
          <w:rPr>
            <w:rStyle w:val="Hyperlink"/>
          </w:rPr>
          <w:t xml:space="preserve">https://doi.org/10.3390/s18113995</w:t>
        </w:r>
      </w:hyperlink>
      <w:r>
        <w:t xml:space="preserve">.</w:t>
      </w:r>
    </w:p>
    <w:bookmarkEnd w:id="176"/>
    <w:bookmarkStart w:id="178" w:name="ref-heinzelman2000energy"/>
    <w:p>
      <w:pPr>
        <w:pStyle w:val="Bibliography"/>
      </w:pPr>
      <w:r>
        <w:t xml:space="preserve">Heinzelman, Wendi Rabiner, Anantha Chandrakasan, and Hari Balakrishnan. 2000.</w:t>
      </w:r>
      <w:r>
        <w:t xml:space="preserve"> </w:t>
      </w:r>
      <w:r>
        <w:t xml:space="preserve">“Energy-Efficient Communication Protocol for Wireless Microsensor Networks.”</w:t>
      </w:r>
      <w:r>
        <w:t xml:space="preserve"> </w:t>
      </w:r>
      <w:r>
        <w:t xml:space="preserve">In</w:t>
      </w:r>
      <w:r>
        <w:t xml:space="preserve"> </w:t>
      </w:r>
      <w:r>
        <w:rPr>
          <w:iCs/>
          <w:i/>
        </w:rPr>
        <w:t xml:space="preserve">Proceedings of the 33rd Annual Hawaii International Conference on System Sciences</w:t>
      </w:r>
      <w:r>
        <w:t xml:space="preserve">, 10–20.</w:t>
      </w:r>
      <w:r>
        <w:t xml:space="preserve"> </w:t>
      </w:r>
      <w:hyperlink r:id="rId177">
        <w:r>
          <w:rPr>
            <w:rStyle w:val="Hyperlink"/>
          </w:rPr>
          <w:t xml:space="preserve">https://doi.org/10.1109/HICSS.2000.926982</w:t>
        </w:r>
      </w:hyperlink>
      <w:r>
        <w:t xml:space="preserve">.</w:t>
      </w:r>
    </w:p>
    <w:bookmarkEnd w:id="178"/>
    <w:bookmarkStart w:id="179" w:name="ref-huffman1952method"/>
    <w:p>
      <w:pPr>
        <w:pStyle w:val="Bibliography"/>
      </w:pPr>
      <w:r>
        <w:t xml:space="preserve">Huffman, David A. 1952.</w:t>
      </w:r>
      <w:r>
        <w:t xml:space="preserve"> </w:t>
      </w:r>
      <w:r>
        <w:t xml:space="preserve">“A Method for the Construction of Minimum-Redundancy Codes.”</w:t>
      </w:r>
      <w:r>
        <w:t xml:space="preserve"> </w:t>
      </w:r>
      <w:r>
        <w:rPr>
          <w:iCs/>
          <w:i/>
        </w:rPr>
        <w:t xml:space="preserve">Proceedings of the IRE</w:t>
      </w:r>
      <w:r>
        <w:t xml:space="preserve"> </w:t>
      </w:r>
      <w:r>
        <w:t xml:space="preserve">40 (9): 1098–1101.</w:t>
      </w:r>
    </w:p>
    <w:bookmarkEnd w:id="179"/>
    <w:bookmarkStart w:id="181" w:name="ref-saito2025blockchainWaterQuality"/>
    <w:p>
      <w:pPr>
        <w:pStyle w:val="Bibliography"/>
      </w:pPr>
      <w:r>
        <w:t xml:space="preserve">Hung, Le Thanh, Seungwoo Kang, and Jaeseung Song. 2022.</w:t>
      </w:r>
      <w:r>
        <w:t xml:space="preserve"> </w:t>
      </w:r>
      <w:r>
        <w:t xml:space="preserve">“Distributed Control Architecture for Blockchain-Based</w:t>
      </w:r>
      <w:r>
        <w:t xml:space="preserve"> </w:t>
      </w:r>
      <w:r>
        <w:t xml:space="preserve">IoT</w:t>
      </w:r>
      <w:r>
        <w:t xml:space="preserve"> </w:t>
      </w:r>
      <w:r>
        <w:t xml:space="preserve">Water Quality Monitoring.”</w:t>
      </w:r>
      <w:r>
        <w:t xml:space="preserve"> </w:t>
      </w:r>
      <w:r>
        <w:rPr>
          <w:iCs/>
          <w:i/>
        </w:rPr>
        <w:t xml:space="preserve">IEEE Access</w:t>
      </w:r>
      <w:r>
        <w:t xml:space="preserve"> </w:t>
      </w:r>
      <w:r>
        <w:t xml:space="preserve">10: 101528–39.</w:t>
      </w:r>
      <w:r>
        <w:t xml:space="preserve"> </w:t>
      </w:r>
      <w:hyperlink r:id="rId180">
        <w:r>
          <w:rPr>
            <w:rStyle w:val="Hyperlink"/>
          </w:rPr>
          <w:t xml:space="preserve">https://doi.org/10.1109/ACCESS.2022.3208440</w:t>
        </w:r>
      </w:hyperlink>
      <w:r>
        <w:t xml:space="preserve">.</w:t>
      </w:r>
    </w:p>
    <w:bookmarkEnd w:id="181"/>
    <w:bookmarkStart w:id="183" w:name="ref-hyperledger2022msp"/>
    <w:p>
      <w:pPr>
        <w:pStyle w:val="Bibliography"/>
      </w:pPr>
      <w:r>
        <w:t xml:space="preserve">Hyperledger Fabric Documentation. 2022.</w:t>
      </w:r>
      <w:r>
        <w:t xml:space="preserve"> </w:t>
      </w:r>
      <w:r>
        <w:t xml:space="preserve">“MSP Identity Validity Rules.”</w:t>
      </w:r>
      <w:r>
        <w:t xml:space="preserve"> </w:t>
      </w:r>
      <w:hyperlink r:id="rId182">
        <w:r>
          <w:rPr>
            <w:rStyle w:val="Hyperlink"/>
          </w:rPr>
          <w:t xml:space="preserve">https://hyperledger-fabric.readthedocs.io/en/release-2.2/msp-identity-validity-rules.html</w:t>
        </w:r>
      </w:hyperlink>
      <w:r>
        <w:t xml:space="preserve">.</w:t>
      </w:r>
    </w:p>
    <w:bookmarkEnd w:id="183"/>
    <w:bookmarkStart w:id="185" w:name="ref-jaeid_pepper"/>
    <w:p>
      <w:pPr>
        <w:pStyle w:val="Bibliography"/>
      </w:pPr>
      <w:r>
        <w:t xml:space="preserve">Ibáñez, M. Victoria, M. Dolores Muy-Rangel, Gustavo A. González-Aguilar, and J. Basilio Heredia. 2020.</w:t>
      </w:r>
      <w:r>
        <w:t xml:space="preserve"> </w:t>
      </w:r>
      <w:r>
        <w:t xml:space="preserve">“Capsicum Production and Quality: A Review.”</w:t>
      </w:r>
      <w:r>
        <w:t xml:space="preserve"> </w:t>
      </w:r>
      <w:r>
        <w:rPr>
          <w:iCs/>
          <w:i/>
        </w:rPr>
        <w:t xml:space="preserve">HortScience</w:t>
      </w:r>
      <w:r>
        <w:t xml:space="preserve"> </w:t>
      </w:r>
      <w:r>
        <w:t xml:space="preserve">55 (9): 1353–68.</w:t>
      </w:r>
      <w:r>
        <w:t xml:space="preserve"> </w:t>
      </w:r>
      <w:hyperlink r:id="rId184">
        <w:r>
          <w:rPr>
            <w:rStyle w:val="Hyperlink"/>
          </w:rPr>
          <w:t xml:space="preserve">https://doi.org/10.21273/HORTSCI15060-20</w:t>
        </w:r>
      </w:hyperlink>
      <w:r>
        <w:t xml:space="preserve">.</w:t>
      </w:r>
    </w:p>
    <w:bookmarkEnd w:id="185"/>
    <w:bookmarkStart w:id="187" w:name="ref-ibmFabric"/>
    <w:p>
      <w:pPr>
        <w:pStyle w:val="Bibliography"/>
      </w:pPr>
      <w:r>
        <w:t xml:space="preserve">IBM. 2023.</w:t>
      </w:r>
      <w:r>
        <w:t xml:space="preserve"> </w:t>
      </w:r>
      <w:r>
        <w:t xml:space="preserve">“Hyperledger Fabric Overview.”</w:t>
      </w:r>
      <w:r>
        <w:t xml:space="preserve"> </w:t>
      </w:r>
      <w:hyperlink r:id="rId186">
        <w:r>
          <w:rPr>
            <w:rStyle w:val="Hyperlink"/>
          </w:rPr>
          <w:t xml:space="preserve">https://www.ibm.com/docs/en/blockchain-platform</w:t>
        </w:r>
      </w:hyperlink>
      <w:r>
        <w:t xml:space="preserve">.</w:t>
      </w:r>
    </w:p>
    <w:bookmarkEnd w:id="187"/>
    <w:bookmarkStart w:id="189" w:name="ref-garrido2018mediterranean"/>
    <w:p>
      <w:pPr>
        <w:pStyle w:val="Bibliography"/>
      </w:pPr>
      <w:r>
        <w:t xml:space="preserve">Iglesias, Ana, and Luis Garrote. 2015.</w:t>
      </w:r>
      <w:r>
        <w:t xml:space="preserve"> </w:t>
      </w:r>
      <w:r>
        <w:t xml:space="preserve">“Adaptation Strategies for Agricultural Water Management Under Climate Change in</w:t>
      </w:r>
      <w:r>
        <w:t xml:space="preserve"> </w:t>
      </w:r>
      <w:r>
        <w:t xml:space="preserve">Europe</w:t>
      </w:r>
      <w:r>
        <w:t xml:space="preserve">.”</w:t>
      </w:r>
      <w:r>
        <w:t xml:space="preserve"> </w:t>
      </w:r>
      <w:r>
        <w:rPr>
          <w:iCs/>
          <w:i/>
        </w:rPr>
        <w:t xml:space="preserve">Agricultural Water Management</w:t>
      </w:r>
      <w:r>
        <w:t xml:space="preserve"> </w:t>
      </w:r>
      <w:r>
        <w:t xml:space="preserve">155: 113–24.</w:t>
      </w:r>
      <w:r>
        <w:t xml:space="preserve"> </w:t>
      </w:r>
      <w:hyperlink r:id="rId188">
        <w:r>
          <w:rPr>
            <w:rStyle w:val="Hyperlink"/>
          </w:rPr>
          <w:t xml:space="preserve">https://doi.org/10.1016/j.agwat.2015.03.014</w:t>
        </w:r>
      </w:hyperlink>
      <w:r>
        <w:t xml:space="preserve">.</w:t>
      </w:r>
    </w:p>
    <w:bookmarkEnd w:id="189"/>
    <w:bookmarkStart w:id="191" w:name="ref-tia2020waterstress"/>
    <w:p>
      <w:pPr>
        <w:pStyle w:val="Bibliography"/>
      </w:pPr>
      <w:r>
        <w:t xml:space="preserve">Iglesias, Ana, Luis Garrote, Francisco Flores, and Mercedes Moneo. 2007.</w:t>
      </w:r>
      <w:r>
        <w:t xml:space="preserve"> </w:t>
      </w:r>
      <w:r>
        <w:t xml:space="preserve">“Challenges to Manage the Risk of Water Scarcity and Climate Change in the</w:t>
      </w:r>
      <w:r>
        <w:t xml:space="preserve"> </w:t>
      </w:r>
      <w:r>
        <w:t xml:space="preserve">Mediterranean</w:t>
      </w:r>
      <w:r>
        <w:t xml:space="preserve">.”</w:t>
      </w:r>
      <w:r>
        <w:t xml:space="preserve"> </w:t>
      </w:r>
      <w:r>
        <w:rPr>
          <w:iCs/>
          <w:i/>
        </w:rPr>
        <w:t xml:space="preserve">Water Resources Management</w:t>
      </w:r>
      <w:r>
        <w:t xml:space="preserve"> </w:t>
      </w:r>
      <w:r>
        <w:t xml:space="preserve">21 (5): 775–88.</w:t>
      </w:r>
      <w:r>
        <w:t xml:space="preserve"> </w:t>
      </w:r>
      <w:hyperlink r:id="rId190">
        <w:r>
          <w:rPr>
            <w:rStyle w:val="Hyperlink"/>
          </w:rPr>
          <w:t xml:space="preserve">https://doi.org/10.1007/s11269-006-9111-6</w:t>
        </w:r>
      </w:hyperlink>
      <w:r>
        <w:t xml:space="preserve">.</w:t>
      </w:r>
    </w:p>
    <w:bookmarkEnd w:id="191"/>
    <w:bookmarkStart w:id="193" w:name="ref-suleiman2025agriculture5"/>
    <w:p>
      <w:pPr>
        <w:pStyle w:val="Bibliography"/>
      </w:pPr>
      <w:r>
        <w:t xml:space="preserve">Jagan Mohan, R. N. V., P. S. Pravallika Sree Rayanoothala, and R. P. R. Praneetha Sree. 2026.</w:t>
      </w:r>
      <w:r>
        <w:t xml:space="preserve"> </w:t>
      </w:r>
      <w:r>
        <w:t xml:space="preserve">“Smart Agriculture 5.0: Blockchain and Reinforcement Learning Synergy for Multicropping Optimization and Traceable</w:t>
      </w:r>
      <w:r>
        <w:t xml:space="preserve"> </w:t>
      </w:r>
      <w:r>
        <w:t xml:space="preserve">IoT</w:t>
      </w:r>
      <w:r>
        <w:t xml:space="preserve">-Enabled Supply Chains.”</w:t>
      </w:r>
      <w:r>
        <w:t xml:space="preserve"> </w:t>
      </w:r>
      <w:r>
        <w:rPr>
          <w:iCs/>
          <w:i/>
        </w:rPr>
        <w:t xml:space="preserve">Frontiers in Blockchain</w:t>
      </w:r>
      <w:r>
        <w:t xml:space="preserve"> </w:t>
      </w:r>
      <w:r>
        <w:t xml:space="preserve">9: 1766232.</w:t>
      </w:r>
      <w:r>
        <w:t xml:space="preserve"> </w:t>
      </w:r>
      <w:hyperlink r:id="rId192">
        <w:r>
          <w:rPr>
            <w:rStyle w:val="Hyperlink"/>
          </w:rPr>
          <w:t xml:space="preserve">https://doi.org/10.3389/fbloc.2026.1766232</w:t>
        </w:r>
      </w:hyperlink>
      <w:r>
        <w:t xml:space="preserve">.</w:t>
      </w:r>
    </w:p>
    <w:bookmarkEnd w:id="193"/>
    <w:bookmarkStart w:id="195" w:name="ref-csdn_esp32s3_cache"/>
    <w:p>
      <w:pPr>
        <w:pStyle w:val="Bibliography"/>
      </w:pPr>
      <w:r>
        <w:t xml:space="preserve">Jay, Cris. 2025.</w:t>
      </w:r>
      <w:r>
        <w:t xml:space="preserve"> </w:t>
      </w:r>
      <w:r>
        <w:t xml:space="preserve">“ESP32S3 Cache Block Diagram and Operations.”</w:t>
      </w:r>
      <w:r>
        <w:t xml:space="preserve"> </w:t>
      </w:r>
      <w:r>
        <w:t xml:space="preserve">CSDN Blog.</w:t>
      </w:r>
      <w:r>
        <w:t xml:space="preserve"> </w:t>
      </w:r>
      <w:hyperlink r:id="rId194">
        <w:r>
          <w:rPr>
            <w:rStyle w:val="Hyperlink"/>
          </w:rPr>
          <w:t xml:space="preserve">https://blog.csdn.net/Cris_Jay/article/details/147540172</w:t>
        </w:r>
      </w:hyperlink>
      <w:r>
        <w:t xml:space="preserve">.</w:t>
      </w:r>
    </w:p>
    <w:bookmarkEnd w:id="195"/>
    <w:bookmarkStart w:id="197" w:name="ref-ahmad2025agriBlockchain"/>
    <w:p>
      <w:pPr>
        <w:pStyle w:val="Bibliography"/>
      </w:pPr>
      <w:r>
        <w:t xml:space="preserve">Jin, Peng, Wenshuang Du, and Wenquan Jin. 2025a.</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101242.</w:t>
      </w:r>
      <w:r>
        <w:t xml:space="preserve"> </w:t>
      </w:r>
      <w:hyperlink r:id="rId196">
        <w:r>
          <w:rPr>
            <w:rStyle w:val="Hyperlink"/>
          </w:rPr>
          <w:t xml:space="preserve">https://doi.org/10.1016/j.atech.2025.101242</w:t>
        </w:r>
      </w:hyperlink>
      <w:r>
        <w:t xml:space="preserve">.</w:t>
      </w:r>
    </w:p>
    <w:bookmarkEnd w:id="197"/>
    <w:bookmarkStart w:id="198" w:name="ref-jin2025productivity"/>
    <w:p>
      <w:pPr>
        <w:pStyle w:val="Bibliography"/>
      </w:pPr>
      <w:r>
        <w:t xml:space="preserve">———. 2025b.</w:t>
      </w:r>
      <w:r>
        <w:t xml:space="preserve"> </w:t>
      </w:r>
      <w:r>
        <w:t xml:space="preserve">“Efficient Productivity Prediction Model Based on Edge Data Compression in Smart Farms.”</w:t>
      </w:r>
      <w:r>
        <w:t xml:space="preserve"> </w:t>
      </w:r>
      <w:r>
        <w:rPr>
          <w:iCs/>
          <w:i/>
        </w:rPr>
        <w:t xml:space="preserve">Smart Agricultural Technology</w:t>
      </w:r>
      <w:r>
        <w:t xml:space="preserve"> </w:t>
      </w:r>
      <w:r>
        <w:t xml:space="preserve">12 (December): 101242.</w:t>
      </w:r>
      <w:r>
        <w:t xml:space="preserve"> </w:t>
      </w:r>
      <w:hyperlink r:id="rId196">
        <w:r>
          <w:rPr>
            <w:rStyle w:val="Hyperlink"/>
          </w:rPr>
          <w:t xml:space="preserve">https://doi.org/10.1016/j.atech.2025.101242</w:t>
        </w:r>
      </w:hyperlink>
      <w:r>
        <w:t xml:space="preserve">.</w:t>
      </w:r>
    </w:p>
    <w:bookmarkEnd w:id="198"/>
    <w:bookmarkStart w:id="200" w:name="ref-kalaimathi2025injection"/>
    <w:p>
      <w:pPr>
        <w:pStyle w:val="Bibliography"/>
      </w:pPr>
      <w:r>
        <w:t xml:space="preserve">Kalaimathi, R., A. Yogeshwaran, and P. Rajeswari. 2025.</w:t>
      </w:r>
      <w:r>
        <w:t xml:space="preserve"> </w:t>
      </w:r>
      <w:r>
        <w:t xml:space="preserve">“Identifying False Injection Packet Transmission Using SVM and Secure OLSR in Wireless Sensor Networks.”</w:t>
      </w:r>
      <w:r>
        <w:t xml:space="preserve"> </w:t>
      </w:r>
      <w:r>
        <w:t xml:space="preserve">In</w:t>
      </w:r>
      <w:r>
        <w:t xml:space="preserve"> </w:t>
      </w:r>
      <w:r>
        <w:rPr>
          <w:iCs/>
          <w:i/>
        </w:rPr>
        <w:t xml:space="preserve">4th International Conference on Distributed Computing and Electrical Circuits and Electronics (ICDCECE)</w:t>
      </w:r>
      <w:r>
        <w:t xml:space="preserve">, 1–7. IEEE.</w:t>
      </w:r>
      <w:r>
        <w:t xml:space="preserve"> </w:t>
      </w:r>
      <w:hyperlink r:id="rId199">
        <w:r>
          <w:rPr>
            <w:rStyle w:val="Hyperlink"/>
          </w:rPr>
          <w:t xml:space="preserve">https://doi.org/10.1109/ICDCECE65353.2025.11035330</w:t>
        </w:r>
      </w:hyperlink>
      <w:r>
        <w:t xml:space="preserve">.</w:t>
      </w:r>
    </w:p>
    <w:bookmarkEnd w:id="200"/>
    <w:bookmarkStart w:id="202" w:name="ref-akande2018iotChallenges"/>
    <w:p>
      <w:pPr>
        <w:pStyle w:val="Bibliography"/>
      </w:pPr>
      <w:r>
        <w:t xml:space="preserve">Kamble, Sachin S., Angappa Gunasekaran, and Shradha A. Gawankar. 2018.</w:t>
      </w:r>
      <w:r>
        <w:t xml:space="preserve"> </w:t>
      </w:r>
      <w:r>
        <w:t xml:space="preserve">“Sustainable Industry 4.0 Framework: A Systematic Literature Review Identifying the Current Trends and Future Perspectives.”</w:t>
      </w:r>
      <w:r>
        <w:t xml:space="preserve"> </w:t>
      </w:r>
      <w:r>
        <w:rPr>
          <w:iCs/>
          <w:i/>
        </w:rPr>
        <w:t xml:space="preserve">Process Safety and Environmental Protection</w:t>
      </w:r>
      <w:r>
        <w:t xml:space="preserve"> </w:t>
      </w:r>
      <w:r>
        <w:t xml:space="preserve">117: 408–25.</w:t>
      </w:r>
      <w:r>
        <w:t xml:space="preserve"> </w:t>
      </w:r>
      <w:hyperlink r:id="rId201">
        <w:r>
          <w:rPr>
            <w:rStyle w:val="Hyperlink"/>
          </w:rPr>
          <w:t xml:space="preserve">https://doi.org/10.1016/j.psep.2018.05.009</w:t>
        </w:r>
      </w:hyperlink>
      <w:r>
        <w:t xml:space="preserve">.</w:t>
      </w:r>
    </w:p>
    <w:bookmarkEnd w:id="202"/>
    <w:bookmarkStart w:id="204" w:name="ref-kamilaris2019rise"/>
    <w:p>
      <w:pPr>
        <w:pStyle w:val="Bibliography"/>
      </w:pPr>
      <w:r>
        <w:t xml:space="preserve">Kamilaris, Andreas, Agusti Fonts, and Francesc X. Prenafeta-Boldó. 2019.</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3">
        <w:r>
          <w:rPr>
            <w:rStyle w:val="Hyperlink"/>
          </w:rPr>
          <w:t xml:space="preserve">https://doi.org/10.1016/j.tifs.2019.07.034</w:t>
        </w:r>
      </w:hyperlink>
      <w:r>
        <w:t xml:space="preserve">.</w:t>
      </w:r>
    </w:p>
    <w:bookmarkEnd w:id="204"/>
    <w:bookmarkStart w:id="205" w:name="ref-kamilaris2018food"/>
    <w:p>
      <w:pPr>
        <w:pStyle w:val="Bibliography"/>
      </w:pPr>
      <w:r>
        <w:t xml:space="preserve">Kamilaris, Andreas, Agusti Fonts, and Francesc X. Prenafeta-Boldú. 2019a.</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3">
        <w:r>
          <w:rPr>
            <w:rStyle w:val="Hyperlink"/>
          </w:rPr>
          <w:t xml:space="preserve">https://doi.org/10.1016/j.tifs.2019.07.034</w:t>
        </w:r>
      </w:hyperlink>
      <w:r>
        <w:t xml:space="preserve">.</w:t>
      </w:r>
    </w:p>
    <w:bookmarkEnd w:id="205"/>
    <w:bookmarkStart w:id="206" w:name="ref-george2025review"/>
    <w:p>
      <w:pPr>
        <w:pStyle w:val="Bibliography"/>
      </w:pPr>
      <w:r>
        <w:t xml:space="preserve">———. 2019c.</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3">
        <w:r>
          <w:rPr>
            <w:rStyle w:val="Hyperlink"/>
          </w:rPr>
          <w:t xml:space="preserve">https://doi.org/10.1016/j.tifs.2019.07.034</w:t>
        </w:r>
      </w:hyperlink>
      <w:r>
        <w:t xml:space="preserve">.</w:t>
      </w:r>
    </w:p>
    <w:bookmarkEnd w:id="206"/>
    <w:bookmarkStart w:id="207" w:name="ref-xu2019survey"/>
    <w:p>
      <w:pPr>
        <w:pStyle w:val="Bibliography"/>
      </w:pPr>
      <w:r>
        <w:t xml:space="preserve">———. 2019b.</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203">
        <w:r>
          <w:rPr>
            <w:rStyle w:val="Hyperlink"/>
          </w:rPr>
          <w:t xml:space="preserve">https://doi.org/10.1016/j.tifs.2019.07.034</w:t>
        </w:r>
      </w:hyperlink>
      <w:r>
        <w:t xml:space="preserve">.</w:t>
      </w:r>
    </w:p>
    <w:bookmarkEnd w:id="207"/>
    <w:bookmarkStart w:id="209" w:name="ref-kjellsson2008adaptive"/>
    <w:p>
      <w:pPr>
        <w:pStyle w:val="Bibliography"/>
      </w:pPr>
      <w:r>
        <w:t xml:space="preserve">Kjellsson, Jesper, and Avideh Zakhor. 2008.</w:t>
      </w:r>
      <w:r>
        <w:t xml:space="preserve"> </w:t>
      </w:r>
      <w:r>
        <w:t xml:space="preserve">“Adaptive Sampling for Sensor Networks.”</w:t>
      </w:r>
      <w:r>
        <w:t xml:space="preserve"> </w:t>
      </w:r>
      <w:r>
        <w:rPr>
          <w:iCs/>
          <w:i/>
        </w:rPr>
        <w:t xml:space="preserve">ACM Transactions on Sensor Networks</w:t>
      </w:r>
      <w:r>
        <w:t xml:space="preserve"> </w:t>
      </w:r>
      <w:r>
        <w:t xml:space="preserve">4 (3): 1–39.</w:t>
      </w:r>
      <w:r>
        <w:t xml:space="preserve"> </w:t>
      </w:r>
      <w:hyperlink r:id="rId208">
        <w:r>
          <w:rPr>
            <w:rStyle w:val="Hyperlink"/>
          </w:rPr>
          <w:t xml:space="preserve">https://doi.org/10.1145/1362542.1362545</w:t>
        </w:r>
      </w:hyperlink>
      <w:r>
        <w:t xml:space="preserve">.</w:t>
      </w:r>
    </w:p>
    <w:bookmarkEnd w:id="209"/>
    <w:bookmarkStart w:id="210" w:name="ref-knuth1997art"/>
    <w:p>
      <w:pPr>
        <w:pStyle w:val="Bibliography"/>
      </w:pPr>
      <w:r>
        <w:t xml:space="preserve">Knuth, Donald E. 1997.</w:t>
      </w:r>
      <w:r>
        <w:t xml:space="preserve"> </w:t>
      </w:r>
      <w:r>
        <w:rPr>
          <w:iCs/>
          <w:i/>
        </w:rPr>
        <w:t xml:space="preserve">The Art of Computer Programming, Volume 2: Seminumerical Algorithms</w:t>
      </w:r>
      <w:r>
        <w:t xml:space="preserve">. 3rd ed. Addison-Wesley Professional.</w:t>
      </w:r>
    </w:p>
    <w:bookmarkEnd w:id="210"/>
    <w:bookmarkStart w:id="212" w:name="ref-kumari2025rom"/>
    <w:p>
      <w:pPr>
        <w:pStyle w:val="Bibliography"/>
      </w:pPr>
      <w:r>
        <w:t xml:space="preserve">Kumari, Saru, Rajeev Singh, and Amit Kumar. 2025.</w:t>
      </w:r>
      <w:r>
        <w:t xml:space="preserve"> </w:t>
      </w:r>
      <w:r>
        <w:t xml:space="preserve">“Building Trust in IoT Networks: A ROM-Based Key Storage and Cloud Signature Verification Approach.”</w:t>
      </w:r>
      <w:r>
        <w:t xml:space="preserve"> </w:t>
      </w:r>
      <w:r>
        <w:t xml:space="preserve">In</w:t>
      </w:r>
      <w:r>
        <w:t xml:space="preserve"> </w:t>
      </w:r>
      <w:r>
        <w:rPr>
          <w:iCs/>
          <w:i/>
        </w:rPr>
        <w:t xml:space="preserve">2025 IEEE International Conference on Internet of Things (iThings)</w:t>
      </w:r>
      <w:r>
        <w:t xml:space="preserve">, 1–8. IEEE.</w:t>
      </w:r>
      <w:r>
        <w:t xml:space="preserve"> </w:t>
      </w:r>
      <w:hyperlink r:id="rId211">
        <w:r>
          <w:rPr>
            <w:rStyle w:val="Hyperlink"/>
          </w:rPr>
          <w:t xml:space="preserve">https://doi.org/10.1109/IOT.2025.11089136</w:t>
        </w:r>
      </w:hyperlink>
      <w:r>
        <w:t xml:space="preserve">.</w:t>
      </w:r>
    </w:p>
    <w:bookmarkEnd w:id="212"/>
    <w:bookmarkStart w:id="214" w:name="ref-bashir2023IoTWear"/>
    <w:p>
      <w:pPr>
        <w:pStyle w:val="Bibliography"/>
      </w:pPr>
      <w:r>
        <w:t xml:space="preserve">Lezoche, Mario, Jorge E. Hernandez, Maria del Mar E. Alemany Diaz, Hervé Panetto, and Janusz Kacprzyk. 2020.</w:t>
      </w:r>
      <w:r>
        <w:t xml:space="preserve"> </w:t>
      </w:r>
      <w:r>
        <w:t xml:space="preserve">“Agri-Food 4.0: A Survey of the Supply Chains and Technologies for the Future Agriculture.”</w:t>
      </w:r>
      <w:r>
        <w:t xml:space="preserve"> </w:t>
      </w:r>
      <w:r>
        <w:rPr>
          <w:iCs/>
          <w:i/>
        </w:rPr>
        <w:t xml:space="preserve">Computers in Industry</w:t>
      </w:r>
      <w:r>
        <w:t xml:space="preserve"> </w:t>
      </w:r>
      <w:r>
        <w:t xml:space="preserve">117: 103187.</w:t>
      </w:r>
      <w:r>
        <w:t xml:space="preserve"> </w:t>
      </w:r>
      <w:hyperlink r:id="rId213">
        <w:r>
          <w:rPr>
            <w:rStyle w:val="Hyperlink"/>
          </w:rPr>
          <w:t xml:space="preserve">https://doi.org/10.1016/j.compind.2020.103187</w:t>
        </w:r>
      </w:hyperlink>
      <w:r>
        <w:t xml:space="preserve">.</w:t>
      </w:r>
    </w:p>
    <w:bookmarkEnd w:id="214"/>
    <w:bookmarkStart w:id="216" w:name="ref-li2018lossless"/>
    <w:p>
      <w:pPr>
        <w:pStyle w:val="Bibliography"/>
      </w:pPr>
      <w:r>
        <w:t xml:space="preserve">Li, Shancang, Li Da Xu, and Shanshan Zhao. 2018.</w:t>
      </w:r>
      <w:r>
        <w:t xml:space="preserve"> </w:t>
      </w:r>
      <w:r>
        <w:t xml:space="preserve">“5G Internet of Things: A Survey.”</w:t>
      </w:r>
      <w:r>
        <w:t xml:space="preserve"> </w:t>
      </w:r>
      <w:r>
        <w:rPr>
          <w:iCs/>
          <w:i/>
        </w:rPr>
        <w:t xml:space="preserve">Journal of Industrial Information Integration</w:t>
      </w:r>
      <w:r>
        <w:t xml:space="preserve"> </w:t>
      </w:r>
      <w:r>
        <w:t xml:space="preserve">10: 1–9.</w:t>
      </w:r>
      <w:r>
        <w:t xml:space="preserve"> </w:t>
      </w:r>
      <w:hyperlink r:id="rId215">
        <w:r>
          <w:rPr>
            <w:rStyle w:val="Hyperlink"/>
          </w:rPr>
          <w:t xml:space="preserve">https://doi.org/10.1016/j.jii.2018.01.005</w:t>
        </w:r>
      </w:hyperlink>
      <w:r>
        <w:t xml:space="preserve">.</w:t>
      </w:r>
    </w:p>
    <w:bookmarkEnd w:id="216"/>
    <w:bookmarkStart w:id="218" w:name="ref-li2020performance"/>
    <w:p>
      <w:pPr>
        <w:pStyle w:val="Bibliography"/>
      </w:pPr>
      <w:r>
        <w:t xml:space="preserve">Li, Shancang, Jie Li, Jia Liu, Hao Wang, and Shanshan Zhao. 2020.</w:t>
      </w:r>
      <w:r>
        <w:t xml:space="preserve"> </w:t>
      </w:r>
      <w:r>
        <w:t xml:space="preserve">“Performance Analysis of LoRa Networks for Smart Agriculture.”</w:t>
      </w:r>
      <w:r>
        <w:t xml:space="preserve"> </w:t>
      </w:r>
      <w:r>
        <w:rPr>
          <w:iCs/>
          <w:i/>
        </w:rPr>
        <w:t xml:space="preserve">IEEE Internet of Things Journal</w:t>
      </w:r>
      <w:r>
        <w:t xml:space="preserve"> </w:t>
      </w:r>
      <w:r>
        <w:t xml:space="preserve">7 (10): 10045–57.</w:t>
      </w:r>
      <w:r>
        <w:t xml:space="preserve"> </w:t>
      </w:r>
      <w:hyperlink r:id="rId217">
        <w:r>
          <w:rPr>
            <w:rStyle w:val="Hyperlink"/>
          </w:rPr>
          <w:t xml:space="preserve">https://doi.org/10.1109/JIOT.2020.2999323</w:t>
        </w:r>
      </w:hyperlink>
      <w:r>
        <w:t xml:space="preserve">.</w:t>
      </w:r>
    </w:p>
    <w:bookmarkEnd w:id="218"/>
    <w:bookmarkStart w:id="220" w:name="ref-lin2018blockchain"/>
    <w:p>
      <w:pPr>
        <w:pStyle w:val="Bibliography"/>
      </w:pPr>
      <w:r>
        <w:t xml:space="preserve">Lin, Jian, Zhiqi Shen, Anting Zhang, and Yi Chai. 2018.</w:t>
      </w:r>
      <w:r>
        <w:t xml:space="preserve"> </w:t>
      </w:r>
      <w:r>
        <w:t xml:space="preserve">“Blockchain and IoT Based Food Traceability System for Smart Agriculture.”</w:t>
      </w:r>
      <w:r>
        <w:t xml:space="preserve"> </w:t>
      </w:r>
      <w:r>
        <w:t xml:space="preserve">In</w:t>
      </w:r>
      <w:r>
        <w:t xml:space="preserve"> </w:t>
      </w:r>
      <w:r>
        <w:rPr>
          <w:iCs/>
          <w:i/>
        </w:rPr>
        <w:t xml:space="preserve">Proceedings of the 3rd International Conference on Crowd Science and Engineering</w:t>
      </w:r>
      <w:r>
        <w:t xml:space="preserve">, 1–6.</w:t>
      </w:r>
      <w:r>
        <w:t xml:space="preserve"> </w:t>
      </w:r>
      <w:hyperlink r:id="rId219">
        <w:r>
          <w:rPr>
            <w:rStyle w:val="Hyperlink"/>
          </w:rPr>
          <w:t xml:space="preserve">https://doi.org/10.1145/3265689.3265692</w:t>
        </w:r>
      </w:hyperlink>
      <w:r>
        <w:t xml:space="preserve">.</w:t>
      </w:r>
    </w:p>
    <w:bookmarkEnd w:id="220"/>
    <w:bookmarkStart w:id="221" w:name="ref-lin2020blockchain"/>
    <w:p>
      <w:pPr>
        <w:pStyle w:val="Bibliography"/>
      </w:pPr>
      <w:r>
        <w:t xml:space="preserve">Lin, J., Z. Shen, A. Zhang, and Y. Chai. 2018.</w:t>
      </w:r>
      <w:r>
        <w:t xml:space="preserve"> </w:t>
      </w:r>
      <w:r>
        <w:t xml:space="preserve">“Blockchain and</w:t>
      </w:r>
      <w:r>
        <w:t xml:space="preserve"> </w:t>
      </w:r>
      <w:r>
        <w:t xml:space="preserve">IoT</w:t>
      </w:r>
      <w:r>
        <w:t xml:space="preserve"> </w:t>
      </w:r>
      <w:r>
        <w:t xml:space="preserve">Based Food Traceability for Smart Agriculture.”</w:t>
      </w:r>
      <w:r>
        <w:t xml:space="preserve"> </w:t>
      </w:r>
      <w:r>
        <w:rPr>
          <w:iCs/>
          <w:i/>
        </w:rPr>
        <w:t xml:space="preserve">Proceedings of the 3rd International Conference on Crowd Science and Engineering</w:t>
      </w:r>
      <w:r>
        <w:t xml:space="preserve">, 1–6.</w:t>
      </w:r>
      <w:r>
        <w:t xml:space="preserve"> </w:t>
      </w:r>
      <w:hyperlink r:id="rId219">
        <w:r>
          <w:rPr>
            <w:rStyle w:val="Hyperlink"/>
          </w:rPr>
          <w:t xml:space="preserve">https://doi.org/10.1145/3265689.3265692</w:t>
        </w:r>
      </w:hyperlink>
      <w:r>
        <w:t xml:space="preserve">.</w:t>
      </w:r>
    </w:p>
    <w:bookmarkEnd w:id="221"/>
    <w:bookmarkStart w:id="223" w:name="ref-liu2019edge"/>
    <w:p>
      <w:pPr>
        <w:pStyle w:val="Bibliography"/>
      </w:pPr>
      <w:r>
        <w:t xml:space="preserve">Liu, Yang, Cheng Yang, Li Jiang, Shengli Xie, and Yan Zhang. 2019.</w:t>
      </w:r>
      <w:r>
        <w:t xml:space="preserve"> </w:t>
      </w:r>
      <w:r>
        <w:t xml:space="preserve">“Intelligent Edge Computing for IoT-Based Energy Management in Smart Cities.”</w:t>
      </w:r>
      <w:r>
        <w:t xml:space="preserve"> </w:t>
      </w:r>
      <w:r>
        <w:rPr>
          <w:iCs/>
          <w:i/>
        </w:rPr>
        <w:t xml:space="preserve">IEEE Network</w:t>
      </w:r>
      <w:r>
        <w:t xml:space="preserve"> </w:t>
      </w:r>
      <w:r>
        <w:t xml:space="preserve">33 (2): 111–17.</w:t>
      </w:r>
      <w:r>
        <w:t xml:space="preserve"> </w:t>
      </w:r>
      <w:hyperlink r:id="rId222">
        <w:r>
          <w:rPr>
            <w:rStyle w:val="Hyperlink"/>
          </w:rPr>
          <w:t xml:space="preserve">https://doi.org/10.1109/MNET.2019.1800254</w:t>
        </w:r>
      </w:hyperlink>
      <w:r>
        <w:t xml:space="preserve">.</w:t>
      </w:r>
    </w:p>
    <w:bookmarkEnd w:id="223"/>
    <w:bookmarkStart w:id="225" w:name="ref-lu2022revocation"/>
    <w:p>
      <w:pPr>
        <w:pStyle w:val="Bibliography"/>
      </w:pPr>
      <w:r>
        <w:t xml:space="preserve">Lu, Zhihua, Wei Wang, Xiaoyu Zhang, and Lin Chen. 2022.</w:t>
      </w:r>
      <w:r>
        <w:t xml:space="preserve"> </w:t>
      </w:r>
      <w:r>
        <w:t xml:space="preserve">“Reducing Revocation Latency in IoV Using Edge Computing and Permissioned Blockchain.”</w:t>
      </w:r>
      <w:r>
        <w:t xml:space="preserve"> </w:t>
      </w:r>
      <w:r>
        <w:t xml:space="preserve">In</w:t>
      </w:r>
      <w:r>
        <w:t xml:space="preserve"> </w:t>
      </w:r>
      <w:r>
        <w:rPr>
          <w:iCs/>
          <w:i/>
        </w:rPr>
        <w:t xml:space="preserve">2022 IEEE International Conference on Blockchain (Blockchain)</w:t>
      </w:r>
      <w:r>
        <w:t xml:space="preserve">, 345–52. IEEE.</w:t>
      </w:r>
      <w:r>
        <w:t xml:space="preserve"> </w:t>
      </w:r>
      <w:hyperlink r:id="rId224">
        <w:r>
          <w:rPr>
            <w:rStyle w:val="Hyperlink"/>
          </w:rPr>
          <w:t xml:space="preserve">https://doi.org/10.1109/Blockchain55522.2022.00055</w:t>
        </w:r>
      </w:hyperlink>
      <w:r>
        <w:t xml:space="preserve">.</w:t>
      </w:r>
    </w:p>
    <w:bookmarkEnd w:id="225"/>
    <w:bookmarkStart w:id="227" w:name="ref-cui2023ipfsFabric"/>
    <w:p>
      <w:pPr>
        <w:pStyle w:val="Bibliography"/>
      </w:pPr>
      <w:r>
        <w:t xml:space="preserve">Mao, Dandan, Zhenning Hao, Fan Wang, and Hao Li. 2018.</w:t>
      </w:r>
      <w:r>
        <w:t xml:space="preserve"> </w:t>
      </w:r>
      <w:r>
        <w:t xml:space="preserve">“Innovative Blockchain-Based Approach for Sustainable and Credible Environment in Food Trade: A Case Study in</w:t>
      </w:r>
      <w:r>
        <w:t xml:space="preserve"> </w:t>
      </w:r>
      <w:r>
        <w:t xml:space="preserve">Shandong</w:t>
      </w:r>
      <w:r>
        <w:t xml:space="preserve"> </w:t>
      </w:r>
      <w:r>
        <w:t xml:space="preserve">Province,</w:t>
      </w:r>
      <w:r>
        <w:t xml:space="preserve"> </w:t>
      </w:r>
      <w:r>
        <w:t xml:space="preserve">China</w:t>
      </w:r>
      <w:r>
        <w:t xml:space="preserve">.”</w:t>
      </w:r>
      <w:r>
        <w:t xml:space="preserve"> </w:t>
      </w:r>
      <w:r>
        <w:rPr>
          <w:iCs/>
          <w:i/>
        </w:rPr>
        <w:t xml:space="preserve">Sustainability</w:t>
      </w:r>
      <w:r>
        <w:t xml:space="preserve"> </w:t>
      </w:r>
      <w:r>
        <w:t xml:space="preserve">10 (9): 3149.</w:t>
      </w:r>
      <w:r>
        <w:t xml:space="preserve"> </w:t>
      </w:r>
      <w:hyperlink r:id="rId226">
        <w:r>
          <w:rPr>
            <w:rStyle w:val="Hyperlink"/>
          </w:rPr>
          <w:t xml:space="preserve">https://doi.org/10.3390/su10093149</w:t>
        </w:r>
      </w:hyperlink>
      <w:r>
        <w:t xml:space="preserve">.</w:t>
      </w:r>
    </w:p>
    <w:bookmarkEnd w:id="227"/>
    <w:bookmarkStart w:id="229"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228">
        <w:r>
          <w:rPr>
            <w:rStyle w:val="Hyperlink"/>
          </w:rPr>
          <w:t xml:space="preserve">https://doi.org/10.1109/LCOMM.2008.080300</w:t>
        </w:r>
      </w:hyperlink>
      <w:r>
        <w:t xml:space="preserve">.</w:t>
      </w:r>
    </w:p>
    <w:bookmarkEnd w:id="229"/>
    <w:bookmarkStart w:id="231"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230">
        <w:r>
          <w:rPr>
            <w:rStyle w:val="Hyperlink"/>
          </w:rPr>
          <w:t xml:space="preserve">https://doi.org/10.1093/comjnl/bxp118</w:t>
        </w:r>
      </w:hyperlink>
      <w:r>
        <w:t xml:space="preserve">.</w:t>
      </w:r>
    </w:p>
    <w:bookmarkEnd w:id="231"/>
    <w:bookmarkStart w:id="233" w:name="ref-mcbratney2005future"/>
    <w:p>
      <w:pPr>
        <w:pStyle w:val="Bibliography"/>
      </w:pPr>
      <w:r>
        <w:t xml:space="preserve">McBratney, Alex, Brett Whelan, and Tiho Ancev. 2005.</w:t>
      </w:r>
      <w:r>
        <w:t xml:space="preserve"> </w:t>
      </w:r>
      <w:r>
        <w:t xml:space="preserve">“Future Directions of Precision Agriculture.”</w:t>
      </w:r>
      <w:r>
        <w:t xml:space="preserve"> </w:t>
      </w:r>
      <w:r>
        <w:rPr>
          <w:iCs/>
          <w:i/>
        </w:rPr>
        <w:t xml:space="preserve">Precision Agriculture</w:t>
      </w:r>
      <w:r>
        <w:t xml:space="preserve"> </w:t>
      </w:r>
      <w:r>
        <w:t xml:space="preserve">6: 7–23.</w:t>
      </w:r>
      <w:r>
        <w:t xml:space="preserve"> </w:t>
      </w:r>
      <w:hyperlink r:id="rId232">
        <w:r>
          <w:rPr>
            <w:rStyle w:val="Hyperlink"/>
          </w:rPr>
          <w:t xml:space="preserve">https://doi.org/10.1007/s11119-005-0681-8</w:t>
        </w:r>
      </w:hyperlink>
      <w:r>
        <w:t xml:space="preserve">.</w:t>
      </w:r>
    </w:p>
    <w:bookmarkEnd w:id="233"/>
    <w:bookmarkStart w:id="235" w:name="ref-fernandez2024iotTamper"/>
    <w:p>
      <w:pPr>
        <w:pStyle w:val="Bibliography"/>
      </w:pPr>
      <w:r>
        <w:t xml:space="preserve">Merkle, Ralph C. 1988.</w:t>
      </w:r>
      <w:r>
        <w:t xml:space="preserve"> </w:t>
      </w:r>
      <w:r>
        <w:t xml:space="preserve">“A Digital Signature Based on a Conventional Encryption Function.”</w:t>
      </w:r>
      <w:r>
        <w:t xml:space="preserve"> </w:t>
      </w:r>
      <w:r>
        <w:rPr>
          <w:iCs/>
          <w:i/>
        </w:rPr>
        <w:t xml:space="preserve">Lecture Notes in Computer Science</w:t>
      </w:r>
      <w:r>
        <w:t xml:space="preserve"> </w:t>
      </w:r>
      <w:r>
        <w:t xml:space="preserve">293: 369–78.</w:t>
      </w:r>
      <w:r>
        <w:t xml:space="preserve"> </w:t>
      </w:r>
      <w:hyperlink r:id="rId234">
        <w:r>
          <w:rPr>
            <w:rStyle w:val="Hyperlink"/>
          </w:rPr>
          <w:t xml:space="preserve">https://doi.org/10.1007/3-540-48184-2_32</w:t>
        </w:r>
      </w:hyperlink>
      <w:r>
        <w:t xml:space="preserve">.</w:t>
      </w:r>
    </w:p>
    <w:bookmarkEnd w:id="235"/>
    <w:bookmarkStart w:id="237" w:name="ref-mohanty2016using"/>
    <w:p>
      <w:pPr>
        <w:pStyle w:val="Bibliography"/>
      </w:pPr>
      <w:r>
        <w:t xml:space="preserve">Mohanty, Sharada P., David P. Hughes, and Marcel Salathé. 2016.</w:t>
      </w:r>
      <w:r>
        <w:t xml:space="preserve"> </w:t>
      </w:r>
      <w:r>
        <w:t xml:space="preserve">“Using Deep Learning for Image-Based Plant Disease Detection.”</w:t>
      </w:r>
      <w:r>
        <w:t xml:space="preserve"> </w:t>
      </w:r>
      <w:r>
        <w:rPr>
          <w:iCs/>
          <w:i/>
        </w:rPr>
        <w:t xml:space="preserve">Frontiers in Plant Science</w:t>
      </w:r>
      <w:r>
        <w:t xml:space="preserve"> </w:t>
      </w:r>
      <w:r>
        <w:t xml:space="preserve">7: 1419.</w:t>
      </w:r>
      <w:r>
        <w:t xml:space="preserve"> </w:t>
      </w:r>
      <w:hyperlink r:id="rId236">
        <w:r>
          <w:rPr>
            <w:rStyle w:val="Hyperlink"/>
          </w:rPr>
          <w:t xml:space="preserve">https://doi.org/10.3389/fpls.2016.01419</w:t>
        </w:r>
      </w:hyperlink>
      <w:r>
        <w:t xml:space="preserve">.</w:t>
      </w:r>
    </w:p>
    <w:bookmarkEnd w:id="237"/>
    <w:bookmarkStart w:id="239" w:name="ref-agri2024sensorAccuracy"/>
    <w:p>
      <w:pPr>
        <w:pStyle w:val="Bibliography"/>
      </w:pPr>
      <w:r>
        <w:t xml:space="preserve">Molina-Cuevas, Alexander, William Quijano-Velasco, and Antonio Guerrero-González. 2021.</w:t>
      </w:r>
      <w:r>
        <w:t xml:space="preserve"> </w:t>
      </w:r>
      <w:r>
        <w:t xml:space="preserve">“Low-Cost</w:t>
      </w:r>
      <w:r>
        <w:t xml:space="preserve"> </w:t>
      </w:r>
      <w:r>
        <w:t xml:space="preserve">IoT</w:t>
      </w:r>
      <w:r>
        <w:t xml:space="preserve">-Based Soil Monitoring System: Design and Accuracy Assessment.”</w:t>
      </w:r>
      <w:r>
        <w:t xml:space="preserve"> </w:t>
      </w:r>
      <w:r>
        <w:rPr>
          <w:iCs/>
          <w:i/>
        </w:rPr>
        <w:t xml:space="preserve">Sensors</w:t>
      </w:r>
      <w:r>
        <w:t xml:space="preserve"> </w:t>
      </w:r>
      <w:r>
        <w:t xml:space="preserve">21 (23): 7964.</w:t>
      </w:r>
      <w:r>
        <w:t xml:space="preserve"> </w:t>
      </w:r>
      <w:hyperlink r:id="rId238">
        <w:r>
          <w:rPr>
            <w:rStyle w:val="Hyperlink"/>
          </w:rPr>
          <w:t xml:space="preserve">https://doi.org/10.3390/s21237964</w:t>
        </w:r>
      </w:hyperlink>
      <w:r>
        <w:t xml:space="preserve">.</w:t>
      </w:r>
    </w:p>
    <w:bookmarkEnd w:id="239"/>
    <w:bookmarkStart w:id="240" w:name="ref-ttn2024eu868"/>
    <w:p>
      <w:pPr>
        <w:pStyle w:val="Bibliography"/>
      </w:pPr>
      <w:r>
        <w:t xml:space="preserve">Network, The Things. 2024.</w:t>
      </w:r>
      <w:r>
        <w:t xml:space="preserve"> </w:t>
      </w:r>
      <w:r>
        <w:t xml:space="preserve">“EU868 LoRaWAN Frequency Plan.”</w:t>
      </w:r>
      <w:r>
        <w:t xml:space="preserve"> </w:t>
      </w:r>
      <w:r>
        <w:rPr>
          <w:iCs/>
          <w:i/>
        </w:rPr>
        <w:t xml:space="preserve">TTN Documentation</w:t>
      </w:r>
      <w:r>
        <w:t xml:space="preserve">.</w:t>
      </w:r>
    </w:p>
    <w:bookmarkEnd w:id="240"/>
    <w:bookmarkStart w:id="241" w:name="ref-ongaro2014raft"/>
    <w:p>
      <w:pPr>
        <w:pStyle w:val="Bibliography"/>
      </w:pPr>
      <w:r>
        <w:t xml:space="preserve">Ongaro, Diego, and John Ousterhout. 2014.</w:t>
      </w:r>
      <w:r>
        <w:t xml:space="preserve"> </w:t>
      </w:r>
      <w:r>
        <w:t xml:space="preserve">“In Search of an Understandable Consensus Algorithm.”</w:t>
      </w:r>
      <w:r>
        <w:t xml:space="preserve"> </w:t>
      </w:r>
      <w:r>
        <w:rPr>
          <w:iCs/>
          <w:i/>
        </w:rPr>
        <w:t xml:space="preserve">USENIX Annual Technical Conference</w:t>
      </w:r>
      <w:r>
        <w:t xml:space="preserve">, 305–19.</w:t>
      </w:r>
    </w:p>
    <w:bookmarkEnd w:id="241"/>
    <w:bookmarkStart w:id="243"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242">
        <w:r>
          <w:rPr>
            <w:rStyle w:val="Hyperlink"/>
          </w:rPr>
          <w:t xml:space="preserve">https://doi.org/10.3390/s22134868</w:t>
        </w:r>
      </w:hyperlink>
      <w:r>
        <w:t xml:space="preserve">.</w:t>
      </w:r>
    </w:p>
    <w:bookmarkEnd w:id="243"/>
    <w:bookmarkStart w:id="244" w:name="ref-parhami2010computer"/>
    <w:p>
      <w:pPr>
        <w:pStyle w:val="Bibliography"/>
      </w:pPr>
      <w:r>
        <w:t xml:space="preserve">Parhami, Behrooz. 2010.</w:t>
      </w:r>
      <w:r>
        <w:t xml:space="preserve"> </w:t>
      </w:r>
      <w:r>
        <w:rPr>
          <w:iCs/>
          <w:i/>
        </w:rPr>
        <w:t xml:space="preserve">Computer Arithmetic: Algorithms and Hardware Designs</w:t>
      </w:r>
      <w:r>
        <w:t xml:space="preserve">. 2nd ed. Oxford University Press.</w:t>
      </w:r>
    </w:p>
    <w:bookmarkEnd w:id="244"/>
    <w:bookmarkStart w:id="246" w:name="ref-precision2020yield"/>
    <w:p>
      <w:pPr>
        <w:pStyle w:val="Bibliography"/>
      </w:pPr>
      <w:r>
        <w:t xml:space="preserve">Patanè, Cristina, and Salvatore L. Cosentino. 2010.</w:t>
      </w:r>
      <w:r>
        <w:t xml:space="preserve"> </w:t>
      </w:r>
      <w:r>
        <w:t xml:space="preserve">“Effects of Soil Water Deficit on Yield and Quality of Processing Tomato Under a</w:t>
      </w:r>
      <w:r>
        <w:t xml:space="preserve"> </w:t>
      </w:r>
      <w:r>
        <w:t xml:space="preserve">Mediterranean</w:t>
      </w:r>
      <w:r>
        <w:t xml:space="preserve"> </w:t>
      </w:r>
      <w:r>
        <w:t xml:space="preserve">Climate.”</w:t>
      </w:r>
      <w:r>
        <w:t xml:space="preserve"> </w:t>
      </w:r>
      <w:r>
        <w:rPr>
          <w:iCs/>
          <w:i/>
        </w:rPr>
        <w:t xml:space="preserve">Agricultural Water Management</w:t>
      </w:r>
      <w:r>
        <w:t xml:space="preserve"> </w:t>
      </w:r>
      <w:r>
        <w:t xml:space="preserve">97 (1): 131–38.</w:t>
      </w:r>
      <w:r>
        <w:t xml:space="preserve"> </w:t>
      </w:r>
      <w:hyperlink r:id="rId245">
        <w:r>
          <w:rPr>
            <w:rStyle w:val="Hyperlink"/>
          </w:rPr>
          <w:t xml:space="preserve">https://doi.org/10.1016/j.agwat.2009.08.021</w:t>
        </w:r>
      </w:hyperlink>
      <w:r>
        <w:t xml:space="preserve">.</w:t>
      </w:r>
    </w:p>
    <w:bookmarkEnd w:id="246"/>
    <w:bookmarkStart w:id="248" w:name="ref-patil2022blockchain"/>
    <w:p>
      <w:pPr>
        <w:pStyle w:val="Bibliography"/>
      </w:pPr>
      <w:r>
        <w:t xml:space="preserve">Patil, Akshay S., Bayu Adhi Tama, YoungHo Park, and Kyung-Hyune Rhee. 2022.</w:t>
      </w:r>
      <w:r>
        <w:t xml:space="preserve"> </w:t>
      </w:r>
      <w:r>
        <w:t xml:space="preserve">“A Framework for Blockchain-Based Smart Farming System Using IoT.”</w:t>
      </w:r>
      <w:r>
        <w:t xml:space="preserve"> </w:t>
      </w:r>
      <w:r>
        <w:rPr>
          <w:iCs/>
          <w:i/>
        </w:rPr>
        <w:t xml:space="preserve">IEEE Access</w:t>
      </w:r>
      <w:r>
        <w:t xml:space="preserve"> </w:t>
      </w:r>
      <w:r>
        <w:t xml:space="preserve">10: 6845–62.</w:t>
      </w:r>
      <w:r>
        <w:t xml:space="preserve"> </w:t>
      </w:r>
      <w:hyperlink r:id="rId247">
        <w:r>
          <w:rPr>
            <w:rStyle w:val="Hyperlink"/>
          </w:rPr>
          <w:t xml:space="preserve">https://doi.org/10.1109/ACCESS.2022.3142563</w:t>
        </w:r>
      </w:hyperlink>
      <w:r>
        <w:t xml:space="preserve">.</w:t>
      </w:r>
    </w:p>
    <w:bookmarkEnd w:id="248"/>
    <w:bookmarkStart w:id="250"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249">
        <w:r>
          <w:rPr>
            <w:rStyle w:val="Hyperlink"/>
          </w:rPr>
          <w:t xml:space="preserve">https://doi.org/10.1016/S0378-3774(02)00075-6</w:t>
        </w:r>
      </w:hyperlink>
      <w:r>
        <w:t xml:space="preserve">.</w:t>
      </w:r>
    </w:p>
    <w:bookmarkEnd w:id="250"/>
    <w:bookmarkStart w:id="252" w:name="ref-pierce1999site"/>
    <w:p>
      <w:pPr>
        <w:pStyle w:val="Bibliography"/>
      </w:pPr>
      <w:r>
        <w:t xml:space="preserve">Pierce, Francis J., and Peter Nowak. 1999.</w:t>
      </w:r>
      <w:r>
        <w:t xml:space="preserve"> </w:t>
      </w:r>
      <w:r>
        <w:t xml:space="preserve">“Aspects of Precision Agriculture.”</w:t>
      </w:r>
      <w:r>
        <w:t xml:space="preserve"> </w:t>
      </w:r>
      <w:r>
        <w:rPr>
          <w:iCs/>
          <w:i/>
        </w:rPr>
        <w:t xml:space="preserve">Advances in Agronomy</w:t>
      </w:r>
      <w:r>
        <w:t xml:space="preserve"> </w:t>
      </w:r>
      <w:r>
        <w:t xml:space="preserve">67: 1–85.</w:t>
      </w:r>
      <w:r>
        <w:t xml:space="preserve"> </w:t>
      </w:r>
      <w:hyperlink r:id="rId251">
        <w:r>
          <w:rPr>
            <w:rStyle w:val="Hyperlink"/>
          </w:rPr>
          <w:t xml:space="preserve">https://doi.org/10.1016/S0065-2113(08)60513-1</w:t>
        </w:r>
      </w:hyperlink>
      <w:r>
        <w:t xml:space="preserve">.</w:t>
      </w:r>
    </w:p>
    <w:bookmarkEnd w:id="252"/>
    <w:bookmarkStart w:id="253" w:name="ref-polastre2005versatile"/>
    <w:p>
      <w:pPr>
        <w:pStyle w:val="Bibliography"/>
      </w:pPr>
      <w:r>
        <w:t xml:space="preserve">Polastre, Joseph, Jason Hill, and David Culler. 2004.</w:t>
      </w:r>
      <w:r>
        <w:t xml:space="preserve"> </w:t>
      </w:r>
      <w:r>
        <w:t xml:space="preserve">“Versatile Low Power Media Access for Wireless Sensor Networks.”</w:t>
      </w:r>
      <w:r>
        <w:t xml:space="preserve"> </w:t>
      </w:r>
      <w:r>
        <w:rPr>
          <w:iCs/>
          <w:i/>
        </w:rPr>
        <w:t xml:space="preserve">Proceedings of the 2nd International Conference on Embedded Networked Sensor Systems</w:t>
      </w:r>
      <w:r>
        <w:t xml:space="preserve">, 95–107.</w:t>
      </w:r>
    </w:p>
    <w:bookmarkEnd w:id="253"/>
    <w:bookmarkStart w:id="255" w:name="ref-rahman2022rnsenergy"/>
    <w:p>
      <w:pPr>
        <w:pStyle w:val="Bibliography"/>
      </w:pPr>
      <w:r>
        <w:t xml:space="preserve">Pourbigharaz, Farideh, and Hossein M. Yassine. 1994.</w:t>
      </w:r>
      <w:r>
        <w:t xml:space="preserve"> </w:t>
      </w:r>
      <w:r>
        <w:t xml:space="preserve">“Modulo-Free Architecture for Binary to Residue Number System Conversion for Moduli Set</w:t>
      </w:r>
      <w:r>
        <w:t xml:space="preserve"> </w:t>
      </w:r>
      <m:oMath>
        <m:r>
          <m:rPr>
            <m:sty m:val="p"/>
          </m:rPr>
          <m:t>{</m:t>
        </m:r>
        <m:sSup>
          <m:e>
            <m:r>
              <m:t>2</m:t>
            </m:r>
          </m:e>
          <m:sup>
            <m:r>
              <m:t>n</m:t>
            </m:r>
          </m:sup>
        </m:sSup>
        <m:r>
          <m:rPr>
            <m:sty m:val="p"/>
          </m:rPr>
          <m:t>,</m:t>
        </m:r>
        <m:sSup>
          <m:e>
            <m:r>
              <m:t>2</m:t>
            </m:r>
          </m:e>
          <m:sup>
            <m:r>
              <m:t>n</m:t>
            </m:r>
          </m:sup>
        </m:sSup>
        <m:r>
          <m:rPr>
            <m:sty m:val="p"/>
          </m:rPr>
          <m:t>−</m:t>
        </m:r>
        <m:r>
          <m:t>1</m:t>
        </m:r>
        <m:r>
          <m:rPr>
            <m:sty m:val="p"/>
          </m:rPr>
          <m:t>,</m:t>
        </m:r>
        <m:sSup>
          <m:e>
            <m:r>
              <m:t>2</m:t>
            </m:r>
          </m:e>
          <m:sup>
            <m:r>
              <m:t>n</m:t>
            </m:r>
            <m:r>
              <m:rPr>
                <m:sty m:val="p"/>
              </m:rPr>
              <m:t>−</m:t>
            </m:r>
            <m:r>
              <m:t>1</m:t>
            </m:r>
          </m:sup>
        </m:sSup>
        <m:r>
          <m:rPr>
            <m:sty m:val="p"/>
          </m:rPr>
          <m:t>−</m:t>
        </m:r>
        <m:r>
          <m:t>1</m:t>
        </m:r>
        <m:r>
          <m:rPr>
            <m:sty m:val="p"/>
          </m:rPr>
          <m:t>}</m:t>
        </m:r>
      </m:oMath>
      <w:r>
        <w:t xml:space="preserve">.”</w:t>
      </w:r>
      <w:r>
        <w:t xml:space="preserve"> </w:t>
      </w:r>
      <w:r>
        <w:rPr>
          <w:iCs/>
          <w:i/>
        </w:rPr>
        <w:t xml:space="preserve">1994 IEEE International Symposium on Circuits and Systems (ISCAS)</w:t>
      </w:r>
      <w:r>
        <w:t xml:space="preserve"> </w:t>
      </w:r>
      <w:r>
        <w:t xml:space="preserve">2: 317–20.</w:t>
      </w:r>
      <w:r>
        <w:t xml:space="preserve"> </w:t>
      </w:r>
      <w:hyperlink r:id="rId254">
        <w:r>
          <w:rPr>
            <w:rStyle w:val="Hyperlink"/>
          </w:rPr>
          <w:t xml:space="preserve">https://doi.org/10.1109/ISCAS.1994.408967</w:t>
        </w:r>
      </w:hyperlink>
      <w:r>
        <w:t xml:space="preserve">.</w:t>
      </w:r>
    </w:p>
    <w:bookmarkEnd w:id="255"/>
    <w:bookmarkStart w:id="257" w:name="ref-pritchett2008base"/>
    <w:p>
      <w:pPr>
        <w:pStyle w:val="Bibliography"/>
      </w:pPr>
      <w:r>
        <w:t xml:space="preserve">Pritchett, Dan. 2008.</w:t>
      </w:r>
      <w:r>
        <w:t xml:space="preserve"> </w:t>
      </w:r>
      <w:r>
        <w:t xml:space="preserve">“BASE: An ACID Alternative.”</w:t>
      </w:r>
      <w:r>
        <w:t xml:space="preserve"> </w:t>
      </w:r>
      <w:r>
        <w:rPr>
          <w:iCs/>
          <w:i/>
        </w:rPr>
        <w:t xml:space="preserve">Queue</w:t>
      </w:r>
      <w:r>
        <w:t xml:space="preserve"> </w:t>
      </w:r>
      <w:r>
        <w:t xml:space="preserve">6 (3): 48–55.</w:t>
      </w:r>
      <w:r>
        <w:t xml:space="preserve"> </w:t>
      </w:r>
      <w:hyperlink r:id="rId256">
        <w:r>
          <w:rPr>
            <w:rStyle w:val="Hyperlink"/>
          </w:rPr>
          <w:t xml:space="preserve">https://doi.org/10.1145/1394127.1394128</w:t>
        </w:r>
      </w:hyperlink>
      <w:r>
        <w:t xml:space="preserve">.</w:t>
      </w:r>
    </w:p>
    <w:bookmarkEnd w:id="257"/>
    <w:bookmarkStart w:id="259" w:name="ref-khan2021fabricCRT"/>
    <w:p>
      <w:pPr>
        <w:pStyle w:val="Bibliography"/>
      </w:pPr>
      <w:r>
        <w:t xml:space="preserve">Rahman, Md Atiqur, Faisal Hamzah, and Ghazanfar Ali Safdar. 2022.</w:t>
      </w:r>
      <w:r>
        <w:t xml:space="preserve"> </w:t>
      </w:r>
      <w:r>
        <w:t xml:space="preserve">“Residue Number System-Based Approach to Minimise Energy Consumption in Wireless Sensor Networks.”</w:t>
      </w:r>
      <w:r>
        <w:t xml:space="preserve"> </w:t>
      </w:r>
      <w:r>
        <w:rPr>
          <w:iCs/>
          <w:i/>
        </w:rPr>
        <w:t xml:space="preserve">IEEE Access</w:t>
      </w:r>
      <w:r>
        <w:t xml:space="preserve"> </w:t>
      </w:r>
      <w:r>
        <w:t xml:space="preserve">10: 51432–44.</w:t>
      </w:r>
      <w:r>
        <w:t xml:space="preserve"> </w:t>
      </w:r>
      <w:hyperlink r:id="rId258">
        <w:r>
          <w:rPr>
            <w:rStyle w:val="Hyperlink"/>
          </w:rPr>
          <w:t xml:space="preserve">https://doi.org/10.1109/ACCESS.2022.3146851</w:t>
        </w:r>
      </w:hyperlink>
      <w:r>
        <w:t xml:space="preserve">.</w:t>
      </w:r>
    </w:p>
    <w:bookmarkEnd w:id="259"/>
    <w:bookmarkStart w:id="260" w:name="ref-raj2017comprehensive"/>
    <w:p>
      <w:pPr>
        <w:pStyle w:val="Bibliography"/>
      </w:pPr>
      <w:r>
        <w:t xml:space="preserve">Raj, Emilin Renu, and D. V. Prasad. 2017.</w:t>
      </w:r>
      <w:r>
        <w:t xml:space="preserve"> </w:t>
      </w:r>
      <w:r>
        <w:t xml:space="preserve">“A Comprehensive Study on LoRa Technology for Wireless Sensor Networks.”</w:t>
      </w:r>
      <w:r>
        <w:t xml:space="preserve"> </w:t>
      </w:r>
      <w:r>
        <w:rPr>
          <w:iCs/>
          <w:i/>
        </w:rPr>
        <w:t xml:space="preserve">International Journal of Advanced Research in Computer Science</w:t>
      </w:r>
      <w:r>
        <w:t xml:space="preserve"> </w:t>
      </w:r>
      <w:r>
        <w:t xml:space="preserve">8 (5): 1214–19.</w:t>
      </w:r>
    </w:p>
    <w:bookmarkEnd w:id="260"/>
    <w:bookmarkStart w:id="262" w:name="ref-rama2021systematic"/>
    <w:p>
      <w:pPr>
        <w:pStyle w:val="Bibliography"/>
      </w:pPr>
      <w:r>
        <w:t xml:space="preserve">Rama, R., V. Kanchana, N. Sivasankari, and S. Prabha. 2021.</w:t>
      </w:r>
      <w:r>
        <w:t xml:space="preserve"> </w:t>
      </w:r>
      <w:r>
        <w:t xml:space="preserve">“A Systematic Review of Blockchain Technology for Agriculture Supply Chain Management.”</w:t>
      </w:r>
      <w:r>
        <w:t xml:space="preserve"> </w:t>
      </w:r>
      <w:r>
        <w:rPr>
          <w:iCs/>
          <w:i/>
        </w:rPr>
        <w:t xml:space="preserve">Materials Today: Proceedings</w:t>
      </w:r>
      <w:r>
        <w:t xml:space="preserve"> </w:t>
      </w:r>
      <w:r>
        <w:t xml:space="preserve">47: 3148–54.</w:t>
      </w:r>
      <w:r>
        <w:t xml:space="preserve"> </w:t>
      </w:r>
      <w:hyperlink r:id="rId261">
        <w:r>
          <w:rPr>
            <w:rStyle w:val="Hyperlink"/>
          </w:rPr>
          <w:t xml:space="preserve">https://doi.org/10.1016/j.matpr.2021.06.253</w:t>
        </w:r>
      </w:hyperlink>
      <w:r>
        <w:t xml:space="preserve">.</w:t>
      </w:r>
    </w:p>
    <w:bookmarkEnd w:id="262"/>
    <w:bookmarkStart w:id="264"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263">
        <w:r>
          <w:rPr>
            <w:rStyle w:val="Hyperlink"/>
          </w:rPr>
          <w:t xml:space="preserve">https://doi.org/10.3389/frcmn.2025.1587402</w:t>
        </w:r>
      </w:hyperlink>
      <w:r>
        <w:t xml:space="preserve">.</w:t>
      </w:r>
    </w:p>
    <w:bookmarkEnd w:id="264"/>
    <w:bookmarkStart w:id="266" w:name="ref-reyna2018blockchain"/>
    <w:p>
      <w:pPr>
        <w:pStyle w:val="Bibliography"/>
      </w:pPr>
      <w:r>
        <w:t xml:space="preserve">Reyna, A., C. Martín, J. Chen, E. Soler, and M. Díaz. 2018.</w:t>
      </w:r>
      <w:r>
        <w:t xml:space="preserve"> </w:t>
      </w:r>
      <w:r>
        <w:t xml:space="preserve">“On Blockchain and Its Integration with IoT: Challenges and Opportunities.”</w:t>
      </w:r>
      <w:r>
        <w:t xml:space="preserve"> </w:t>
      </w:r>
      <w:r>
        <w:rPr>
          <w:iCs/>
          <w:i/>
        </w:rPr>
        <w:t xml:space="preserve">Future Generation Computer Systems</w:t>
      </w:r>
      <w:r>
        <w:t xml:space="preserve"> </w:t>
      </w:r>
      <w:r>
        <w:t xml:space="preserve">88: 173–90.</w:t>
      </w:r>
      <w:r>
        <w:t xml:space="preserve"> </w:t>
      </w:r>
      <w:hyperlink r:id="rId265">
        <w:r>
          <w:rPr>
            <w:rStyle w:val="Hyperlink"/>
          </w:rPr>
          <w:t xml:space="preserve">https://doi.org/10.1016/j.future.2018.05.046</w:t>
        </w:r>
      </w:hyperlink>
      <w:r>
        <w:t xml:space="preserve">.</w:t>
      </w:r>
    </w:p>
    <w:bookmarkEnd w:id="266"/>
    <w:bookmarkStart w:id="268" w:name="ref-safeer2024tomato"/>
    <w:p>
      <w:pPr>
        <w:pStyle w:val="Bibliography"/>
      </w:pPr>
      <w:r>
        <w:t xml:space="preserve">Safeer, Sajid, Paolo Ricciardi, Alessandro Romano, and Guido Russo. 2024.</w:t>
      </w:r>
      <w:r>
        <w:t xml:space="preserve"> </w:t>
      </w:r>
      <w:r>
        <w:t xml:space="preserve">“Blockchain-Backed Sustainable Management of the Italian Tomato Processing Industry.”</w:t>
      </w:r>
      <w:r>
        <w:t xml:space="preserve"> </w:t>
      </w:r>
      <w:r>
        <w:rPr>
          <w:iCs/>
          <w:i/>
        </w:rPr>
        <w:t xml:space="preserve">Agriculture</w:t>
      </w:r>
      <w:r>
        <w:t xml:space="preserve"> </w:t>
      </w:r>
      <w:r>
        <w:t xml:space="preserve">14 (7): 1120.</w:t>
      </w:r>
      <w:r>
        <w:t xml:space="preserve"> </w:t>
      </w:r>
      <w:hyperlink r:id="rId267">
        <w:r>
          <w:rPr>
            <w:rStyle w:val="Hyperlink"/>
          </w:rPr>
          <w:t xml:space="preserve">https://doi.org/10.3390/agriculture14071120</w:t>
        </w:r>
      </w:hyperlink>
      <w:r>
        <w:t xml:space="preserve">.</w:t>
      </w:r>
    </w:p>
    <w:bookmarkEnd w:id="268"/>
    <w:bookmarkStart w:id="270" w:name="ref-salah2019blockchain"/>
    <w:p>
      <w:pPr>
        <w:pStyle w:val="Bibliography"/>
      </w:pPr>
      <w:r>
        <w:t xml:space="preserve">Salah, Khaled, Nishara Nizamuddin, Raja Jayaraman, and Mohammed Omar. 2019a.</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269">
        <w:r>
          <w:rPr>
            <w:rStyle w:val="Hyperlink"/>
          </w:rPr>
          <w:t xml:space="preserve">https://doi.org/10.1109/ACCESS.2019.2918000</w:t>
        </w:r>
      </w:hyperlink>
      <w:r>
        <w:t xml:space="preserve">.</w:t>
      </w:r>
    </w:p>
    <w:bookmarkEnd w:id="270"/>
    <w:bookmarkStart w:id="271" w:name="ref-ali2022secureIOT"/>
    <w:p>
      <w:pPr>
        <w:pStyle w:val="Bibliography"/>
      </w:pPr>
      <w:r>
        <w:t xml:space="preserve">———. 2019b.</w:t>
      </w:r>
      <w:r>
        <w:t xml:space="preserve"> </w:t>
      </w:r>
      <w:r>
        <w:t xml:space="preserve">“Blockchain-Based Soybean Traceability in Agricultural Supply Chain.”</w:t>
      </w:r>
      <w:r>
        <w:t xml:space="preserve"> </w:t>
      </w:r>
      <w:r>
        <w:rPr>
          <w:iCs/>
          <w:i/>
        </w:rPr>
        <w:t xml:space="preserve">IEEE Access</w:t>
      </w:r>
      <w:r>
        <w:t xml:space="preserve"> </w:t>
      </w:r>
      <w:r>
        <w:t xml:space="preserve">7: 73295–305.</w:t>
      </w:r>
      <w:r>
        <w:t xml:space="preserve"> </w:t>
      </w:r>
      <w:hyperlink r:id="rId269">
        <w:r>
          <w:rPr>
            <w:rStyle w:val="Hyperlink"/>
          </w:rPr>
          <w:t xml:space="preserve">https://doi.org/10.1109/ACCESS.2019.2918000</w:t>
        </w:r>
      </w:hyperlink>
      <w:r>
        <w:t xml:space="preserve">.</w:t>
      </w:r>
    </w:p>
    <w:bookmarkEnd w:id="271"/>
    <w:bookmarkStart w:id="272" w:name="ref-salomon2007data"/>
    <w:p>
      <w:pPr>
        <w:pStyle w:val="Bibliography"/>
      </w:pPr>
      <w:r>
        <w:t xml:space="preserve">Salomon, David. 2007.</w:t>
      </w:r>
      <w:r>
        <w:t xml:space="preserve"> </w:t>
      </w:r>
      <w:r>
        <w:rPr>
          <w:iCs/>
          <w:i/>
        </w:rPr>
        <w:t xml:space="preserve">Data Compression: The Complete Reference</w:t>
      </w:r>
      <w:r>
        <w:t xml:space="preserve">. Springer Science &amp; Business Media.</w:t>
      </w:r>
    </w:p>
    <w:bookmarkEnd w:id="272"/>
    <w:bookmarkStart w:id="274" w:name="ref-sanchez2021energy"/>
    <w:p>
      <w:pPr>
        <w:pStyle w:val="Bibliography"/>
      </w:pPr>
      <w:r>
        <w:t xml:space="preserve">Sanchez, Sergio, Sylvie Blanc, Pedro Yuste, and Juan J. Serrano. 2021.</w:t>
      </w:r>
      <w:r>
        <w:t xml:space="preserve"> </w:t>
      </w:r>
      <w:r>
        <w:t xml:space="preserve">“Energy-Efficient Data Transmission in Wireless Sensor Networks for Precision Agriculture.”</w:t>
      </w:r>
      <w:r>
        <w:t xml:space="preserve"> </w:t>
      </w:r>
      <w:r>
        <w:rPr>
          <w:iCs/>
          <w:i/>
        </w:rPr>
        <w:t xml:space="preserve">Sensors</w:t>
      </w:r>
      <w:r>
        <w:t xml:space="preserve"> </w:t>
      </w:r>
      <w:r>
        <w:t xml:space="preserve">21 (4): 1209.</w:t>
      </w:r>
      <w:r>
        <w:t xml:space="preserve"> </w:t>
      </w:r>
      <w:hyperlink r:id="rId273">
        <w:r>
          <w:rPr>
            <w:rStyle w:val="Hyperlink"/>
          </w:rPr>
          <w:t xml:space="preserve">https://doi.org/10.3390/s21041209</w:t>
        </w:r>
      </w:hyperlink>
      <w:r>
        <w:t xml:space="preserve">.</w:t>
      </w:r>
    </w:p>
    <w:bookmarkEnd w:id="274"/>
    <w:bookmarkStart w:id="275" w:name="ref-semtech2015lorawan"/>
    <w:p>
      <w:pPr>
        <w:pStyle w:val="Bibliography"/>
      </w:pPr>
      <w:r>
        <w:t xml:space="preserve">Semtech Corporation. 2015.</w:t>
      </w:r>
      <w:r>
        <w:t xml:space="preserve"> </w:t>
      </w:r>
      <w:r>
        <w:rPr>
          <w:iCs/>
          <w:i/>
        </w:rPr>
        <w:t xml:space="preserve">LoRa Modem Designer’s Guide</w:t>
      </w:r>
      <w:r>
        <w:t xml:space="preserve">.</w:t>
      </w:r>
    </w:p>
    <w:bookmarkEnd w:id="275"/>
    <w:bookmarkStart w:id="277" w:name="ref-pepper2021moisturecontrol"/>
    <w:p>
      <w:pPr>
        <w:pStyle w:val="Bibliography"/>
      </w:pPr>
      <w:r>
        <w:t xml:space="preserve">Sezen, S. M., A. Yazar, and S. Eker. 2006.</w:t>
      </w:r>
      <w:r>
        <w:t xml:space="preserve"> </w:t>
      </w:r>
      <w:r>
        <w:t xml:space="preserve">“Effect of Drip and Sprinkler Irrigation on Yield and Quality of Field Grown Bell Pepper.”</w:t>
      </w:r>
      <w:r>
        <w:t xml:space="preserve"> </w:t>
      </w:r>
      <w:r>
        <w:rPr>
          <w:iCs/>
          <w:i/>
        </w:rPr>
        <w:t xml:space="preserve">Agricultural Water Management</w:t>
      </w:r>
      <w:r>
        <w:t xml:space="preserve"> </w:t>
      </w:r>
      <w:r>
        <w:t xml:space="preserve">81 (1–2): 115–31.</w:t>
      </w:r>
      <w:r>
        <w:t xml:space="preserve"> </w:t>
      </w:r>
      <w:hyperlink r:id="rId276">
        <w:r>
          <w:rPr>
            <w:rStyle w:val="Hyperlink"/>
          </w:rPr>
          <w:t xml:space="preserve">https://doi.org/10.1016/j.agwat.2005.04.008</w:t>
        </w:r>
      </w:hyperlink>
      <w:r>
        <w:t xml:space="preserve">.</w:t>
      </w:r>
    </w:p>
    <w:bookmarkEnd w:id="277"/>
    <w:bookmarkStart w:id="279" w:name="ref-sharma2018merkle"/>
    <w:p>
      <w:pPr>
        <w:pStyle w:val="Bibliography"/>
      </w:pPr>
      <w:r>
        <w:t xml:space="preserve">Sharma, Pradip Kumar, Seo Yeon Moon, and Jong Hyuk Park. 2017.</w:t>
      </w:r>
      <w:r>
        <w:t xml:space="preserve"> </w:t>
      </w:r>
      <w:r>
        <w:t xml:space="preserve">“Block-</w:t>
      </w:r>
      <w:r>
        <w:t xml:space="preserve">VN</w:t>
      </w:r>
      <w:r>
        <w:t xml:space="preserve">: A Distributed Blockchain Based Vehicular Network Architecture in Smart City.”</w:t>
      </w:r>
      <w:r>
        <w:t xml:space="preserve"> </w:t>
      </w:r>
      <w:r>
        <w:rPr>
          <w:iCs/>
          <w:i/>
        </w:rPr>
        <w:t xml:space="preserve">JIPS: Journal of Information Processing Systems</w:t>
      </w:r>
      <w:r>
        <w:t xml:space="preserve"> </w:t>
      </w:r>
      <w:r>
        <w:t xml:space="preserve">13 (1): 184–95.</w:t>
      </w:r>
      <w:r>
        <w:t xml:space="preserve"> </w:t>
      </w:r>
      <w:hyperlink r:id="rId278">
        <w:r>
          <w:rPr>
            <w:rStyle w:val="Hyperlink"/>
          </w:rPr>
          <w:t xml:space="preserve">https://doi.org/10.3745/JIPS.04.0022</w:t>
        </w:r>
      </w:hyperlink>
      <w:r>
        <w:t xml:space="preserve">.</w:t>
      </w:r>
    </w:p>
    <w:bookmarkEnd w:id="279"/>
    <w:bookmarkStart w:id="281" w:name="ref-sharma2020edge"/>
    <w:p>
      <w:pPr>
        <w:pStyle w:val="Bibliography"/>
      </w:pPr>
      <w:r>
        <w:t xml:space="preserve">Sharma, Sandeep K., and Xianbin Wang. 2020.</w:t>
      </w:r>
      <w:r>
        <w:t xml:space="preserve"> </w:t>
      </w:r>
      <w:r>
        <w:t xml:space="preserve">“Live Data Analytics with Collaborative Edge and Cloud Processing in Wireless IoT Networks.”</w:t>
      </w:r>
      <w:r>
        <w:t xml:space="preserve"> </w:t>
      </w:r>
      <w:r>
        <w:rPr>
          <w:iCs/>
          <w:i/>
        </w:rPr>
        <w:t xml:space="preserve">IEEE Internet of Things Journal</w:t>
      </w:r>
      <w:r>
        <w:t xml:space="preserve"> </w:t>
      </w:r>
      <w:r>
        <w:t xml:space="preserve">7 (7): 6071–84.</w:t>
      </w:r>
      <w:r>
        <w:t xml:space="preserve"> </w:t>
      </w:r>
      <w:hyperlink r:id="rId280">
        <w:r>
          <w:rPr>
            <w:rStyle w:val="Hyperlink"/>
          </w:rPr>
          <w:t xml:space="preserve">https://doi.org/10.1109/JIOT.2020.2977767</w:t>
        </w:r>
      </w:hyperlink>
      <w:r>
        <w:t xml:space="preserve">.</w:t>
      </w:r>
    </w:p>
    <w:bookmarkEnd w:id="281"/>
    <w:bookmarkStart w:id="282" w:name="ref-shoup2009computational"/>
    <w:p>
      <w:pPr>
        <w:pStyle w:val="Bibliography"/>
      </w:pPr>
      <w:r>
        <w:t xml:space="preserve">Shoup, Victor. 2009.</w:t>
      </w:r>
      <w:r>
        <w:t xml:space="preserve"> </w:t>
      </w:r>
      <w:r>
        <w:rPr>
          <w:iCs/>
          <w:i/>
        </w:rPr>
        <w:t xml:space="preserve">A Computational Introduction to Number Theory and Algebra</w:t>
      </w:r>
      <w:r>
        <w:t xml:space="preserve">. 2nd ed. Cambridge University Press.</w:t>
      </w:r>
    </w:p>
    <w:bookmarkEnd w:id="282"/>
    <w:bookmarkStart w:id="284" w:name="ref-capsicumspacing2017study"/>
    <w:p>
      <w:pPr>
        <w:pStyle w:val="Bibliography"/>
      </w:pPr>
      <w:r>
        <w:t xml:space="preserve">Simonne, Eric, David W. Studstill, Robert C. Hochmuth, Tom Olczyk, and Sidney E. Webb. 2006.</w:t>
      </w:r>
      <w:r>
        <w:t xml:space="preserve"> </w:t>
      </w:r>
      <w:r>
        <w:t xml:space="preserve">“Drip-Irrigated Pepper Production in</w:t>
      </w:r>
      <w:r>
        <w:t xml:space="preserve"> </w:t>
      </w:r>
      <w:r>
        <w:t xml:space="preserve">Florida</w:t>
      </w:r>
      <w:r>
        <w:t xml:space="preserve">.”</w:t>
      </w:r>
      <w:r>
        <w:t xml:space="preserve"> </w:t>
      </w:r>
      <w:r>
        <w:rPr>
          <w:iCs/>
          <w:i/>
        </w:rPr>
        <w:t xml:space="preserve">HortTechnology</w:t>
      </w:r>
      <w:r>
        <w:t xml:space="preserve"> </w:t>
      </w:r>
      <w:r>
        <w:t xml:space="preserve">16 (2): 283–90.</w:t>
      </w:r>
      <w:r>
        <w:t xml:space="preserve"> </w:t>
      </w:r>
      <w:hyperlink r:id="rId283">
        <w:r>
          <w:rPr>
            <w:rStyle w:val="Hyperlink"/>
          </w:rPr>
          <w:t xml:space="preserve">https://doi.org/10.21273/HORTTECH.16.2.0283</w:t>
        </w:r>
      </w:hyperlink>
      <w:r>
        <w:t xml:space="preserve">.</w:t>
      </w:r>
    </w:p>
    <w:bookmarkEnd w:id="284"/>
    <w:bookmarkStart w:id="286" w:name="ref-rahimi2023fabricSensors"/>
    <w:p>
      <w:pPr>
        <w:pStyle w:val="Bibliography"/>
      </w:pPr>
      <w:r>
        <w:t xml:space="preserve">Sukhwani, Harish, Jose M. Martinez, Xuemei Chang, Kishor S. Trivedi, and Andy Rindos. 2017.</w:t>
      </w:r>
      <w:r>
        <w:t xml:space="preserve"> </w:t>
      </w:r>
      <w:r>
        <w:t xml:space="preserve">“Performance Modeling of</w:t>
      </w:r>
      <w:r>
        <w:t xml:space="preserve"> </w:t>
      </w:r>
      <w:r>
        <w:t xml:space="preserve">PBFT</w:t>
      </w:r>
      <w:r>
        <w:t xml:space="preserve"> </w:t>
      </w:r>
      <w:r>
        <w:t xml:space="preserve">Consensus Process for Permissioned Blockchain Network (Hyperledger Fabric).”</w:t>
      </w:r>
      <w:r>
        <w:t xml:space="preserve"> </w:t>
      </w:r>
      <w:r>
        <w:rPr>
          <w:iCs/>
          <w:i/>
        </w:rPr>
        <w:t xml:space="preserve">2017 IEEE 36th Symposium on Reliable Distributed Systems (SRDS)</w:t>
      </w:r>
      <w:r>
        <w:t xml:space="preserve">, 253–55.</w:t>
      </w:r>
      <w:r>
        <w:t xml:space="preserve"> </w:t>
      </w:r>
      <w:hyperlink r:id="rId285">
        <w:r>
          <w:rPr>
            <w:rStyle w:val="Hyperlink"/>
          </w:rPr>
          <w:t xml:space="preserve">https://doi.org/10.1109/SRDS.2017.36</w:t>
        </w:r>
      </w:hyperlink>
      <w:r>
        <w:t xml:space="preserve">.</w:t>
      </w:r>
    </w:p>
    <w:bookmarkEnd w:id="286"/>
    <w:bookmarkStart w:id="288" w:name="ref-orderingServiceDoc"/>
    <w:p>
      <w:pPr>
        <w:pStyle w:val="Bibliography"/>
      </w:pPr>
      <w:r>
        <w:t xml:space="preserve">Team, Hyperledger Fabric. 2024.</w:t>
      </w:r>
      <w:r>
        <w:t xml:space="preserve"> </w:t>
      </w:r>
      <w:r>
        <w:t xml:space="preserve">“Ordering Service Documentation.”</w:t>
      </w:r>
      <w:r>
        <w:t xml:space="preserve"> </w:t>
      </w:r>
      <w:hyperlink r:id="rId287">
        <w:r>
          <w:rPr>
            <w:rStyle w:val="Hyperlink"/>
          </w:rPr>
          <w:t xml:space="preserve">https://hyperledger-fabric.readthedocs.io/en/latest/orderer/ordering_service.html</w:t>
        </w:r>
      </w:hyperlink>
      <w:r>
        <w:t xml:space="preserve">.</w:t>
      </w:r>
    </w:p>
    <w:bookmarkEnd w:id="288"/>
    <w:bookmarkStart w:id="290"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289">
        <w:r>
          <w:rPr>
            <w:rStyle w:val="Hyperlink"/>
          </w:rPr>
          <w:t xml:space="preserve">https://doi.org/10.1109/MASCOTS.2018.00034</w:t>
        </w:r>
      </w:hyperlink>
      <w:r>
        <w:t xml:space="preserve">.</w:t>
      </w:r>
    </w:p>
    <w:bookmarkEnd w:id="290"/>
    <w:bookmarkStart w:id="292" w:name="ref-tian2016agri"/>
    <w:p>
      <w:pPr>
        <w:pStyle w:val="Bibliography"/>
      </w:pPr>
      <w:r>
        <w:t xml:space="preserve">Tian, F. 2016.</w:t>
      </w:r>
      <w:r>
        <w:t xml:space="preserve"> </w:t>
      </w:r>
      <w:r>
        <w:t xml:space="preserve">“An Agri-Food Supply Chain Traceability System for China Based on RFID and Blockchain Technology.”</w:t>
      </w:r>
      <w:r>
        <w:t xml:space="preserve"> </w:t>
      </w:r>
      <w:r>
        <w:rPr>
          <w:iCs/>
          <w:i/>
        </w:rPr>
        <w:t xml:space="preserve">2016 13th International Conference on Service Systems and Service Management</w:t>
      </w:r>
      <w:r>
        <w:t xml:space="preserve">, 1–6.</w:t>
      </w:r>
      <w:r>
        <w:t xml:space="preserve"> </w:t>
      </w:r>
      <w:hyperlink r:id="rId291">
        <w:r>
          <w:rPr>
            <w:rStyle w:val="Hyperlink"/>
          </w:rPr>
          <w:t xml:space="preserve">https://doi.org/10.1109/ICSSSM.2016.7538424</w:t>
        </w:r>
      </w:hyperlink>
      <w:r>
        <w:t xml:space="preserve">.</w:t>
      </w:r>
    </w:p>
    <w:bookmarkEnd w:id="292"/>
    <w:bookmarkStart w:id="294" w:name="ref-tian2017traceability"/>
    <w:p>
      <w:pPr>
        <w:pStyle w:val="Bibliography"/>
      </w:pPr>
      <w:r>
        <w:t xml:space="preserve">———. 2017.</w:t>
      </w:r>
      <w:r>
        <w:t xml:space="preserve"> </w:t>
      </w:r>
      <w:r>
        <w:t xml:space="preserve">“A Supply Chain Traceability System for Food Safety Based on HACCP, Blockchain, and RFID.”</w:t>
      </w:r>
      <w:r>
        <w:t xml:space="preserve"> </w:t>
      </w:r>
      <w:r>
        <w:rPr>
          <w:iCs/>
          <w:i/>
        </w:rPr>
        <w:t xml:space="preserve">2017 International Conference on Applied System Innovation</w:t>
      </w:r>
      <w:r>
        <w:t xml:space="preserve">, 1645–48.</w:t>
      </w:r>
      <w:r>
        <w:t xml:space="preserve"> </w:t>
      </w:r>
      <w:hyperlink r:id="rId293">
        <w:r>
          <w:rPr>
            <w:rStyle w:val="Hyperlink"/>
          </w:rPr>
          <w:t xml:space="preserve">https://doi.org/10.1109/ICASI.2017.7988632</w:t>
        </w:r>
      </w:hyperlink>
      <w:r>
        <w:t xml:space="preserve">.</w:t>
      </w:r>
    </w:p>
    <w:bookmarkEnd w:id="294"/>
    <w:bookmarkStart w:id="295" w:name="ref-nguyen2022smartFarmingSC"/>
    <w:p>
      <w:pPr>
        <w:pStyle w:val="Bibliography"/>
      </w:pPr>
      <w:r>
        <w:t xml:space="preserve">Tian, Feng. 2016.</w:t>
      </w:r>
      <w:r>
        <w:t xml:space="preserve"> </w:t>
      </w:r>
      <w:r>
        <w:t xml:space="preserve">“An Agri-Food Supply Chain Traceability System for</w:t>
      </w:r>
      <w:r>
        <w:t xml:space="preserve"> </w:t>
      </w:r>
      <w:r>
        <w:t xml:space="preserve">China</w:t>
      </w:r>
      <w:r>
        <w:t xml:space="preserve"> </w:t>
      </w:r>
      <w:r>
        <w:t xml:space="preserve">Based on</w:t>
      </w:r>
      <w:r>
        <w:t xml:space="preserve"> </w:t>
      </w:r>
      <w:r>
        <w:t xml:space="preserve">RFID</w:t>
      </w:r>
      <w:r>
        <w:t xml:space="preserve"> </w:t>
      </w:r>
      <w:r>
        <w:t xml:space="preserve">&amp; Blockchain Technology.”</w:t>
      </w:r>
      <w:r>
        <w:t xml:space="preserve"> </w:t>
      </w:r>
      <w:r>
        <w:rPr>
          <w:iCs/>
          <w:i/>
        </w:rPr>
        <w:t xml:space="preserve">2016 International Conference on Service Systems and Service Management</w:t>
      </w:r>
      <w:r>
        <w:t xml:space="preserve">, 1–6.</w:t>
      </w:r>
      <w:r>
        <w:t xml:space="preserve"> </w:t>
      </w:r>
      <w:hyperlink r:id="rId291">
        <w:r>
          <w:rPr>
            <w:rStyle w:val="Hyperlink"/>
          </w:rPr>
          <w:t xml:space="preserve">https://doi.org/10.1109/ICSSSM.2016.7538424</w:t>
        </w:r>
      </w:hyperlink>
      <w:r>
        <w:t xml:space="preserve">.</w:t>
      </w:r>
    </w:p>
    <w:bookmarkEnd w:id="295"/>
    <w:bookmarkStart w:id="296" w:name="ref-tian2017agri"/>
    <w:p>
      <w:pPr>
        <w:pStyle w:val="Bibliography"/>
      </w:pPr>
      <w:r>
        <w:t xml:space="preserve">———. 2017a.</w:t>
      </w:r>
      <w:r>
        <w:t xml:space="preserve"> </w:t>
      </w:r>
      <w:r>
        <w:t xml:space="preserve">“A Supply Chain Traceability System for Food Safety Based on HACCP, Blockchain &amp; Internet of Things.”</w:t>
      </w:r>
      <w:r>
        <w:t xml:space="preserve"> </w:t>
      </w:r>
      <w:r>
        <w:rPr>
          <w:iCs/>
          <w:i/>
        </w:rPr>
        <w:t xml:space="preserve">2017 International Conference on Service Systems and Service Management</w:t>
      </w:r>
      <w:r>
        <w:t xml:space="preserve">, 1–6.</w:t>
      </w:r>
    </w:p>
    <w:bookmarkEnd w:id="296"/>
    <w:bookmarkStart w:id="298" w:name="ref-zhu2017blockchainAgri"/>
    <w:p>
      <w:pPr>
        <w:pStyle w:val="Bibliography"/>
      </w:pPr>
      <w:r>
        <w:t xml:space="preserve">———. 2017b.</w:t>
      </w:r>
      <w:r>
        <w:t xml:space="preserve"> </w:t>
      </w:r>
      <w:r>
        <w:t xml:space="preserve">“A Supply Chain Traceability System for Food Safety Based on</w:t>
      </w:r>
      <w:r>
        <w:t xml:space="preserve"> </w:t>
      </w:r>
      <w:r>
        <w:t xml:space="preserve">HACCP</w:t>
      </w:r>
      <w:r>
        <w:t xml:space="preserve">, Blockchain &amp; Internet of Things.”</w:t>
      </w:r>
      <w:r>
        <w:t xml:space="preserve"> </w:t>
      </w:r>
      <w:r>
        <w:rPr>
          <w:iCs/>
          <w:i/>
        </w:rPr>
        <w:t xml:space="preserve">2017 International Conference on Service Systems and Service Management</w:t>
      </w:r>
      <w:r>
        <w:t xml:space="preserve">, 1–6.</w:t>
      </w:r>
      <w:r>
        <w:t xml:space="preserve"> </w:t>
      </w:r>
      <w:hyperlink r:id="rId297">
        <w:r>
          <w:rPr>
            <w:rStyle w:val="Hyperlink"/>
          </w:rPr>
          <w:t xml:space="preserve">https://doi.org/10.1109/ICSSSM.2017.7996119</w:t>
        </w:r>
      </w:hyperlink>
      <w:r>
        <w:t xml:space="preserve">.</w:t>
      </w:r>
    </w:p>
    <w:bookmarkEnd w:id="298"/>
    <w:bookmarkStart w:id="300" w:name="ref-pepperquality2019irrigation"/>
    <w:p>
      <w:pPr>
        <w:pStyle w:val="Bibliography"/>
      </w:pPr>
      <w:r>
        <w:t xml:space="preserve">Topcu, Suat, Cengiz Kirda, Yildiz Dasgan, Haluk Kaman, Mehmet Cetin, Ali Yazici, and Michael A. Bacon. 2007.</w:t>
      </w:r>
      <w:r>
        <w:t xml:space="preserve"> </w:t>
      </w:r>
      <w:r>
        <w:t xml:space="preserve">“Yield Response and</w:t>
      </w:r>
      <w:r>
        <w:t xml:space="preserve"> </w:t>
      </w:r>
      <w:r>
        <w:t xml:space="preserve">N</w:t>
      </w:r>
      <w:r>
        <w:t xml:space="preserve">-Fertiliser Recovery of Tomato Grown Under Deficit Irrigation.”</w:t>
      </w:r>
      <w:r>
        <w:t xml:space="preserve"> </w:t>
      </w:r>
      <w:r>
        <w:rPr>
          <w:iCs/>
          <w:i/>
        </w:rPr>
        <w:t xml:space="preserve">European Journal of Agronomy</w:t>
      </w:r>
      <w:r>
        <w:t xml:space="preserve"> </w:t>
      </w:r>
      <w:r>
        <w:t xml:space="preserve">26 (1): 64–70.</w:t>
      </w:r>
      <w:r>
        <w:t xml:space="preserve"> </w:t>
      </w:r>
      <w:hyperlink r:id="rId299">
        <w:r>
          <w:rPr>
            <w:rStyle w:val="Hyperlink"/>
          </w:rPr>
          <w:t xml:space="preserve">https://doi.org/10.1016/j.eja.2006.08.004</w:t>
        </w:r>
      </w:hyperlink>
      <w:r>
        <w:t xml:space="preserve">.</w:t>
      </w:r>
    </w:p>
    <w:bookmarkEnd w:id="300"/>
    <w:bookmarkStart w:id="301" w:name="ref-tunisia_water_report"/>
    <w:p>
      <w:pPr>
        <w:pStyle w:val="Bibliography"/>
      </w:pPr>
      <w:r>
        <w:t xml:space="preserve">Tunisian Ministry of Agriculture. 2022.</w:t>
      </w:r>
      <w:r>
        <w:t xml:space="preserve"> </w:t>
      </w:r>
      <w:r>
        <w:t xml:space="preserve">“National Water Strategy 2050.”</w:t>
      </w:r>
      <w:r>
        <w:t xml:space="preserve"> </w:t>
      </w:r>
      <w:r>
        <w:t xml:space="preserve">Government of Tunisia.</w:t>
      </w:r>
    </w:p>
    <w:bookmarkEnd w:id="301"/>
    <w:bookmarkStart w:id="303" w:name="ref-turlykozhayeva2024proactive"/>
    <w:p>
      <w:pPr>
        <w:pStyle w:val="Bibliography"/>
      </w:pPr>
      <w:r>
        <w:t xml:space="preserve">Turlykozhayeva, Dana, S. Temesheva, N. Ussipov, and A. Baigaliyeva. 2024.</w:t>
      </w:r>
      <w:r>
        <w:t xml:space="preserve"> </w:t>
      </w:r>
      <w:r>
        <w:t xml:space="preserve">“Experimental Performance Comparison of Proactive Routing Protocols in Wireless Mesh Network Using Raspberry Pi 4.”</w:t>
      </w:r>
      <w:r>
        <w:t xml:space="preserve"> </w:t>
      </w:r>
      <w:r>
        <w:rPr>
          <w:iCs/>
          <w:i/>
        </w:rPr>
        <w:t xml:space="preserve">Telecom</w:t>
      </w:r>
      <w:r>
        <w:t xml:space="preserve"> </w:t>
      </w:r>
      <w:r>
        <w:t xml:space="preserve">5 (4): 1008–20.</w:t>
      </w:r>
      <w:r>
        <w:t xml:space="preserve"> </w:t>
      </w:r>
      <w:hyperlink r:id="rId302">
        <w:r>
          <w:rPr>
            <w:rStyle w:val="Hyperlink"/>
          </w:rPr>
          <w:t xml:space="preserve">https://doi.org/10.3390/telecom5040051</w:t>
        </w:r>
      </w:hyperlink>
      <w:r>
        <w:t xml:space="preserve">.</w:t>
      </w:r>
    </w:p>
    <w:bookmarkEnd w:id="303"/>
    <w:bookmarkStart w:id="305" w:name="ref-yang2021iotSensing"/>
    <w:p>
      <w:pPr>
        <w:pStyle w:val="Bibliography"/>
      </w:pPr>
      <w:r>
        <w:t xml:space="preserve">Tzounis, Antonis, Nikolaos Katsoulas, Thomas Bartzanas, and Constantinos Kittas. 2017.</w:t>
      </w:r>
      <w:r>
        <w:t xml:space="preserve"> </w:t>
      </w:r>
      <w:r>
        <w:t xml:space="preserve">“Internet of Things in Agriculture, Recent Advances and Future Challenges.”</w:t>
      </w:r>
      <w:r>
        <w:t xml:space="preserve"> </w:t>
      </w:r>
      <w:r>
        <w:rPr>
          <w:iCs/>
          <w:i/>
        </w:rPr>
        <w:t xml:space="preserve">Biosystems Engineering</w:t>
      </w:r>
      <w:r>
        <w:t xml:space="preserve"> </w:t>
      </w:r>
      <w:r>
        <w:t xml:space="preserve">164: 31–48.</w:t>
      </w:r>
      <w:r>
        <w:t xml:space="preserve"> </w:t>
      </w:r>
      <w:hyperlink r:id="rId304">
        <w:r>
          <w:rPr>
            <w:rStyle w:val="Hyperlink"/>
          </w:rPr>
          <w:t xml:space="preserve">https://doi.org/10.1016/j.biosystemseng.2017.09.007</w:t>
        </w:r>
      </w:hyperlink>
      <w:r>
        <w:t xml:space="preserve">.</w:t>
      </w:r>
    </w:p>
    <w:bookmarkEnd w:id="305"/>
    <w:bookmarkStart w:id="307" w:name="ref-un_water2023"/>
    <w:p>
      <w:pPr>
        <w:pStyle w:val="Bibliography"/>
      </w:pPr>
      <w:r>
        <w:t xml:space="preserve">United Nations World Water Development Report. 2023.</w:t>
      </w:r>
      <w:r>
        <w:t xml:space="preserve"> </w:t>
      </w:r>
      <w:r>
        <w:t xml:space="preserve">“Water for a Sustainable World.”</w:t>
      </w:r>
      <w:r>
        <w:t xml:space="preserve"> </w:t>
      </w:r>
      <w:hyperlink r:id="rId306">
        <w:r>
          <w:rPr>
            <w:rStyle w:val="Hyperlink"/>
          </w:rPr>
          <w:t xml:space="preserve">https://www.unesco.org/reports/wwdr</w:t>
        </w:r>
      </w:hyperlink>
      <w:r>
        <w:t xml:space="preserve">.</w:t>
      </w:r>
    </w:p>
    <w:bookmarkEnd w:id="307"/>
    <w:bookmarkStart w:id="309" w:name="ref-van2020review"/>
    <w:p>
      <w:pPr>
        <w:pStyle w:val="Bibliography"/>
      </w:pPr>
      <w:r>
        <w:t xml:space="preserve">Van Klompenburg, Thomas, Ayalew Kassahun, and Cagatay Catal. 2020.</w:t>
      </w:r>
      <w:r>
        <w:t xml:space="preserve"> </w:t>
      </w:r>
      <w:r>
        <w:t xml:space="preserve">“Crop Yield Prediction Using Machine Learning: A Systematic Literature Review.”</w:t>
      </w:r>
      <w:r>
        <w:t xml:space="preserve"> </w:t>
      </w:r>
      <w:r>
        <w:rPr>
          <w:iCs/>
          <w:i/>
        </w:rPr>
        <w:t xml:space="preserve">Computers and Electronics in Agriculture</w:t>
      </w:r>
      <w:r>
        <w:t xml:space="preserve"> </w:t>
      </w:r>
      <w:r>
        <w:t xml:space="preserve">177: 105709.</w:t>
      </w:r>
      <w:r>
        <w:t xml:space="preserve"> </w:t>
      </w:r>
      <w:hyperlink r:id="rId308">
        <w:r>
          <w:rPr>
            <w:rStyle w:val="Hyperlink"/>
          </w:rPr>
          <w:t xml:space="preserve">https://doi.org/10.1016/j.compag.2020.105709</w:t>
        </w:r>
      </w:hyperlink>
      <w:r>
        <w:t xml:space="preserve">.</w:t>
      </w:r>
    </w:p>
    <w:bookmarkEnd w:id="309"/>
    <w:bookmarkStart w:id="311" w:name="ref-akhtar2019sensingAccuracy"/>
    <w:p>
      <w:pPr>
        <w:pStyle w:val="Bibliography"/>
      </w:pPr>
      <w:r>
        <w:t xml:space="preserve">Vaz, Carlos M. P., Scott Jones, Mace Meding, and Markus Tuller. 2013.</w:t>
      </w:r>
      <w:r>
        <w:t xml:space="preserve"> </w:t>
      </w:r>
      <w:r>
        <w:t xml:space="preserve">“Evaluation of Standard Calibration Functions for Eight Electromagnetic Soil Moisture Sensors.”</w:t>
      </w:r>
      <w:r>
        <w:t xml:space="preserve"> </w:t>
      </w:r>
      <w:r>
        <w:rPr>
          <w:iCs/>
          <w:i/>
        </w:rPr>
        <w:t xml:space="preserve">Vadose Zone Journal</w:t>
      </w:r>
      <w:r>
        <w:t xml:space="preserve"> </w:t>
      </w:r>
      <w:r>
        <w:t xml:space="preserve">12 (2): vzj2012.0160.</w:t>
      </w:r>
      <w:r>
        <w:t xml:space="preserve"> </w:t>
      </w:r>
      <w:hyperlink r:id="rId310">
        <w:r>
          <w:rPr>
            <w:rStyle w:val="Hyperlink"/>
          </w:rPr>
          <w:t xml:space="preserve">https://doi.org/10.2136/vzj2012.0160</w:t>
        </w:r>
      </w:hyperlink>
      <w:r>
        <w:t xml:space="preserve">.</w:t>
      </w:r>
    </w:p>
    <w:bookmarkEnd w:id="311"/>
    <w:bookmarkStart w:id="313" w:name="ref-chatterjee2023precision"/>
    <w:p>
      <w:pPr>
        <w:pStyle w:val="Bibliography"/>
      </w:pPr>
      <w:r>
        <w:t xml:space="preserve">Verdouw, Cor, Bedir Tekinerdogan, Adrie Beulens, and Sjaak Wolfert. 2021.</w:t>
      </w:r>
      <w:r>
        <w:t xml:space="preserve"> </w:t>
      </w:r>
      <w:r>
        <w:t xml:space="preserve">“Digital Twins in Smart Farming.”</w:t>
      </w:r>
      <w:r>
        <w:t xml:space="preserve"> </w:t>
      </w:r>
      <w:r>
        <w:rPr>
          <w:iCs/>
          <w:i/>
        </w:rPr>
        <w:t xml:space="preserve">Agricultural Systems</w:t>
      </w:r>
      <w:r>
        <w:t xml:space="preserve"> </w:t>
      </w:r>
      <w:r>
        <w:t xml:space="preserve">189: 103046.</w:t>
      </w:r>
      <w:r>
        <w:t xml:space="preserve"> </w:t>
      </w:r>
      <w:hyperlink r:id="rId312">
        <w:r>
          <w:rPr>
            <w:rStyle w:val="Hyperlink"/>
          </w:rPr>
          <w:t xml:space="preserve">https://doi.org/10.1016/j.agsy.2020.103046</w:t>
        </w:r>
      </w:hyperlink>
      <w:r>
        <w:t xml:space="preserve">.</w:t>
      </w:r>
    </w:p>
    <w:bookmarkEnd w:id="313"/>
    <w:bookmarkStart w:id="315" w:name="ref-vidhya2021crt"/>
    <w:p>
      <w:pPr>
        <w:pStyle w:val="Bibliography"/>
      </w:pPr>
      <w:r>
        <w:t xml:space="preserve">Vidhya, P., and R. Brindha. 2021a.</w:t>
      </w:r>
      <w:r>
        <w:t xml:space="preserve"> </w:t>
      </w:r>
      <w:r>
        <w:t xml:space="preserve">“Evaluation and Performance Analysis of Chinese Remainder Theorem 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14">
        <w:r>
          <w:rPr>
            <w:rStyle w:val="Hyperlink"/>
          </w:rPr>
          <w:t xml:space="preserve">https://doi.org/10.5120/ijca2021921556</w:t>
        </w:r>
      </w:hyperlink>
      <w:r>
        <w:t xml:space="preserve">.</w:t>
      </w:r>
    </w:p>
    <w:bookmarkEnd w:id="315"/>
    <w:bookmarkStart w:id="316" w:name="ref-crtcompression2018"/>
    <w:p>
      <w:pPr>
        <w:pStyle w:val="Bibliography"/>
      </w:pPr>
      <w:r>
        <w:t xml:space="preserve">———. 2021b.</w:t>
      </w:r>
      <w:r>
        <w:t xml:space="preserve"> </w:t>
      </w:r>
      <w:r>
        <w:t xml:space="preserve">“Evaluation and Performance Analysis of</w:t>
      </w:r>
      <w:r>
        <w:t xml:space="preserve"> </w:t>
      </w:r>
      <w:r>
        <w:t xml:space="preserve">Chinese Remainder Theorem</w:t>
      </w:r>
      <w:r>
        <w:t xml:space="preserve"> </w:t>
      </w:r>
      <w:r>
        <w:t xml:space="preserve">and Its Application to Lossless Image Compression.”</w:t>
      </w:r>
      <w:r>
        <w:t xml:space="preserve"> </w:t>
      </w:r>
      <w:r>
        <w:rPr>
          <w:iCs/>
          <w:i/>
        </w:rPr>
        <w:t xml:space="preserve">International Journal of Computer Applications</w:t>
      </w:r>
      <w:r>
        <w:t xml:space="preserve"> </w:t>
      </w:r>
      <w:r>
        <w:t xml:space="preserve">183 (15): 17–22.</w:t>
      </w:r>
      <w:r>
        <w:t xml:space="preserve"> </w:t>
      </w:r>
      <w:hyperlink r:id="rId314">
        <w:r>
          <w:rPr>
            <w:rStyle w:val="Hyperlink"/>
          </w:rPr>
          <w:t xml:space="preserve">https://doi.org/10.5120/ijca2021921556</w:t>
        </w:r>
      </w:hyperlink>
      <w:r>
        <w:t xml:space="preserve">.</w:t>
      </w:r>
    </w:p>
    <w:bookmarkEnd w:id="316"/>
    <w:bookmarkStart w:id="318"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317">
        <w:r>
          <w:rPr>
            <w:rStyle w:val="Hyperlink"/>
          </w:rPr>
          <w:t xml:space="preserve">https://doi.org/10.3390/s23146332</w:t>
        </w:r>
      </w:hyperlink>
      <w:r>
        <w:t xml:space="preserve">.</w:t>
      </w:r>
    </w:p>
    <w:bookmarkEnd w:id="318"/>
    <w:bookmarkStart w:id="320" w:name="ref-wang2006wireless"/>
    <w:p>
      <w:pPr>
        <w:pStyle w:val="Bibliography"/>
      </w:pPr>
      <w:r>
        <w:t xml:space="preserve">Wang, Ning, Naiqian Zhang, and Maohua Wang. 2006.</w:t>
      </w:r>
      <w:r>
        <w:t xml:space="preserve"> </w:t>
      </w:r>
      <w:r>
        <w:t xml:space="preserve">“Wireless Sensors in Agriculture and Food Industry: Recent Development and Future Perspective.”</w:t>
      </w:r>
      <w:r>
        <w:t xml:space="preserve"> </w:t>
      </w:r>
      <w:r>
        <w:rPr>
          <w:iCs/>
          <w:i/>
        </w:rPr>
        <w:t xml:space="preserve">Computers and Electronics in Agriculture</w:t>
      </w:r>
      <w:r>
        <w:t xml:space="preserve"> </w:t>
      </w:r>
      <w:r>
        <w:t xml:space="preserve">50 (1): 1–14.</w:t>
      </w:r>
      <w:r>
        <w:t xml:space="preserve"> </w:t>
      </w:r>
      <w:hyperlink r:id="rId319">
        <w:r>
          <w:rPr>
            <w:rStyle w:val="Hyperlink"/>
          </w:rPr>
          <w:t xml:space="preserve">https://doi.org/10.1016/j.compag.2005.09.003</w:t>
        </w:r>
      </w:hyperlink>
      <w:r>
        <w:t xml:space="preserve">.</w:t>
      </w:r>
    </w:p>
    <w:bookmarkEnd w:id="320"/>
    <w:bookmarkStart w:id="322" w:name="ref-owusu2025iotAgri"/>
    <w:p>
      <w:pPr>
        <w:pStyle w:val="Bibliography"/>
      </w:pPr>
      <w:r>
        <w:t xml:space="preserve">Wang, Xiaoding, Qibin Wu, Haitao Zeng, Xu Yang, Hui Cui, Xun Yi, Md Jalil Piran, Ming Luo, and Youxiong Que. 2025.</w:t>
      </w:r>
      <w:r>
        <w:t xml:space="preserve"> </w:t>
      </w:r>
      <w:r>
        <w:t xml:space="preserve">“Blockchain-Empowered</w:t>
      </w:r>
      <w:r>
        <w:t xml:space="preserve"> </w:t>
      </w:r>
      <w:r>
        <w:t xml:space="preserve">H-CPS</w:t>
      </w:r>
      <w:r>
        <w:t xml:space="preserve"> </w:t>
      </w:r>
      <w:r>
        <w:t xml:space="preserve">Architecture for Smart Agriculture.”</w:t>
      </w:r>
      <w:r>
        <w:t xml:space="preserve"> </w:t>
      </w:r>
      <w:r>
        <w:rPr>
          <w:iCs/>
          <w:i/>
        </w:rPr>
        <w:t xml:space="preserve">Advanced Science</w:t>
      </w:r>
      <w:r>
        <w:t xml:space="preserve"> </w:t>
      </w:r>
      <w:r>
        <w:t xml:space="preserve">12 (27): 2503102.</w:t>
      </w:r>
      <w:r>
        <w:t xml:space="preserve"> </w:t>
      </w:r>
      <w:hyperlink r:id="rId321">
        <w:r>
          <w:rPr>
            <w:rStyle w:val="Hyperlink"/>
          </w:rPr>
          <w:t xml:space="preserve">https://doi.org/10.1002/advs.202503102</w:t>
        </w:r>
      </w:hyperlink>
      <w:r>
        <w:t xml:space="preserve">.</w:t>
      </w:r>
    </w:p>
    <w:bookmarkEnd w:id="322"/>
    <w:bookmarkStart w:id="324" w:name="ref-wang2021edge"/>
    <w:p>
      <w:pPr>
        <w:pStyle w:val="Bibliography"/>
      </w:pPr>
      <w:r>
        <w:t xml:space="preserve">Wang, Xiaofei, Yi Han, Victor C. M. Leung, Dusit Niyato, Xueqiang Yan, and Xu Chen. 2021.</w:t>
      </w:r>
      <w:r>
        <w:t xml:space="preserve"> </w:t>
      </w:r>
      <w:r>
        <w:t xml:space="preserve">“Convergence of Edge Computing and Deep Learning: A Comprehensive Survey.”</w:t>
      </w:r>
      <w:r>
        <w:t xml:space="preserve"> </w:t>
      </w:r>
      <w:r>
        <w:rPr>
          <w:iCs/>
          <w:i/>
        </w:rPr>
        <w:t xml:space="preserve">IEEE Communications Surveys &amp; Tutorials</w:t>
      </w:r>
      <w:r>
        <w:t xml:space="preserve"> </w:t>
      </w:r>
      <w:r>
        <w:t xml:space="preserve">22 (2): 869–904.</w:t>
      </w:r>
      <w:r>
        <w:t xml:space="preserve"> </w:t>
      </w:r>
      <w:hyperlink r:id="rId323">
        <w:r>
          <w:rPr>
            <w:rStyle w:val="Hyperlink"/>
          </w:rPr>
          <w:t xml:space="preserve">https://doi.org/10.1109/COMST.2020.2970550</w:t>
        </w:r>
      </w:hyperlink>
      <w:r>
        <w:t xml:space="preserve">.</w:t>
      </w:r>
    </w:p>
    <w:bookmarkEnd w:id="324"/>
    <w:bookmarkStart w:id="326" w:name="ref-wang2025pepper"/>
    <w:p>
      <w:pPr>
        <w:pStyle w:val="Bibliography"/>
      </w:pPr>
      <w:r>
        <w:t xml:space="preserve">Wang, Xuewei, Jun Liu, and Qian Chen. 2025.</w:t>
      </w:r>
      <w:r>
        <w:t xml:space="preserve"> </w:t>
      </w:r>
      <w:r>
        <w:t xml:space="preserve">“An Advanced Deep Learning Method for Pepper Diseases and Pests Detection.”</w:t>
      </w:r>
      <w:r>
        <w:t xml:space="preserve"> </w:t>
      </w:r>
      <w:r>
        <w:rPr>
          <w:iCs/>
          <w:i/>
        </w:rPr>
        <w:t xml:space="preserve">Plant Methods</w:t>
      </w:r>
      <w:r>
        <w:t xml:space="preserve"> </w:t>
      </w:r>
      <w:r>
        <w:t xml:space="preserve">21: 70.</w:t>
      </w:r>
      <w:r>
        <w:t xml:space="preserve"> </w:t>
      </w:r>
      <w:hyperlink r:id="rId325">
        <w:r>
          <w:rPr>
            <w:rStyle w:val="Hyperlink"/>
          </w:rPr>
          <w:t xml:space="preserve">https://doi.org/10.1186/s13007-025-01387-4</w:t>
        </w:r>
      </w:hyperlink>
      <w:r>
        <w:t xml:space="preserve">.</w:t>
      </w:r>
    </w:p>
    <w:bookmarkEnd w:id="326"/>
    <w:bookmarkStart w:id="328" w:name="ref-wang2018novel"/>
    <w:p>
      <w:pPr>
        <w:pStyle w:val="Bibliography"/>
      </w:pPr>
      <w:r>
        <w:t xml:space="preserve">Wang, Yong, Irene Chen, and Dazhi Wang. 2018.</w:t>
      </w:r>
      <w:r>
        <w:t xml:space="preserve"> </w:t>
      </w:r>
      <w:r>
        <w:t xml:space="preserve">“A Novel Data Compression Method for Wireless Sensor Networks.”</w:t>
      </w:r>
      <w:r>
        <w:t xml:space="preserve"> </w:t>
      </w:r>
      <w:r>
        <w:rPr>
          <w:iCs/>
          <w:i/>
        </w:rPr>
        <w:t xml:space="preserve">Sensors</w:t>
      </w:r>
      <w:r>
        <w:t xml:space="preserve"> </w:t>
      </w:r>
      <w:r>
        <w:t xml:space="preserve">18 (4): 1057.</w:t>
      </w:r>
      <w:r>
        <w:t xml:space="preserve"> </w:t>
      </w:r>
      <w:hyperlink r:id="rId327">
        <w:r>
          <w:rPr>
            <w:rStyle w:val="Hyperlink"/>
          </w:rPr>
          <w:t xml:space="preserve">https://doi.org/10.3390/s18041057</w:t>
        </w:r>
      </w:hyperlink>
      <w:r>
        <w:t xml:space="preserve">.</w:t>
      </w:r>
    </w:p>
    <w:bookmarkEnd w:id="328"/>
    <w:bookmarkStart w:id="330" w:name="ref-xu2020making"/>
    <w:p>
      <w:pPr>
        <w:pStyle w:val="Bibliography"/>
      </w:pPr>
      <w:r>
        <w:t xml:space="preserve">Xu, Ronghua, Jianhua Chen, Erik Blasch, and Genshe Chen. 2020.</w:t>
      </w:r>
      <w:r>
        <w:t xml:space="preserve"> </w:t>
      </w:r>
      <w:r>
        <w:t xml:space="preserve">“Making IoT Fly: Blockchain-Empowered Cooperative Air-Ground Networks.”</w:t>
      </w:r>
      <w:r>
        <w:t xml:space="preserve"> </w:t>
      </w:r>
      <w:r>
        <w:rPr>
          <w:iCs/>
          <w:i/>
        </w:rPr>
        <w:t xml:space="preserve">IEEE Network</w:t>
      </w:r>
      <w:r>
        <w:t xml:space="preserve"> </w:t>
      </w:r>
      <w:r>
        <w:t xml:space="preserve">34 (6): 288–95.</w:t>
      </w:r>
      <w:r>
        <w:t xml:space="preserve"> </w:t>
      </w:r>
      <w:hyperlink r:id="rId329">
        <w:r>
          <w:rPr>
            <w:rStyle w:val="Hyperlink"/>
          </w:rPr>
          <w:t xml:space="preserve">https://doi.org/10.1109/MNET.011.2000111</w:t>
        </w:r>
      </w:hyperlink>
      <w:r>
        <w:t xml:space="preserve">.</w:t>
      </w:r>
    </w:p>
    <w:bookmarkEnd w:id="330"/>
    <w:bookmarkStart w:id="332" w:name="ref-xu2016blockchain"/>
    <w:p>
      <w:pPr>
        <w:pStyle w:val="Bibliography"/>
      </w:pPr>
      <w:r>
        <w:t xml:space="preserve">Xu, Xiaolong, Cesare Pautasso, Liming Zhu, Vincent Gramoli, Alexander Ponomarev, An B. Tran, and Shiping Chen. 2016.</w:t>
      </w:r>
      <w:r>
        <w:t xml:space="preserve"> </w:t>
      </w:r>
      <w:r>
        <w:t xml:space="preserve">“The Blockchain as a Software Connector.”</w:t>
      </w:r>
      <w:r>
        <w:t xml:space="preserve"> </w:t>
      </w:r>
      <w:r>
        <w:t xml:space="preserve">In</w:t>
      </w:r>
      <w:r>
        <w:t xml:space="preserve"> </w:t>
      </w:r>
      <w:r>
        <w:rPr>
          <w:iCs/>
          <w:i/>
        </w:rPr>
        <w:t xml:space="preserve">Proceedings of the 13th IEEE International Conference on Software Architecture</w:t>
      </w:r>
      <w:r>
        <w:t xml:space="preserve">, 182–91.</w:t>
      </w:r>
      <w:r>
        <w:t xml:space="preserve"> </w:t>
      </w:r>
      <w:hyperlink r:id="rId331">
        <w:r>
          <w:rPr>
            <w:rStyle w:val="Hyperlink"/>
          </w:rPr>
          <w:t xml:space="preserve">https://doi.org/10.1109/ICSA.2016.15</w:t>
        </w:r>
      </w:hyperlink>
      <w:r>
        <w:t xml:space="preserve">.</w:t>
      </w:r>
    </w:p>
    <w:bookmarkEnd w:id="332"/>
    <w:bookmarkStart w:id="334" w:name="ref-djeddi2025parallelCRT"/>
    <w:p>
      <w:pPr>
        <w:pStyle w:val="Bibliography"/>
      </w:pPr>
      <w:r>
        <w:t xml:space="preserve">Ye, Rong, Azzedine Boukerche, Hangguan Wang, Xianwei Zhou, and Bo Yan. 2018.</w:t>
      </w:r>
      <w:r>
        <w:t xml:space="preserve"> </w:t>
      </w:r>
      <w:r>
        <w:t xml:space="preserve">“</w:t>
      </w:r>
      <w:r>
        <w:t xml:space="preserve">RESIDENT</w:t>
      </w:r>
      <w:r>
        <w:t xml:space="preserve">: A Reliable Residue Number System-Based Data Transmission Mechanism for Wireless Sensor Networks.”</w:t>
      </w:r>
      <w:r>
        <w:t xml:space="preserve"> </w:t>
      </w:r>
      <w:r>
        <w:rPr>
          <w:iCs/>
          <w:i/>
        </w:rPr>
        <w:t xml:space="preserve">Wireless Networks</w:t>
      </w:r>
      <w:r>
        <w:t xml:space="preserve"> </w:t>
      </w:r>
      <w:r>
        <w:t xml:space="preserve">24 (2): 505–18.</w:t>
      </w:r>
      <w:r>
        <w:t xml:space="preserve"> </w:t>
      </w:r>
      <w:hyperlink r:id="rId333">
        <w:r>
          <w:rPr>
            <w:rStyle w:val="Hyperlink"/>
          </w:rPr>
          <w:t xml:space="preserve">https://doi.org/10.1007/s11276-016-1357-1</w:t>
        </w:r>
      </w:hyperlink>
      <w:r>
        <w:t xml:space="preserve">.</w:t>
      </w:r>
    </w:p>
    <w:bookmarkEnd w:id="334"/>
    <w:bookmarkStart w:id="336" w:name="ref-yin2019hotstuff"/>
    <w:p>
      <w:pPr>
        <w:pStyle w:val="Bibliography"/>
      </w:pPr>
      <w:r>
        <w:t xml:space="preserve">Yin, Maofan, Dahlia Malkhi, Michael K. Reiter, Guy Golan Gueta, and Ittai Abraham. 2019.</w:t>
      </w:r>
      <w:r>
        <w:t xml:space="preserve"> </w:t>
      </w:r>
      <w:r>
        <w:t xml:space="preserve">“HotStuff: BFT Consensus with Linearity and Responsiveness.”</w:t>
      </w:r>
      <w:r>
        <w:t xml:space="preserve"> </w:t>
      </w:r>
      <w:r>
        <w:t xml:space="preserve">In</w:t>
      </w:r>
      <w:r>
        <w:t xml:space="preserve"> </w:t>
      </w:r>
      <w:r>
        <w:rPr>
          <w:iCs/>
          <w:i/>
        </w:rPr>
        <w:t xml:space="preserve">Proceedings of the 2019 ACM Symposium on Principles of Distributed Computing (PODC)</w:t>
      </w:r>
      <w:r>
        <w:t xml:space="preserve">, 347–56.</w:t>
      </w:r>
      <w:r>
        <w:t xml:space="preserve"> </w:t>
      </w:r>
      <w:hyperlink r:id="rId335">
        <w:r>
          <w:rPr>
            <w:rStyle w:val="Hyperlink"/>
          </w:rPr>
          <w:t xml:space="preserve">https://doi.org/10.1145/3293611.3331591</w:t>
        </w:r>
      </w:hyperlink>
      <w:r>
        <w:t xml:space="preserve">.</w:t>
      </w:r>
    </w:p>
    <w:bookmarkEnd w:id="336"/>
    <w:bookmarkStart w:id="338" w:name="ref-zhang2022lorawan"/>
    <w:p>
      <w:pPr>
        <w:pStyle w:val="Bibliography"/>
      </w:pPr>
      <w:r>
        <w:t xml:space="preserve">Zhang, Haozhe, Long He, Francesco Di Gioia, Daeun Choi, Antonio Elia, and Paul Heinemann. 2022.</w:t>
      </w:r>
      <w:r>
        <w:t xml:space="preserve"> </w:t>
      </w:r>
      <w:r>
        <w:t xml:space="preserve">“LoRaWAN-Based Internet of Things (IoT) System for Precision Irrigation in Plasticulture Fresh-Market Tomato.”</w:t>
      </w:r>
      <w:r>
        <w:t xml:space="preserve"> </w:t>
      </w:r>
      <w:r>
        <w:rPr>
          <w:iCs/>
          <w:i/>
        </w:rPr>
        <w:t xml:space="preserve">Smart Agricultural Technology</w:t>
      </w:r>
      <w:r>
        <w:t xml:space="preserve"> </w:t>
      </w:r>
      <w:r>
        <w:t xml:space="preserve">2: 100053.</w:t>
      </w:r>
      <w:r>
        <w:t xml:space="preserve"> </w:t>
      </w:r>
      <w:hyperlink r:id="rId337">
        <w:r>
          <w:rPr>
            <w:rStyle w:val="Hyperlink"/>
          </w:rPr>
          <w:t xml:space="preserve">https://doi.org/10.1016/j.atech.2022.100053</w:t>
        </w:r>
      </w:hyperlink>
      <w:r>
        <w:t xml:space="preserve">.</w:t>
      </w:r>
    </w:p>
    <w:bookmarkEnd w:id="338"/>
    <w:bookmarkStart w:id="340" w:name="ref-zhang2002precision"/>
    <w:p>
      <w:pPr>
        <w:pStyle w:val="Bibliography"/>
      </w:pPr>
      <w:r>
        <w:t xml:space="preserve">Zhang, Naiqian, Maohua Wang, and Ning Wang. 2002.</w:t>
      </w:r>
      <w:r>
        <w:t xml:space="preserve"> </w:t>
      </w:r>
      <w:r>
        <w:t xml:space="preserve">“Precision Agriculture: A Worldwide Overview.”</w:t>
      </w:r>
      <w:r>
        <w:t xml:space="preserve"> </w:t>
      </w:r>
      <w:r>
        <w:rPr>
          <w:iCs/>
          <w:i/>
        </w:rPr>
        <w:t xml:space="preserve">Computers and Electronics in Agriculture</w:t>
      </w:r>
      <w:r>
        <w:t xml:space="preserve"> </w:t>
      </w:r>
      <w:r>
        <w:t xml:space="preserve">36 (2): 113–32.</w:t>
      </w:r>
      <w:r>
        <w:t xml:space="preserve"> </w:t>
      </w:r>
      <w:hyperlink r:id="rId339">
        <w:r>
          <w:rPr>
            <w:rStyle w:val="Hyperlink"/>
          </w:rPr>
          <w:t xml:space="preserve">https://doi.org/10.1016/S0168-1699(02)00096-0</w:t>
        </w:r>
      </w:hyperlink>
      <w:r>
        <w:t xml:space="preserve">.</w:t>
      </w:r>
    </w:p>
    <w:bookmarkEnd w:id="340"/>
    <w:bookmarkStart w:id="342" w:name="ref-zhang2019blockchain"/>
    <w:p>
      <w:pPr>
        <w:pStyle w:val="Bibliography"/>
      </w:pPr>
      <w:r>
        <w:t xml:space="preserve">Zhang, Peng, Douglas C. Schmidt, Jules White, and Abhishek Dubey. 2019.</w:t>
      </w:r>
      <w:r>
        <w:t xml:space="preserve"> </w:t>
      </w:r>
      <w:r>
        <w:t xml:space="preserve">“Blockchain for IoT-Based Smart Agriculture.”</w:t>
      </w:r>
      <w:r>
        <w:t xml:space="preserve"> </w:t>
      </w:r>
      <w:r>
        <w:t xml:space="preserve">In</w:t>
      </w:r>
      <w:r>
        <w:t xml:space="preserve"> </w:t>
      </w:r>
      <w:r>
        <w:rPr>
          <w:iCs/>
          <w:i/>
        </w:rPr>
        <w:t xml:space="preserve">Proceedings of the IEEE 10th Annual Information Technology, Electronics and Mobile Communication Conference (IEMCON)</w:t>
      </w:r>
      <w:r>
        <w:t xml:space="preserve">, 0925–31.</w:t>
      </w:r>
      <w:r>
        <w:t xml:space="preserve"> </w:t>
      </w:r>
      <w:hyperlink r:id="rId341">
        <w:r>
          <w:rPr>
            <w:rStyle w:val="Hyperlink"/>
          </w:rPr>
          <w:t xml:space="preserve">https://doi.org/10.1109/IEMCON.2019.8936228</w:t>
        </w:r>
      </w:hyperlink>
      <w:r>
        <w:t xml:space="preserve">.</w:t>
      </w:r>
    </w:p>
    <w:bookmarkEnd w:id="342"/>
    <w:bookmarkStart w:id="343" w:name="ref-ziv1977universal"/>
    <w:p>
      <w:pPr>
        <w:pStyle w:val="Bibliography"/>
      </w:pPr>
      <w:r>
        <w:t xml:space="preserve">Ziv, Jacob, and Abraham Lempel. 1977.</w:t>
      </w:r>
      <w:r>
        <w:t xml:space="preserve"> </w:t>
      </w:r>
      <w:r>
        <w:t xml:space="preserve">“A Universal Algorithm for Sequential Data Compression.”</w:t>
      </w:r>
      <w:r>
        <w:t xml:space="preserve"> </w:t>
      </w:r>
      <w:r>
        <w:rPr>
          <w:iCs/>
          <w:i/>
        </w:rPr>
        <w:t xml:space="preserve">IEEE Transactions on Information Theory</w:t>
      </w:r>
      <w:r>
        <w:t xml:space="preserve"> </w:t>
      </w:r>
      <w:r>
        <w:t xml:space="preserve">23 (3): 337–43.</w:t>
      </w:r>
    </w:p>
    <w:bookmarkEnd w:id="343"/>
    <w:bookmarkStart w:id="345" w:name="ref-kim2023privacy"/>
    <w:p>
      <w:pPr>
        <w:pStyle w:val="Bibliography"/>
      </w:pPr>
      <w:r>
        <w:t xml:space="preserve">Zyskind, Guy, Oz Nathan, and Alex Pentland. 2015.</w:t>
      </w:r>
      <w:r>
        <w:t xml:space="preserve"> </w:t>
      </w:r>
      <w:r>
        <w:t xml:space="preserve">“Decentralizing Privacy: Using Blockchain to Protect Personal Data.”</w:t>
      </w:r>
      <w:r>
        <w:t xml:space="preserve"> </w:t>
      </w:r>
      <w:r>
        <w:rPr>
          <w:iCs/>
          <w:i/>
        </w:rPr>
        <w:t xml:space="preserve">2015 IEEE Security and Privacy Workshops</w:t>
      </w:r>
      <w:r>
        <w:t xml:space="preserve">, 180–84.</w:t>
      </w:r>
      <w:r>
        <w:t xml:space="preserve"> </w:t>
      </w:r>
      <w:hyperlink r:id="rId344">
        <w:r>
          <w:rPr>
            <w:rStyle w:val="Hyperlink"/>
          </w:rPr>
          <w:t xml:space="preserve">https://doi.org/10.1109/SPW.2015.27</w:t>
        </w:r>
      </w:hyperlink>
      <w:r>
        <w:t xml:space="preserve">.</w:t>
      </w:r>
    </w:p>
    <w:bookmarkEnd w:id="345"/>
    <w:bookmarkEnd w:id="346"/>
    <w:bookmarkEnd w:id="347"/>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143" Target="http://www.fao.org/3/a-i6583e.pdf" TargetMode="External" /><Relationship Type="http://schemas.openxmlformats.org/officeDocument/2006/relationships/hyperlink" Id="rId194" Target="https://blog.csdn.net/Cris_Jay/article/details/147540172" TargetMode="External" /><Relationship Type="http://schemas.openxmlformats.org/officeDocument/2006/relationships/hyperlink" Id="rId129" Target="https://deepwiki.com/esp-rs/esp-hal/8.3-cache-management-and-memory-barriers" TargetMode="External" /><Relationship Type="http://schemas.openxmlformats.org/officeDocument/2006/relationships/hyperlink" Id="rId321" Target="https://doi.org/10.1002/advs.202503102" TargetMode="External" /><Relationship Type="http://schemas.openxmlformats.org/officeDocument/2006/relationships/hyperlink" Id="rId116" Target="https://doi.org/10.1002/ird.2492" TargetMode="External" /><Relationship Type="http://schemas.openxmlformats.org/officeDocument/2006/relationships/hyperlink" Id="rId165" Target="https://doi.org/10.1002/nem.2099" TargetMode="External" /><Relationship Type="http://schemas.openxmlformats.org/officeDocument/2006/relationships/hyperlink" Id="rId234" Target="https://doi.org/10.1007/3-540-48184-2_32" TargetMode="External" /><Relationship Type="http://schemas.openxmlformats.org/officeDocument/2006/relationships/hyperlink" Id="rId232" Target="https://doi.org/10.1007/s11119-005-0681-8" TargetMode="External" /><Relationship Type="http://schemas.openxmlformats.org/officeDocument/2006/relationships/hyperlink" Id="rId190" Target="https://doi.org/10.1007/s11269-006-9111-6" TargetMode="External" /><Relationship Type="http://schemas.openxmlformats.org/officeDocument/2006/relationships/hyperlink" Id="rId333" Target="https://doi.org/10.1007/s11276-016-1357-1" TargetMode="External" /><Relationship Type="http://schemas.openxmlformats.org/officeDocument/2006/relationships/hyperlink" Id="rId251" Target="https://doi.org/10.1016/S0065-2113(08)60513-1" TargetMode="External" /><Relationship Type="http://schemas.openxmlformats.org/officeDocument/2006/relationships/hyperlink" Id="rId339" Target="https://doi.org/10.1016/S0168-1699(02)00096-0" TargetMode="External" /><Relationship Type="http://schemas.openxmlformats.org/officeDocument/2006/relationships/hyperlink" Id="rId249" Target="https://doi.org/10.1016/S0378-3774(02)00075-6" TargetMode="External" /><Relationship Type="http://schemas.openxmlformats.org/officeDocument/2006/relationships/hyperlink" Id="rId312" Target="https://doi.org/10.1016/j.agsy.2020.103046" TargetMode="External" /><Relationship Type="http://schemas.openxmlformats.org/officeDocument/2006/relationships/hyperlink" Id="rId276" Target="https://doi.org/10.1016/j.agwat.2005.04.008" TargetMode="External" /><Relationship Type="http://schemas.openxmlformats.org/officeDocument/2006/relationships/hyperlink" Id="rId245" Target="https://doi.org/10.1016/j.agwat.2009.08.021" TargetMode="External" /><Relationship Type="http://schemas.openxmlformats.org/officeDocument/2006/relationships/hyperlink" Id="rId122" Target="https://doi.org/10.1016/j.agwat.2010.01.025" TargetMode="External" /><Relationship Type="http://schemas.openxmlformats.org/officeDocument/2006/relationships/hyperlink" Id="rId188" Target="https://doi.org/10.1016/j.agwat.2015.03.014" TargetMode="External" /><Relationship Type="http://schemas.openxmlformats.org/officeDocument/2006/relationships/hyperlink" Id="rId337" Target="https://doi.org/10.1016/j.atech.2022.100053" TargetMode="External" /><Relationship Type="http://schemas.openxmlformats.org/officeDocument/2006/relationships/hyperlink" Id="rId196" Target="https://doi.org/10.1016/j.atech.2025.101242" TargetMode="External" /><Relationship Type="http://schemas.openxmlformats.org/officeDocument/2006/relationships/hyperlink" Id="rId75" Target="https://doi.org/10.1016/j.atech.2025.101654" TargetMode="External" /><Relationship Type="http://schemas.openxmlformats.org/officeDocument/2006/relationships/hyperlink" Id="rId304" Target="https://doi.org/10.1016/j.biosystemseng.2017.09.007" TargetMode="External" /><Relationship Type="http://schemas.openxmlformats.org/officeDocument/2006/relationships/hyperlink" Id="rId100" Target="https://doi.org/10.1016/j.comcom.2020.10.009" TargetMode="External" /><Relationship Type="http://schemas.openxmlformats.org/officeDocument/2006/relationships/hyperlink" Id="rId319" Target="https://doi.org/10.1016/j.compag.2005.09.003" TargetMode="External" /><Relationship Type="http://schemas.openxmlformats.org/officeDocument/2006/relationships/hyperlink" Id="rId111" Target="https://doi.org/10.1016/j.compag.2018.05.012" TargetMode="External" /><Relationship Type="http://schemas.openxmlformats.org/officeDocument/2006/relationships/hyperlink" Id="rId157" Target="https://doi.org/10.1016/j.compag.2018.09.040" TargetMode="External" /><Relationship Type="http://schemas.openxmlformats.org/officeDocument/2006/relationships/hyperlink" Id="rId64" Target="https://doi.org/10.1016/j.compag.2020.105441" TargetMode="External" /><Relationship Type="http://schemas.openxmlformats.org/officeDocument/2006/relationships/hyperlink" Id="rId308" Target="https://doi.org/10.1016/j.compag.2020.105709" TargetMode="External" /><Relationship Type="http://schemas.openxmlformats.org/officeDocument/2006/relationships/hyperlink" Id="rId213" Target="https://doi.org/10.1016/j.compind.2020.103187" TargetMode="External" /><Relationship Type="http://schemas.openxmlformats.org/officeDocument/2006/relationships/hyperlink" Id="rId168" Target="https://doi.org/10.1016/j.cose.2018.06.004" TargetMode="External" /><Relationship Type="http://schemas.openxmlformats.org/officeDocument/2006/relationships/hyperlink" Id="rId81" Target="https://doi.org/10.1016/j.csi.2011.03.004" TargetMode="External" /><Relationship Type="http://schemas.openxmlformats.org/officeDocument/2006/relationships/hyperlink" Id="rId299" Target="https://doi.org/10.1016/j.eja.2006.08.004" TargetMode="External" /><Relationship Type="http://schemas.openxmlformats.org/officeDocument/2006/relationships/hyperlink" Id="rId98" Target="https://doi.org/10.1016/j.future.2015.09.021" TargetMode="External" /><Relationship Type="http://schemas.openxmlformats.org/officeDocument/2006/relationships/hyperlink" Id="rId265" Target="https://doi.org/10.1016/j.future.2018.05.046" TargetMode="External" /><Relationship Type="http://schemas.openxmlformats.org/officeDocument/2006/relationships/hyperlink" Id="rId92" Target="https://doi.org/10.1016/j.jhydrol.2007.06.032" TargetMode="External" /><Relationship Type="http://schemas.openxmlformats.org/officeDocument/2006/relationships/hyperlink" Id="rId215" Target="https://doi.org/10.1016/j.jii.2018.01.005" TargetMode="External" /><Relationship Type="http://schemas.openxmlformats.org/officeDocument/2006/relationships/hyperlink" Id="rId261" Target="https://doi.org/10.1016/j.matpr.2021.06.253" TargetMode="External" /><Relationship Type="http://schemas.openxmlformats.org/officeDocument/2006/relationships/hyperlink" Id="rId201" Target="https://doi.org/10.1016/j.psep.2018.05.009" TargetMode="External" /><Relationship Type="http://schemas.openxmlformats.org/officeDocument/2006/relationships/hyperlink" Id="rId203" Target="https://doi.org/10.1016/j.tifs.2019.07.034" TargetMode="External" /><Relationship Type="http://schemas.openxmlformats.org/officeDocument/2006/relationships/hyperlink" Id="rId147" Target="https://doi.org/10.1016/j.trac.2018.08.011" TargetMode="External" /><Relationship Type="http://schemas.openxmlformats.org/officeDocument/2006/relationships/hyperlink" Id="rId105" Target="https://doi.org/10.1049/iet-wss.2013.0025" TargetMode="External" /><Relationship Type="http://schemas.openxmlformats.org/officeDocument/2006/relationships/hyperlink" Id="rId230" Target="https://doi.org/10.1093/comjnl/bxp118" TargetMode="External" /><Relationship Type="http://schemas.openxmlformats.org/officeDocument/2006/relationships/hyperlink" Id="rId134" Target="https://doi.org/10.1093/jxb/erl165" TargetMode="External" /><Relationship Type="http://schemas.openxmlformats.org/officeDocument/2006/relationships/hyperlink" Id="rId163" Target="https://doi.org/10.1109/40.877952" TargetMode="External" /><Relationship Type="http://schemas.openxmlformats.org/officeDocument/2006/relationships/hyperlink" Id="rId269" Target="https://doi.org/10.1109/ACCESS.2019.2918000" TargetMode="External" /><Relationship Type="http://schemas.openxmlformats.org/officeDocument/2006/relationships/hyperlink" Id="rId132" Target="https://doi.org/10.1109/ACCESS.2019.2949703" TargetMode="External" /><Relationship Type="http://schemas.openxmlformats.org/officeDocument/2006/relationships/hyperlink" Id="rId138" Target="https://doi.org/10.1109/ACCESS.2020.2973178" TargetMode="External" /><Relationship Type="http://schemas.openxmlformats.org/officeDocument/2006/relationships/hyperlink" Id="rId83" Target="https://doi.org/10.1109/ACCESS.2021.3129552" TargetMode="External" /><Relationship Type="http://schemas.openxmlformats.org/officeDocument/2006/relationships/hyperlink" Id="rId247" Target="https://doi.org/10.1109/ACCESS.2022.3142563" TargetMode="External" /><Relationship Type="http://schemas.openxmlformats.org/officeDocument/2006/relationships/hyperlink" Id="rId258" Target="https://doi.org/10.1109/ACCESS.2022.3146851" TargetMode="External" /><Relationship Type="http://schemas.openxmlformats.org/officeDocument/2006/relationships/hyperlink" Id="rId180" Target="https://doi.org/10.1109/ACCESS.2022.3208440" TargetMode="External" /><Relationship Type="http://schemas.openxmlformats.org/officeDocument/2006/relationships/hyperlink" Id="rId224" Target="https://doi.org/10.1109/Blockchain55522.2022.00055" TargetMode="External" /><Relationship Type="http://schemas.openxmlformats.org/officeDocument/2006/relationships/hyperlink" Id="rId124" Target="https://doi.org/10.1109/COMST.2017.2694144" TargetMode="External" /><Relationship Type="http://schemas.openxmlformats.org/officeDocument/2006/relationships/hyperlink" Id="rId323" Target="https://doi.org/10.1109/COMST.2020.2970550" TargetMode="External" /><Relationship Type="http://schemas.openxmlformats.org/officeDocument/2006/relationships/hyperlink" Id="rId88" Target="https://doi.org/10.1109/DSN.2014.43" TargetMode="External" /><Relationship Type="http://schemas.openxmlformats.org/officeDocument/2006/relationships/hyperlink" Id="rId177" Target="https://doi.org/10.1109/HICSS.2000.926982" TargetMode="External" /><Relationship Type="http://schemas.openxmlformats.org/officeDocument/2006/relationships/hyperlink" Id="rId293" Target="https://doi.org/10.1109/ICASI.2017.7988632" TargetMode="External" /><Relationship Type="http://schemas.openxmlformats.org/officeDocument/2006/relationships/hyperlink" Id="rId199" Target="https://doi.org/10.1109/ICDCECE65353.2025.11035330" TargetMode="External" /><Relationship Type="http://schemas.openxmlformats.org/officeDocument/2006/relationships/hyperlink" Id="rId331" Target="https://doi.org/10.1109/ICSA.2016.15" TargetMode="External" /><Relationship Type="http://schemas.openxmlformats.org/officeDocument/2006/relationships/hyperlink" Id="rId291" Target="https://doi.org/10.1109/ICSSSM.2016.7538424" TargetMode="External" /><Relationship Type="http://schemas.openxmlformats.org/officeDocument/2006/relationships/hyperlink" Id="rId297" Target="https://doi.org/10.1109/ICSSSM.2017.7996119" TargetMode="External" /><Relationship Type="http://schemas.openxmlformats.org/officeDocument/2006/relationships/hyperlink" Id="rId341" Target="https://doi.org/10.1109/IEMCON.2019.8936228" TargetMode="External" /><Relationship Type="http://schemas.openxmlformats.org/officeDocument/2006/relationships/hyperlink" Id="rId211" Target="https://doi.org/10.1109/IOT.2025.11089136" TargetMode="External" /><Relationship Type="http://schemas.openxmlformats.org/officeDocument/2006/relationships/hyperlink" Id="rId254" Target="https://doi.org/10.1109/ISCAS.1994.408967" TargetMode="External" /><Relationship Type="http://schemas.openxmlformats.org/officeDocument/2006/relationships/hyperlink" Id="rId145" Target="https://doi.org/10.1109/JIOT.2017.2767291" TargetMode="External" /><Relationship Type="http://schemas.openxmlformats.org/officeDocument/2006/relationships/hyperlink" Id="rId280" Target="https://doi.org/10.1109/JIOT.2020.2977767" TargetMode="External" /><Relationship Type="http://schemas.openxmlformats.org/officeDocument/2006/relationships/hyperlink" Id="rId136" Target="https://doi.org/10.1109/JIOT.2020.2984478" TargetMode="External" /><Relationship Type="http://schemas.openxmlformats.org/officeDocument/2006/relationships/hyperlink" Id="rId217" Target="https://doi.org/10.1109/JIOT.2020.2999323" TargetMode="External" /><Relationship Type="http://schemas.openxmlformats.org/officeDocument/2006/relationships/hyperlink" Id="rId228" Target="https://doi.org/10.1109/LCOMM.2008.080300" TargetMode="External" /><Relationship Type="http://schemas.openxmlformats.org/officeDocument/2006/relationships/hyperlink" Id="rId289" Target="https://doi.org/10.1109/MASCOTS.2018.00034" TargetMode="External" /><Relationship Type="http://schemas.openxmlformats.org/officeDocument/2006/relationships/hyperlink" Id="rId66" Target="https://doi.org/10.1109/MCOM.2017.1600613" TargetMode="External" /><Relationship Type="http://schemas.openxmlformats.org/officeDocument/2006/relationships/hyperlink" Id="rId329" Target="https://doi.org/10.1109/MNET.011.2000111" TargetMode="External" /><Relationship Type="http://schemas.openxmlformats.org/officeDocument/2006/relationships/hyperlink" Id="rId222" Target="https://doi.org/10.1109/MNET.2019.1800254" TargetMode="External" /><Relationship Type="http://schemas.openxmlformats.org/officeDocument/2006/relationships/hyperlink" Id="rId127" Target="https://doi.org/10.1109/PERCOMW.2017.7917634" TargetMode="External" /><Relationship Type="http://schemas.openxmlformats.org/officeDocument/2006/relationships/hyperlink" Id="rId344" Target="https://doi.org/10.1109/SPW.2015.27" TargetMode="External" /><Relationship Type="http://schemas.openxmlformats.org/officeDocument/2006/relationships/hyperlink" Id="rId285" Target="https://doi.org/10.1109/SRDS.2017.36" TargetMode="External" /><Relationship Type="http://schemas.openxmlformats.org/officeDocument/2006/relationships/hyperlink" Id="rId151" Target="https://doi.org/10.1109/TEC.1959.5219515" TargetMode="External" /><Relationship Type="http://schemas.openxmlformats.org/officeDocument/2006/relationships/hyperlink" Id="rId172" Target="https://doi.org/10.1111/exsy.13382" TargetMode="External" /><Relationship Type="http://schemas.openxmlformats.org/officeDocument/2006/relationships/hyperlink" Id="rId153" Target="https://doi.org/10.1126/science.1183899" TargetMode="External" /><Relationship Type="http://schemas.openxmlformats.org/officeDocument/2006/relationships/hyperlink" Id="rId118" Target="https://doi.org/10.1142/2893" TargetMode="External" /><Relationship Type="http://schemas.openxmlformats.org/officeDocument/2006/relationships/hyperlink" Id="rId208" Target="https://doi.org/10.1145/1362542.1362545" TargetMode="External" /><Relationship Type="http://schemas.openxmlformats.org/officeDocument/2006/relationships/hyperlink" Id="rId256" Target="https://doi.org/10.1145/1394127.1394128" TargetMode="External" /><Relationship Type="http://schemas.openxmlformats.org/officeDocument/2006/relationships/hyperlink" Id="rId73" Target="https://doi.org/10.1145/1465482.1465560" TargetMode="External" /><Relationship Type="http://schemas.openxmlformats.org/officeDocument/2006/relationships/hyperlink" Id="rId94" Target="https://doi.org/10.1145/2988287.2989163" TargetMode="External" /><Relationship Type="http://schemas.openxmlformats.org/officeDocument/2006/relationships/hyperlink" Id="rId160" Target="https://doi.org/10.1145/301250.301308" TargetMode="External" /><Relationship Type="http://schemas.openxmlformats.org/officeDocument/2006/relationships/hyperlink" Id="rId78" Target="https://doi.org/10.1145/3190508.3190538" TargetMode="External" /><Relationship Type="http://schemas.openxmlformats.org/officeDocument/2006/relationships/hyperlink" Id="rId219" Target="https://doi.org/10.1145/3265689.3265692" TargetMode="External" /><Relationship Type="http://schemas.openxmlformats.org/officeDocument/2006/relationships/hyperlink" Id="rId335" Target="https://doi.org/10.1145/3293611.3331591" TargetMode="External" /><Relationship Type="http://schemas.openxmlformats.org/officeDocument/2006/relationships/hyperlink" Id="rId155" Target="https://doi.org/10.1145/564585.564601" TargetMode="External" /><Relationship Type="http://schemas.openxmlformats.org/officeDocument/2006/relationships/hyperlink" Id="rId325" Target="https://doi.org/10.1186/s13007-025-01387-4" TargetMode="External" /><Relationship Type="http://schemas.openxmlformats.org/officeDocument/2006/relationships/hyperlink" Id="rId184" Target="https://doi.org/10.21273/HORTSCI15060-20" TargetMode="External" /><Relationship Type="http://schemas.openxmlformats.org/officeDocument/2006/relationships/hyperlink" Id="rId283" Target="https://doi.org/10.21273/HORTTECH.16.2.0283" TargetMode="External" /><Relationship Type="http://schemas.openxmlformats.org/officeDocument/2006/relationships/hyperlink" Id="rId310" Target="https://doi.org/10.2136/vzj2012.0160" TargetMode="External" /><Relationship Type="http://schemas.openxmlformats.org/officeDocument/2006/relationships/hyperlink" Id="rId90" Target="https://doi.org/10.22765/pastj.20250003" TargetMode="External" /><Relationship Type="http://schemas.openxmlformats.org/officeDocument/2006/relationships/hyperlink" Id="rId192" Target="https://doi.org/10.3389/fbloc.2026.1766232" TargetMode="External" /><Relationship Type="http://schemas.openxmlformats.org/officeDocument/2006/relationships/hyperlink" Id="rId236" Target="https://doi.org/10.3389/fpls.2016.01419" TargetMode="External" /><Relationship Type="http://schemas.openxmlformats.org/officeDocument/2006/relationships/hyperlink" Id="rId263" Target="https://doi.org/10.3389/frcmn.2025.1587402" TargetMode="External" /><Relationship Type="http://schemas.openxmlformats.org/officeDocument/2006/relationships/hyperlink" Id="rId102" Target="https://doi.org/10.3390/agriculture11100927" TargetMode="External" /><Relationship Type="http://schemas.openxmlformats.org/officeDocument/2006/relationships/hyperlink" Id="rId267" Target="https://doi.org/10.3390/agriculture14071120" TargetMode="External" /><Relationship Type="http://schemas.openxmlformats.org/officeDocument/2006/relationships/hyperlink" Id="rId140" Target="https://doi.org/10.3390/s16071141" TargetMode="External" /><Relationship Type="http://schemas.openxmlformats.org/officeDocument/2006/relationships/hyperlink" Id="rId327" Target="https://doi.org/10.3390/s18041057" TargetMode="External" /><Relationship Type="http://schemas.openxmlformats.org/officeDocument/2006/relationships/hyperlink" Id="rId175" Target="https://doi.org/10.3390/s18113995" TargetMode="External" /><Relationship Type="http://schemas.openxmlformats.org/officeDocument/2006/relationships/hyperlink" Id="rId170" Target="https://doi.org/10.3390/s19102228" TargetMode="External" /><Relationship Type="http://schemas.openxmlformats.org/officeDocument/2006/relationships/hyperlink" Id="rId149" Target="https://doi.org/10.3390/s20041042" TargetMode="External" /><Relationship Type="http://schemas.openxmlformats.org/officeDocument/2006/relationships/hyperlink" Id="rId273" Target="https://doi.org/10.3390/s21041209" TargetMode="External" /><Relationship Type="http://schemas.openxmlformats.org/officeDocument/2006/relationships/hyperlink" Id="rId238" Target="https://doi.org/10.3390/s21237964" TargetMode="External" /><Relationship Type="http://schemas.openxmlformats.org/officeDocument/2006/relationships/hyperlink" Id="rId242" Target="https://doi.org/10.3390/s22134868" TargetMode="External" /><Relationship Type="http://schemas.openxmlformats.org/officeDocument/2006/relationships/hyperlink" Id="rId120" Target="https://doi.org/10.3390/s22205981" TargetMode="External" /><Relationship Type="http://schemas.openxmlformats.org/officeDocument/2006/relationships/hyperlink" Id="rId96" Target="https://doi.org/10.3390/s23115342" TargetMode="External" /><Relationship Type="http://schemas.openxmlformats.org/officeDocument/2006/relationships/hyperlink" Id="rId317" Target="https://doi.org/10.3390/s23146332" TargetMode="External" /><Relationship Type="http://schemas.openxmlformats.org/officeDocument/2006/relationships/hyperlink" Id="rId68" Target="https://doi.org/10.3390/s23187992" TargetMode="External" /><Relationship Type="http://schemas.openxmlformats.org/officeDocument/2006/relationships/hyperlink" Id="rId109" Target="https://doi.org/10.3390/s25196027" TargetMode="External" /><Relationship Type="http://schemas.openxmlformats.org/officeDocument/2006/relationships/hyperlink" Id="rId226" Target="https://doi.org/10.3390/su10093149" TargetMode="External" /><Relationship Type="http://schemas.openxmlformats.org/officeDocument/2006/relationships/hyperlink" Id="rId302" Target="https://doi.org/10.3390/telecom5040051" TargetMode="External" /><Relationship Type="http://schemas.openxmlformats.org/officeDocument/2006/relationships/hyperlink" Id="rId278" Target="https://doi.org/10.3745/JIPS.04.0022" TargetMode="External" /><Relationship Type="http://schemas.openxmlformats.org/officeDocument/2006/relationships/hyperlink" Id="rId314" Target="https://doi.org/10.5120/ijca2021921556" TargetMode="External" /><Relationship Type="http://schemas.openxmlformats.org/officeDocument/2006/relationships/hyperlink" Id="rId287" Target="https://hyperledger-fabric.readthedocs.io/en/latest/orderer/ordering_service.html" TargetMode="External" /><Relationship Type="http://schemas.openxmlformats.org/officeDocument/2006/relationships/hyperlink" Id="rId182" Target="https://hyperledger-fabric.readthedocs.io/en/release-2.2/msp-identity-validity-rules.html" TargetMode="External" /><Relationship Type="http://schemas.openxmlformats.org/officeDocument/2006/relationships/hyperlink" Id="rId114" Target="https://stackoverflow.com/questions/40054218/what-if-dictionary-size-in-lzw-algorithm-is-full" TargetMode="External" /><Relationship Type="http://schemas.openxmlformats.org/officeDocument/2006/relationships/hyperlink" Id="rId186" Target="https://www.ibm.com/docs/en/blockchain-platform" TargetMode="External" /><Relationship Type="http://schemas.openxmlformats.org/officeDocument/2006/relationships/hyperlink" Id="rId306" Target="https://www.unesco.org/reports/wwdr" TargetMode="External" /></Relationships>
</file>

<file path=word/_rels/footnotes.xml.rels><?xml version="1.0" encoding="UTF-8"?><Relationships xmlns="http://schemas.openxmlformats.org/package/2006/relationships"><Relationship Type="http://schemas.openxmlformats.org/officeDocument/2006/relationships/hyperlink" Id="rId143" Target="http://www.fao.org/3/a-i6583e.pdf" TargetMode="External" /><Relationship Type="http://schemas.openxmlformats.org/officeDocument/2006/relationships/hyperlink" Id="rId194" Target="https://blog.csdn.net/Cris_Jay/article/details/147540172" TargetMode="External" /><Relationship Type="http://schemas.openxmlformats.org/officeDocument/2006/relationships/hyperlink" Id="rId129" Target="https://deepwiki.com/esp-rs/esp-hal/8.3-cache-management-and-memory-barriers" TargetMode="External" /><Relationship Type="http://schemas.openxmlformats.org/officeDocument/2006/relationships/hyperlink" Id="rId321" Target="https://doi.org/10.1002/advs.202503102" TargetMode="External" /><Relationship Type="http://schemas.openxmlformats.org/officeDocument/2006/relationships/hyperlink" Id="rId116" Target="https://doi.org/10.1002/ird.2492" TargetMode="External" /><Relationship Type="http://schemas.openxmlformats.org/officeDocument/2006/relationships/hyperlink" Id="rId165" Target="https://doi.org/10.1002/nem.2099" TargetMode="External" /><Relationship Type="http://schemas.openxmlformats.org/officeDocument/2006/relationships/hyperlink" Id="rId234" Target="https://doi.org/10.1007/3-540-48184-2_32" TargetMode="External" /><Relationship Type="http://schemas.openxmlformats.org/officeDocument/2006/relationships/hyperlink" Id="rId232" Target="https://doi.org/10.1007/s11119-005-0681-8" TargetMode="External" /><Relationship Type="http://schemas.openxmlformats.org/officeDocument/2006/relationships/hyperlink" Id="rId190" Target="https://doi.org/10.1007/s11269-006-9111-6" TargetMode="External" /><Relationship Type="http://schemas.openxmlformats.org/officeDocument/2006/relationships/hyperlink" Id="rId333" Target="https://doi.org/10.1007/s11276-016-1357-1" TargetMode="External" /><Relationship Type="http://schemas.openxmlformats.org/officeDocument/2006/relationships/hyperlink" Id="rId251" Target="https://doi.org/10.1016/S0065-2113(08)60513-1" TargetMode="External" /><Relationship Type="http://schemas.openxmlformats.org/officeDocument/2006/relationships/hyperlink" Id="rId339" Target="https://doi.org/10.1016/S0168-1699(02)00096-0" TargetMode="External" /><Relationship Type="http://schemas.openxmlformats.org/officeDocument/2006/relationships/hyperlink" Id="rId249" Target="https://doi.org/10.1016/S0378-3774(02)00075-6" TargetMode="External" /><Relationship Type="http://schemas.openxmlformats.org/officeDocument/2006/relationships/hyperlink" Id="rId312" Target="https://doi.org/10.1016/j.agsy.2020.103046" TargetMode="External" /><Relationship Type="http://schemas.openxmlformats.org/officeDocument/2006/relationships/hyperlink" Id="rId276" Target="https://doi.org/10.1016/j.agwat.2005.04.008" TargetMode="External" /><Relationship Type="http://schemas.openxmlformats.org/officeDocument/2006/relationships/hyperlink" Id="rId245" Target="https://doi.org/10.1016/j.agwat.2009.08.021" TargetMode="External" /><Relationship Type="http://schemas.openxmlformats.org/officeDocument/2006/relationships/hyperlink" Id="rId122" Target="https://doi.org/10.1016/j.agwat.2010.01.025" TargetMode="External" /><Relationship Type="http://schemas.openxmlformats.org/officeDocument/2006/relationships/hyperlink" Id="rId188" Target="https://doi.org/10.1016/j.agwat.2015.03.014" TargetMode="External" /><Relationship Type="http://schemas.openxmlformats.org/officeDocument/2006/relationships/hyperlink" Id="rId337" Target="https://doi.org/10.1016/j.atech.2022.100053" TargetMode="External" /><Relationship Type="http://schemas.openxmlformats.org/officeDocument/2006/relationships/hyperlink" Id="rId196" Target="https://doi.org/10.1016/j.atech.2025.101242" TargetMode="External" /><Relationship Type="http://schemas.openxmlformats.org/officeDocument/2006/relationships/hyperlink" Id="rId75" Target="https://doi.org/10.1016/j.atech.2025.101654" TargetMode="External" /><Relationship Type="http://schemas.openxmlformats.org/officeDocument/2006/relationships/hyperlink" Id="rId304" Target="https://doi.org/10.1016/j.biosystemseng.2017.09.007" TargetMode="External" /><Relationship Type="http://schemas.openxmlformats.org/officeDocument/2006/relationships/hyperlink" Id="rId100" Target="https://doi.org/10.1016/j.comcom.2020.10.009" TargetMode="External" /><Relationship Type="http://schemas.openxmlformats.org/officeDocument/2006/relationships/hyperlink" Id="rId319" Target="https://doi.org/10.1016/j.compag.2005.09.003" TargetMode="External" /><Relationship Type="http://schemas.openxmlformats.org/officeDocument/2006/relationships/hyperlink" Id="rId111" Target="https://doi.org/10.1016/j.compag.2018.05.012" TargetMode="External" /><Relationship Type="http://schemas.openxmlformats.org/officeDocument/2006/relationships/hyperlink" Id="rId157" Target="https://doi.org/10.1016/j.compag.2018.09.040" TargetMode="External" /><Relationship Type="http://schemas.openxmlformats.org/officeDocument/2006/relationships/hyperlink" Id="rId64" Target="https://doi.org/10.1016/j.compag.2020.105441" TargetMode="External" /><Relationship Type="http://schemas.openxmlformats.org/officeDocument/2006/relationships/hyperlink" Id="rId308" Target="https://doi.org/10.1016/j.compag.2020.105709" TargetMode="External" /><Relationship Type="http://schemas.openxmlformats.org/officeDocument/2006/relationships/hyperlink" Id="rId213" Target="https://doi.org/10.1016/j.compind.2020.103187" TargetMode="External" /><Relationship Type="http://schemas.openxmlformats.org/officeDocument/2006/relationships/hyperlink" Id="rId168" Target="https://doi.org/10.1016/j.cose.2018.06.004" TargetMode="External" /><Relationship Type="http://schemas.openxmlformats.org/officeDocument/2006/relationships/hyperlink" Id="rId81" Target="https://doi.org/10.1016/j.csi.2011.03.004" TargetMode="External" /><Relationship Type="http://schemas.openxmlformats.org/officeDocument/2006/relationships/hyperlink" Id="rId299" Target="https://doi.org/10.1016/j.eja.2006.08.004" TargetMode="External" /><Relationship Type="http://schemas.openxmlformats.org/officeDocument/2006/relationships/hyperlink" Id="rId98" Target="https://doi.org/10.1016/j.future.2015.09.021" TargetMode="External" /><Relationship Type="http://schemas.openxmlformats.org/officeDocument/2006/relationships/hyperlink" Id="rId265" Target="https://doi.org/10.1016/j.future.2018.05.046" TargetMode="External" /><Relationship Type="http://schemas.openxmlformats.org/officeDocument/2006/relationships/hyperlink" Id="rId92" Target="https://doi.org/10.1016/j.jhydrol.2007.06.032" TargetMode="External" /><Relationship Type="http://schemas.openxmlformats.org/officeDocument/2006/relationships/hyperlink" Id="rId215" Target="https://doi.org/10.1016/j.jii.2018.01.005" TargetMode="External" /><Relationship Type="http://schemas.openxmlformats.org/officeDocument/2006/relationships/hyperlink" Id="rId261" Target="https://doi.org/10.1016/j.matpr.2021.06.253" TargetMode="External" /><Relationship Type="http://schemas.openxmlformats.org/officeDocument/2006/relationships/hyperlink" Id="rId201" Target="https://doi.org/10.1016/j.psep.2018.05.009" TargetMode="External" /><Relationship Type="http://schemas.openxmlformats.org/officeDocument/2006/relationships/hyperlink" Id="rId203" Target="https://doi.org/10.1016/j.tifs.2019.07.034" TargetMode="External" /><Relationship Type="http://schemas.openxmlformats.org/officeDocument/2006/relationships/hyperlink" Id="rId147" Target="https://doi.org/10.1016/j.trac.2018.08.011" TargetMode="External" /><Relationship Type="http://schemas.openxmlformats.org/officeDocument/2006/relationships/hyperlink" Id="rId105" Target="https://doi.org/10.1049/iet-wss.2013.0025" TargetMode="External" /><Relationship Type="http://schemas.openxmlformats.org/officeDocument/2006/relationships/hyperlink" Id="rId230" Target="https://doi.org/10.1093/comjnl/bxp118" TargetMode="External" /><Relationship Type="http://schemas.openxmlformats.org/officeDocument/2006/relationships/hyperlink" Id="rId134" Target="https://doi.org/10.1093/jxb/erl165" TargetMode="External" /><Relationship Type="http://schemas.openxmlformats.org/officeDocument/2006/relationships/hyperlink" Id="rId163" Target="https://doi.org/10.1109/40.877952" TargetMode="External" /><Relationship Type="http://schemas.openxmlformats.org/officeDocument/2006/relationships/hyperlink" Id="rId269" Target="https://doi.org/10.1109/ACCESS.2019.2918000" TargetMode="External" /><Relationship Type="http://schemas.openxmlformats.org/officeDocument/2006/relationships/hyperlink" Id="rId132" Target="https://doi.org/10.1109/ACCESS.2019.2949703" TargetMode="External" /><Relationship Type="http://schemas.openxmlformats.org/officeDocument/2006/relationships/hyperlink" Id="rId138" Target="https://doi.org/10.1109/ACCESS.2020.2973178" TargetMode="External" /><Relationship Type="http://schemas.openxmlformats.org/officeDocument/2006/relationships/hyperlink" Id="rId83" Target="https://doi.org/10.1109/ACCESS.2021.3129552" TargetMode="External" /><Relationship Type="http://schemas.openxmlformats.org/officeDocument/2006/relationships/hyperlink" Id="rId247" Target="https://doi.org/10.1109/ACCESS.2022.3142563" TargetMode="External" /><Relationship Type="http://schemas.openxmlformats.org/officeDocument/2006/relationships/hyperlink" Id="rId258" Target="https://doi.org/10.1109/ACCESS.2022.3146851" TargetMode="External" /><Relationship Type="http://schemas.openxmlformats.org/officeDocument/2006/relationships/hyperlink" Id="rId180" Target="https://doi.org/10.1109/ACCESS.2022.3208440" TargetMode="External" /><Relationship Type="http://schemas.openxmlformats.org/officeDocument/2006/relationships/hyperlink" Id="rId224" Target="https://doi.org/10.1109/Blockchain55522.2022.00055" TargetMode="External" /><Relationship Type="http://schemas.openxmlformats.org/officeDocument/2006/relationships/hyperlink" Id="rId124" Target="https://doi.org/10.1109/COMST.2017.2694144" TargetMode="External" /><Relationship Type="http://schemas.openxmlformats.org/officeDocument/2006/relationships/hyperlink" Id="rId323" Target="https://doi.org/10.1109/COMST.2020.2970550" TargetMode="External" /><Relationship Type="http://schemas.openxmlformats.org/officeDocument/2006/relationships/hyperlink" Id="rId88" Target="https://doi.org/10.1109/DSN.2014.43" TargetMode="External" /><Relationship Type="http://schemas.openxmlformats.org/officeDocument/2006/relationships/hyperlink" Id="rId177" Target="https://doi.org/10.1109/HICSS.2000.926982" TargetMode="External" /><Relationship Type="http://schemas.openxmlformats.org/officeDocument/2006/relationships/hyperlink" Id="rId293" Target="https://doi.org/10.1109/ICASI.2017.7988632" TargetMode="External" /><Relationship Type="http://schemas.openxmlformats.org/officeDocument/2006/relationships/hyperlink" Id="rId199" Target="https://doi.org/10.1109/ICDCECE65353.2025.11035330" TargetMode="External" /><Relationship Type="http://schemas.openxmlformats.org/officeDocument/2006/relationships/hyperlink" Id="rId331" Target="https://doi.org/10.1109/ICSA.2016.15" TargetMode="External" /><Relationship Type="http://schemas.openxmlformats.org/officeDocument/2006/relationships/hyperlink" Id="rId291" Target="https://doi.org/10.1109/ICSSSM.2016.7538424" TargetMode="External" /><Relationship Type="http://schemas.openxmlformats.org/officeDocument/2006/relationships/hyperlink" Id="rId297" Target="https://doi.org/10.1109/ICSSSM.2017.7996119" TargetMode="External" /><Relationship Type="http://schemas.openxmlformats.org/officeDocument/2006/relationships/hyperlink" Id="rId341" Target="https://doi.org/10.1109/IEMCON.2019.8936228" TargetMode="External" /><Relationship Type="http://schemas.openxmlformats.org/officeDocument/2006/relationships/hyperlink" Id="rId211" Target="https://doi.org/10.1109/IOT.2025.11089136" TargetMode="External" /><Relationship Type="http://schemas.openxmlformats.org/officeDocument/2006/relationships/hyperlink" Id="rId254" Target="https://doi.org/10.1109/ISCAS.1994.408967" TargetMode="External" /><Relationship Type="http://schemas.openxmlformats.org/officeDocument/2006/relationships/hyperlink" Id="rId145" Target="https://doi.org/10.1109/JIOT.2017.2767291" TargetMode="External" /><Relationship Type="http://schemas.openxmlformats.org/officeDocument/2006/relationships/hyperlink" Id="rId280" Target="https://doi.org/10.1109/JIOT.2020.2977767" TargetMode="External" /><Relationship Type="http://schemas.openxmlformats.org/officeDocument/2006/relationships/hyperlink" Id="rId136" Target="https://doi.org/10.1109/JIOT.2020.2984478" TargetMode="External" /><Relationship Type="http://schemas.openxmlformats.org/officeDocument/2006/relationships/hyperlink" Id="rId217" Target="https://doi.org/10.1109/JIOT.2020.2999323" TargetMode="External" /><Relationship Type="http://schemas.openxmlformats.org/officeDocument/2006/relationships/hyperlink" Id="rId228" Target="https://doi.org/10.1109/LCOMM.2008.080300" TargetMode="External" /><Relationship Type="http://schemas.openxmlformats.org/officeDocument/2006/relationships/hyperlink" Id="rId289" Target="https://doi.org/10.1109/MASCOTS.2018.00034" TargetMode="External" /><Relationship Type="http://schemas.openxmlformats.org/officeDocument/2006/relationships/hyperlink" Id="rId66" Target="https://doi.org/10.1109/MCOM.2017.1600613" TargetMode="External" /><Relationship Type="http://schemas.openxmlformats.org/officeDocument/2006/relationships/hyperlink" Id="rId329" Target="https://doi.org/10.1109/MNET.011.2000111" TargetMode="External" /><Relationship Type="http://schemas.openxmlformats.org/officeDocument/2006/relationships/hyperlink" Id="rId222" Target="https://doi.org/10.1109/MNET.2019.1800254" TargetMode="External" /><Relationship Type="http://schemas.openxmlformats.org/officeDocument/2006/relationships/hyperlink" Id="rId127" Target="https://doi.org/10.1109/PERCOMW.2017.7917634" TargetMode="External" /><Relationship Type="http://schemas.openxmlformats.org/officeDocument/2006/relationships/hyperlink" Id="rId344" Target="https://doi.org/10.1109/SPW.2015.27" TargetMode="External" /><Relationship Type="http://schemas.openxmlformats.org/officeDocument/2006/relationships/hyperlink" Id="rId285" Target="https://doi.org/10.1109/SRDS.2017.36" TargetMode="External" /><Relationship Type="http://schemas.openxmlformats.org/officeDocument/2006/relationships/hyperlink" Id="rId151" Target="https://doi.org/10.1109/TEC.1959.5219515" TargetMode="External" /><Relationship Type="http://schemas.openxmlformats.org/officeDocument/2006/relationships/hyperlink" Id="rId172" Target="https://doi.org/10.1111/exsy.13382" TargetMode="External" /><Relationship Type="http://schemas.openxmlformats.org/officeDocument/2006/relationships/hyperlink" Id="rId153" Target="https://doi.org/10.1126/science.1183899" TargetMode="External" /><Relationship Type="http://schemas.openxmlformats.org/officeDocument/2006/relationships/hyperlink" Id="rId118" Target="https://doi.org/10.1142/2893" TargetMode="External" /><Relationship Type="http://schemas.openxmlformats.org/officeDocument/2006/relationships/hyperlink" Id="rId208" Target="https://doi.org/10.1145/1362542.1362545" TargetMode="External" /><Relationship Type="http://schemas.openxmlformats.org/officeDocument/2006/relationships/hyperlink" Id="rId256" Target="https://doi.org/10.1145/1394127.1394128" TargetMode="External" /><Relationship Type="http://schemas.openxmlformats.org/officeDocument/2006/relationships/hyperlink" Id="rId73" Target="https://doi.org/10.1145/1465482.1465560" TargetMode="External" /><Relationship Type="http://schemas.openxmlformats.org/officeDocument/2006/relationships/hyperlink" Id="rId94" Target="https://doi.org/10.1145/2988287.2989163" TargetMode="External" /><Relationship Type="http://schemas.openxmlformats.org/officeDocument/2006/relationships/hyperlink" Id="rId160" Target="https://doi.org/10.1145/301250.301308" TargetMode="External" /><Relationship Type="http://schemas.openxmlformats.org/officeDocument/2006/relationships/hyperlink" Id="rId78" Target="https://doi.org/10.1145/3190508.3190538" TargetMode="External" /><Relationship Type="http://schemas.openxmlformats.org/officeDocument/2006/relationships/hyperlink" Id="rId219" Target="https://doi.org/10.1145/3265689.3265692" TargetMode="External" /><Relationship Type="http://schemas.openxmlformats.org/officeDocument/2006/relationships/hyperlink" Id="rId335" Target="https://doi.org/10.1145/3293611.3331591" TargetMode="External" /><Relationship Type="http://schemas.openxmlformats.org/officeDocument/2006/relationships/hyperlink" Id="rId155" Target="https://doi.org/10.1145/564585.564601" TargetMode="External" /><Relationship Type="http://schemas.openxmlformats.org/officeDocument/2006/relationships/hyperlink" Id="rId325" Target="https://doi.org/10.1186/s13007-025-01387-4" TargetMode="External" /><Relationship Type="http://schemas.openxmlformats.org/officeDocument/2006/relationships/hyperlink" Id="rId184" Target="https://doi.org/10.21273/HORTSCI15060-20" TargetMode="External" /><Relationship Type="http://schemas.openxmlformats.org/officeDocument/2006/relationships/hyperlink" Id="rId283" Target="https://doi.org/10.21273/HORTTECH.16.2.0283" TargetMode="External" /><Relationship Type="http://schemas.openxmlformats.org/officeDocument/2006/relationships/hyperlink" Id="rId310" Target="https://doi.org/10.2136/vzj2012.0160" TargetMode="External" /><Relationship Type="http://schemas.openxmlformats.org/officeDocument/2006/relationships/hyperlink" Id="rId90" Target="https://doi.org/10.22765/pastj.20250003" TargetMode="External" /><Relationship Type="http://schemas.openxmlformats.org/officeDocument/2006/relationships/hyperlink" Id="rId192" Target="https://doi.org/10.3389/fbloc.2026.1766232" TargetMode="External" /><Relationship Type="http://schemas.openxmlformats.org/officeDocument/2006/relationships/hyperlink" Id="rId236" Target="https://doi.org/10.3389/fpls.2016.01419" TargetMode="External" /><Relationship Type="http://schemas.openxmlformats.org/officeDocument/2006/relationships/hyperlink" Id="rId263" Target="https://doi.org/10.3389/frcmn.2025.1587402" TargetMode="External" /><Relationship Type="http://schemas.openxmlformats.org/officeDocument/2006/relationships/hyperlink" Id="rId102" Target="https://doi.org/10.3390/agriculture11100927" TargetMode="External" /><Relationship Type="http://schemas.openxmlformats.org/officeDocument/2006/relationships/hyperlink" Id="rId267" Target="https://doi.org/10.3390/agriculture14071120" TargetMode="External" /><Relationship Type="http://schemas.openxmlformats.org/officeDocument/2006/relationships/hyperlink" Id="rId140" Target="https://doi.org/10.3390/s16071141" TargetMode="External" /><Relationship Type="http://schemas.openxmlformats.org/officeDocument/2006/relationships/hyperlink" Id="rId327" Target="https://doi.org/10.3390/s18041057" TargetMode="External" /><Relationship Type="http://schemas.openxmlformats.org/officeDocument/2006/relationships/hyperlink" Id="rId175" Target="https://doi.org/10.3390/s18113995" TargetMode="External" /><Relationship Type="http://schemas.openxmlformats.org/officeDocument/2006/relationships/hyperlink" Id="rId170" Target="https://doi.org/10.3390/s19102228" TargetMode="External" /><Relationship Type="http://schemas.openxmlformats.org/officeDocument/2006/relationships/hyperlink" Id="rId149" Target="https://doi.org/10.3390/s20041042" TargetMode="External" /><Relationship Type="http://schemas.openxmlformats.org/officeDocument/2006/relationships/hyperlink" Id="rId273" Target="https://doi.org/10.3390/s21041209" TargetMode="External" /><Relationship Type="http://schemas.openxmlformats.org/officeDocument/2006/relationships/hyperlink" Id="rId238" Target="https://doi.org/10.3390/s21237964" TargetMode="External" /><Relationship Type="http://schemas.openxmlformats.org/officeDocument/2006/relationships/hyperlink" Id="rId242" Target="https://doi.org/10.3390/s22134868" TargetMode="External" /><Relationship Type="http://schemas.openxmlformats.org/officeDocument/2006/relationships/hyperlink" Id="rId120" Target="https://doi.org/10.3390/s22205981" TargetMode="External" /><Relationship Type="http://schemas.openxmlformats.org/officeDocument/2006/relationships/hyperlink" Id="rId96" Target="https://doi.org/10.3390/s23115342" TargetMode="External" /><Relationship Type="http://schemas.openxmlformats.org/officeDocument/2006/relationships/hyperlink" Id="rId317" Target="https://doi.org/10.3390/s23146332" TargetMode="External" /><Relationship Type="http://schemas.openxmlformats.org/officeDocument/2006/relationships/hyperlink" Id="rId68" Target="https://doi.org/10.3390/s23187992" TargetMode="External" /><Relationship Type="http://schemas.openxmlformats.org/officeDocument/2006/relationships/hyperlink" Id="rId109" Target="https://doi.org/10.3390/s25196027" TargetMode="External" /><Relationship Type="http://schemas.openxmlformats.org/officeDocument/2006/relationships/hyperlink" Id="rId226" Target="https://doi.org/10.3390/su10093149" TargetMode="External" /><Relationship Type="http://schemas.openxmlformats.org/officeDocument/2006/relationships/hyperlink" Id="rId302" Target="https://doi.org/10.3390/telecom5040051" TargetMode="External" /><Relationship Type="http://schemas.openxmlformats.org/officeDocument/2006/relationships/hyperlink" Id="rId278" Target="https://doi.org/10.3745/JIPS.04.0022" TargetMode="External" /><Relationship Type="http://schemas.openxmlformats.org/officeDocument/2006/relationships/hyperlink" Id="rId314" Target="https://doi.org/10.5120/ijca2021921556" TargetMode="External" /><Relationship Type="http://schemas.openxmlformats.org/officeDocument/2006/relationships/hyperlink" Id="rId287" Target="https://hyperledger-fabric.readthedocs.io/en/latest/orderer/ordering_service.html" TargetMode="External" /><Relationship Type="http://schemas.openxmlformats.org/officeDocument/2006/relationships/hyperlink" Id="rId182" Target="https://hyperledger-fabric.readthedocs.io/en/release-2.2/msp-identity-validity-rules.html" TargetMode="External" /><Relationship Type="http://schemas.openxmlformats.org/officeDocument/2006/relationships/hyperlink" Id="rId114" Target="https://stackoverflow.com/questions/40054218/what-if-dictionary-size-in-lzw-algorithm-is-full" TargetMode="External" /><Relationship Type="http://schemas.openxmlformats.org/officeDocument/2006/relationships/hyperlink" Id="rId186" Target="https://www.ibm.com/docs/en/blockchain-platform" TargetMode="External" /><Relationship Type="http://schemas.openxmlformats.org/officeDocument/2006/relationships/hyperlink" Id="rId306" Target="https://www.unesco.org/reports/wwd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2026-08-16T10:57:24Z</dcterms:created>
  <dcterms:modified xsi:type="dcterms:W3CDTF">2026-08-16T10:57:24Z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