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8.png" ContentType="image/png"/>
  <Override PartName="/word/media/rId32.png" ContentType="image/png"/>
  <Override PartName="/word/media/rId47.png" ContentType="image/png"/>
  <Override PartName="/word/media/rId53.png" ContentType="image/png"/>
  <Override PartName="/word/media/rId62.png" ContentType="image/png"/>
  <Override PartName="/word/media/rId91.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t xml:space="preserve">The Thesis of</w:t>
      </w:r>
      <w:r>
        <w:t xml:space="preserve"> </w:t>
      </w:r>
      <w:r>
        <w:rPr>
          <w:bCs/>
          <w:b/>
        </w:rPr>
        <w:t xml:space="preserve">FORCHA GLEN BELOA</w:t>
      </w:r>
      <w:r>
        <w:t xml:space="preserve"> </w:t>
      </w:r>
      <w:r>
        <w:t xml:space="preserve">(FE22P049)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r>
        <w:t xml:space="preserve"> </w:t>
      </w:r>
      <w:r>
        <w:t xml:space="preserve">submitted to the</w:t>
      </w:r>
      <w:r>
        <w:t xml:space="preserve"> </w:t>
      </w:r>
      <w:r>
        <w:t xml:space="preserve">Department of Computer Engineering, Faculty of Engineering and Technology</w:t>
      </w:r>
      <w:r>
        <w:t xml:space="preserve"> </w:t>
      </w:r>
      <w:r>
        <w:t xml:space="preserve">of the University of Buea in Partial Fulfilment of the Requirements for</w:t>
      </w:r>
      <w:r>
        <w:t xml:space="preserve"> </w:t>
      </w:r>
      <w:r>
        <w:t xml:space="preserve">the Award of the Doctor of Philosophy (PhD) Degree in Computer Engineering</w:t>
      </w:r>
      <w:r>
        <w:t xml:space="preserve"> </w:t>
      </w:r>
      <w:r>
        <w:t xml:space="preserve">under the Supervision of</w:t>
      </w:r>
    </w:p>
    <w:p>
      <w:pPr>
        <w:pStyle w:val="BodyText"/>
      </w:pPr>
      <w:r>
        <w:t xml:space="preserve">Sign:</w:t>
      </w:r>
      <w:r>
        <w:rPr>
          <w:bCs/>
          <w:b/>
        </w:rPr>
        <w:t xml:space="preserve">Date:</w:t>
      </w:r>
    </w:p>
    <w:p>
      <w:pPr>
        <w:pStyle w:val="BodyText"/>
      </w:pPr>
      <w:r>
        <w:t xml:space="preserve">Michael Ekonde SONE, PhD</w:t>
      </w:r>
      <w:r>
        <w:br/>
      </w:r>
      <w:r>
        <w:t xml:space="preserve">Associate Professor</w:t>
      </w:r>
      <w:r>
        <w:br/>
      </w:r>
      <w:r>
        <w:t xml:space="preserve">(Supervisor)</w:t>
      </w:r>
    </w:p>
    <w:p>
      <w:pPr>
        <w:pStyle w:val="BodyText"/>
      </w:pPr>
      <w:r>
        <w:t xml:space="preserve">Sign:</w:t>
      </w:r>
      <w:r>
        <w:rPr>
          <w:bCs/>
          <w:b/>
        </w:rPr>
        <w:t xml:space="preserve">Date:</w:t>
      </w:r>
    </w:p>
    <w:p>
      <w:pPr>
        <w:pStyle w:val="BodyText"/>
      </w:pPr>
      <w:r>
        <w:t xml:space="preserve">Elie FUTE TAGNE, PhD</w:t>
      </w:r>
      <w:r>
        <w:br/>
      </w:r>
      <w:r>
        <w:t xml:space="preserve">Associate Professor</w:t>
      </w:r>
      <w:r>
        <w:br/>
      </w:r>
      <w:r>
        <w:t xml:space="preserve">(Supervisor)</w:t>
      </w:r>
    </w:p>
    <w:p>
      <w:pPr>
        <w:pStyle w:val="BodyText"/>
      </w:pPr>
      <w:r>
        <w:t xml:space="preserve">Sign:</w:t>
      </w:r>
      <w:r>
        <w:br/>
      </w:r>
      <w:r>
        <w:t xml:space="preserve">FORCHA GLEN BELOA</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UTXO</w:t>
      </w:r>
    </w:p>
    <w:p>
      <w:pPr>
        <w:pStyle w:val="Definition"/>
      </w:pPr>
      <w:r>
        <w:t xml:space="preserve">Unspent Transaction Output</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6" w:name="ch:introduction"/>
    <w:p>
      <w:pPr>
        <w:pStyle w:val="Heading1"/>
      </w:pPr>
      <w:r>
        <w:rPr>
          <w:rStyle w:val="SectionNumber"/>
        </w:rPr>
        <w:t xml:space="preserve">1</w:t>
      </w:r>
      <w:r>
        <w:tab/>
      </w:r>
      <w:r>
        <w:t xml:space="preserve">Introduction</w:t>
      </w:r>
    </w:p>
    <w:bookmarkStart w:id="31"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p>
      <w:pPr>
        <w:pStyle w:val="CaptionedFigure"/>
      </w:pPr>
      <w:r>
        <w:drawing>
          <wp:inline>
            <wp:extent cx="3932837" cy="1963360"/>
            <wp:effectExtent b="0" l="0" r="0" t="0"/>
            <wp:docPr descr="" title="" id="29" name="Picture"/>
            <a:graphic>
              <a:graphicData uri="http://schemas.openxmlformats.org/drawingml/2006/picture">
                <pic:pic>
                  <pic:nvPicPr>
                    <pic:cNvPr descr="figures/auto/tikz_01.png" id="30" name="Picture"/>
                    <pic:cNvPicPr>
                      <a:picLocks noChangeArrowheads="1" noChangeAspect="1"/>
                    </pic:cNvPicPr>
                  </pic:nvPicPr>
                  <pic:blipFill>
                    <a:blip r:embed="rId28"/>
                    <a:stretch>
                      <a:fillRect/>
                    </a:stretch>
                  </pic:blipFill>
                  <pic:spPr bwMode="auto">
                    <a:xfrm>
                      <a:off x="0" y="0"/>
                      <a:ext cx="3932837" cy="1963360"/>
                    </a:xfrm>
                    <a:prstGeom prst="rect">
                      <a:avLst/>
                    </a:prstGeom>
                    <a:noFill/>
                    <a:ln w="9525">
                      <a:noFill/>
                      <a:headEnd/>
                      <a:tailEnd/>
                    </a:ln>
                  </pic:spPr>
                </pic:pic>
              </a:graphicData>
            </a:graphic>
          </wp:inline>
        </w:drawing>
      </w:r>
    </w:p>
    <w:p>
      <w:pPr>
        <w:pStyle w:val="ImageCaption"/>
      </w:pPr>
      <w:r>
        <w:t xml:space="preserve">Lifecycle of an agricultural measurement: a reading becomes a</w:t>
      </w:r>
      <w:r>
        <w:t xml:space="preserve"> </w:t>
      </w:r>
      <w:r>
        <w:t xml:space="preserve">record whose downstream value creates the incentive to falsify it.</w:t>
      </w:r>
    </w:p>
    <w:p>
      <w:pPr>
        <w:pStyle w:val="BodyText"/>
      </w:pPr>
      <w:r>
        <w:t xml:space="preserve">Reviews of the sensing layer converge on the same reading. Smart sensing has</w:t>
      </w:r>
      <w:r>
        <w:t xml:space="preserve"> </w:t>
      </w:r>
      <w:r>
        <w:t xml:space="preserve">matured to the point where measurement is no longer the constraint, while the</w:t>
      </w:r>
      <w:r>
        <w:t xml:space="preserve"> </w:t>
      </w:r>
      <w:r>
        <w:t xml:space="preserve">integration of that measurement into auditable decision-making</w:t>
      </w:r>
      <w:r>
        <w:t xml:space="preserve"> </w:t>
      </w:r>
      <w:r>
        <w:t xml:space="preserve">remains </w:t>
      </w:r>
      <w:r>
        <w:t xml:space="preserve">(Soussi et al. 2024; Gong et al. 2025)</w:t>
      </w:r>
      <w:r>
        <w:t xml:space="preserve">. Surveys of edge-enabled</w:t>
      </w:r>
      <w:r>
        <w:t xml:space="preserve"> </w:t>
      </w:r>
      <w:r>
        <w:t xml:space="preserve">agriculture name communication reliability and energy constraints as the two</w:t>
      </w:r>
      <w:r>
        <w:t xml:space="preserve"> </w:t>
      </w:r>
      <w:r>
        <w:t xml:space="preserve">bottlenecks that most often defeat field deployments </w:t>
      </w:r>
      <w:r>
        <w:t xml:space="preserve">(Gong et al. 2025)</w:t>
      </w:r>
      <w:r>
        <w:t xml:space="preserve">, and</w:t>
      </w:r>
      <w:r>
        <w:t xml:space="preserve"> </w:t>
      </w:r>
      <w:r>
        <w:t xml:space="preserve">surveys of the wider Internet of Things (IoT) threat surface agree that the constrained</w:t>
      </w:r>
      <w:r>
        <w:t xml:space="preserve"> </w:t>
      </w:r>
      <w:r>
        <w:t xml:space="preserve">endpoint is the weakest link in the provenance chain </w:t>
      </w:r>
      <w:r>
        <w:t xml:space="preserve">(Aouedi et al. 2024; Sahu and Mazumdar 2024)</w:t>
      </w:r>
      <w:r>
        <w:t xml:space="preserv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w:t>
      </w:r>
      <w:r>
        <w:t xml:space="preserve"> </w:t>
      </w:r>
      <w:r>
        <w:t xml:space="preserve">underlies the throughput work in permissionless ledgers, where partitioning a</w:t>
      </w:r>
      <w:r>
        <w:t xml:space="preserve"> </w:t>
      </w:r>
      <w:r>
        <w:t xml:space="preserve">workload across independent classes lets operations commit concurrently that</w:t>
      </w:r>
      <w:r>
        <w:t xml:space="preserve"> </w:t>
      </w:r>
      <w:r>
        <w:t xml:space="preserve">would otherwise serialise </w:t>
      </w:r>
      <w:r>
        <w:t xml:space="preserve">(Maiwada 2025; Maiwada et al. 2024; Horváth 2025)</w:t>
      </w:r>
      <w:r>
        <w:t xml:space="preserve">, and the algebraic</w:t>
      </w:r>
      <w:r>
        <w:t xml:space="preserve"> </w:t>
      </w:r>
      <w:r>
        <w:t xml:space="preserve">machinery itself has been carried well beyond integer</w:t>
      </w:r>
      <w:r>
        <w:t xml:space="preserve"> </w:t>
      </w:r>
      <w:r>
        <w:t xml:space="preserve">congruences </w:t>
      </w:r>
      <w:r>
        <w:t xml:space="preserve">(Luo 2023)</w:t>
      </w:r>
      <w:r>
        <w:t xml:space="preserve">. That line of work establishes</w:t>
      </w:r>
      <w:r>
        <w:t xml:space="preserve"> </w:t>
      </w:r>
      <w:r>
        <w:t xml:space="preserve">the arithmetic and the parallelisation argument. What it does not address is</w:t>
      </w:r>
      <w:r>
        <w:t xml:space="preserve"> </w:t>
      </w:r>
      <w:r>
        <w:t xml:space="preserve">the constrained radio link, where the payoff is airtime rather than processor</w:t>
      </w:r>
      <w:r>
        <w:t xml:space="preserve"> </w:t>
      </w:r>
      <w:r>
        <w:t xml:space="preserve">cycles, nor the identity and confidentiality questions that arise when the</w:t>
      </w:r>
      <w:r>
        <w:t xml:space="preserve"> </w:t>
      </w:r>
      <w:r>
        <w:t xml:space="preserve">residues cross a shared medium. A single result hints that the second is</w:t>
      </w:r>
      <w:r>
        <w:t xml:space="preserve"> </w:t>
      </w:r>
      <w:r>
        <w:t xml:space="preserve">reachable: residue decomposition combined with chaotic maps has been used to</w:t>
      </w:r>
      <w:r>
        <w:t xml:space="preserve"> </w:t>
      </w:r>
      <w:r>
        <w:t xml:space="preserve">conceal image content reversibly </w:t>
      </w:r>
      <w:r>
        <w:t xml:space="preserve">(Yavuz 2025)</w:t>
      </w:r>
      <w:r>
        <w:t xml:space="preserve">, which suggests</w:t>
      </w:r>
      <w:r>
        <w:t xml:space="preserve"> </w:t>
      </w:r>
      <w:r>
        <w:t xml:space="preserve">residues can carry confidentiality as well as efficiency, albeit under a</w:t>
      </w:r>
      <w:r>
        <w:t xml:space="preserve"> </w:t>
      </w:r>
      <w:r>
        <w:t xml:space="preserve">different medium and threat model. This thesis takes the arithmetic as</w:t>
      </w:r>
      <w:r>
        <w:t xml:space="preserve"> </w:t>
      </w:r>
      <w:r>
        <w:t xml:space="preserve">established and asks what it is worth on the edge of the network rather than at</w:t>
      </w:r>
      <w:r>
        <w:t xml:space="preserve"> </w:t>
      </w:r>
      <w:r>
        <w:t xml:space="preserve">its centre </w:t>
      </w:r>
      <w:r>
        <w:t xml:space="preserve">(forcha et al. 2026)</w:t>
      </w:r>
      <w:r>
        <w:t xml:space="preserv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31"/>
    <w:bookmarkStart w:id="35"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t xml:space="preserve">Farm-specific work confirms that the exposure is real rather than theoretical.</w:t>
      </w:r>
      <w:r>
        <w:t xml:space="preserve"> </w:t>
      </w:r>
      <w:r>
        <w:t xml:space="preserve">Tampering with IoT farm data has been treated as a distinct security</w:t>
      </w:r>
      <w:r>
        <w:t xml:space="preserve"> </w:t>
      </w:r>
      <w:r>
        <w:t xml:space="preserve">problem requiring its own countermeasures </w:t>
      </w:r>
      <w:r>
        <w:t xml:space="preserve">(Aliyu and Liu 2023)</w:t>
      </w:r>
      <w:r>
        <w:t xml:space="preserve">, and</w:t>
      </w:r>
      <w:r>
        <w:t xml:space="preserve"> </w:t>
      </w:r>
      <w:r>
        <w:t xml:space="preserve">production deployments in food chains report provenance as the primary</w:t>
      </w:r>
      <w:r>
        <w:t xml:space="preserve"> </w:t>
      </w:r>
      <w:r>
        <w:t xml:space="preserve">motivation for adopting a ledger at all </w:t>
      </w:r>
      <w:r>
        <w:t xml:space="preserve">(Safeer et al. 2024; J. Tang 2025)</w:t>
      </w:r>
      <w:r>
        <w:t xml:space="preserve">.</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p>
      <w:pPr>
        <w:pStyle w:val="CaptionedFigure"/>
      </w:pPr>
      <w:r>
        <w:drawing>
          <wp:inline>
            <wp:extent cx="4052107" cy="2626988"/>
            <wp:effectExtent b="0" l="0" r="0" t="0"/>
            <wp:docPr descr="" title="" id="33" name="Picture"/>
            <a:graphic>
              <a:graphicData uri="http://schemas.openxmlformats.org/drawingml/2006/picture">
                <pic:pic>
                  <pic:nvPicPr>
                    <pic:cNvPr descr="figures/auto/tikz_02.png" id="34" name="Picture"/>
                    <pic:cNvPicPr>
                      <a:picLocks noChangeArrowheads="1" noChangeAspect="1"/>
                    </pic:cNvPicPr>
                  </pic:nvPicPr>
                  <pic:blipFill>
                    <a:blip r:embed="rId32"/>
                    <a:stretch>
                      <a:fillRect/>
                    </a:stretch>
                  </pic:blipFill>
                  <pic:spPr bwMode="auto">
                    <a:xfrm>
                      <a:off x="0" y="0"/>
                      <a:ext cx="4052107" cy="2626988"/>
                    </a:xfrm>
                    <a:prstGeom prst="rect">
                      <a:avLst/>
                    </a:prstGeom>
                    <a:noFill/>
                    <a:ln w="9525">
                      <a:noFill/>
                      <a:headEnd/>
                      <a:tailEnd/>
                    </a:ln>
                  </pic:spPr>
                </pic:pic>
              </a:graphicData>
            </a:graphic>
          </wp:inline>
        </w:drawing>
      </w:r>
    </w:p>
    <w:p>
      <w:pPr>
        <w:pStyle w:val="ImageCaption"/>
      </w:pPr>
      <w:r>
        <w:t xml:space="preserve">The three protection properties, sharing one constrained budget</w:t>
      </w:r>
      <w:r>
        <w:t xml:space="preserve"> </w:t>
      </w:r>
      <w:r>
        <w:t xml:space="preserve">and therefore one design problem.</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35"/>
    <w:bookmarkStart w:id="36"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6"/>
    <w:bookmarkStart w:id="39" w:name="sec:objectives"/>
    <w:p>
      <w:pPr>
        <w:pStyle w:val="Heading2"/>
      </w:pPr>
      <w:r>
        <w:rPr>
          <w:rStyle w:val="SectionNumber"/>
        </w:rPr>
        <w:t xml:space="preserve">1.4</w:t>
      </w:r>
      <w:r>
        <w:tab/>
      </w:r>
      <w:r>
        <w:t xml:space="preserve">Objectives of the Study</w:t>
      </w:r>
    </w:p>
    <w:bookmarkStart w:id="37"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7"/>
    <w:bookmarkStart w:id="38"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8"/>
    <w:bookmarkEnd w:id="39"/>
    <w:bookmarkStart w:id="40"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40"/>
    <w:bookmarkStart w:id="41"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41"/>
    <w:bookmarkStart w:id="42"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42"/>
    <w:bookmarkStart w:id="43"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43"/>
    <w:bookmarkStart w:id="44"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44"/>
    <w:bookmarkStart w:id="45"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45"/>
    <w:bookmarkEnd w:id="46"/>
    <w:bookmarkStart w:id="85" w:name="ch:literature"/>
    <w:p>
      <w:pPr>
        <w:pStyle w:val="Heading1"/>
      </w:pPr>
      <w:r>
        <w:rPr>
          <w:rStyle w:val="SectionNumber"/>
        </w:rPr>
        <w:t xml:space="preserve">2</w:t>
      </w:r>
      <w:r>
        <w:tab/>
      </w:r>
      <w:r>
        <w:t xml:space="preserve">Review of the Literature</w:t>
      </w:r>
    </w:p>
    <w:bookmarkStart w:id="50" w:name="sec:lit_history"/>
    <w:p>
      <w:pPr>
        <w:pStyle w:val="Heading2"/>
      </w:pPr>
      <w:r>
        <w:rPr>
          <w:rStyle w:val="SectionNumber"/>
        </w:rPr>
        <w:t xml:space="preserve">2.1</w:t>
      </w:r>
      <w:r>
        <w:tab/>
      </w:r>
      <w:r>
        <w:t xml:space="preserve">Introduction</w:t>
      </w:r>
    </w:p>
    <w:p>
      <w:pPr>
        <w:pStyle w:val="FirstParagraph"/>
      </w:pPr>
      <w:r>
        <w:t xml:space="preserve">Three lines of research, developed largely apart from one another, converge on</w:t>
      </w:r>
      <w:r>
        <w:t xml:space="preserve"> </w:t>
      </w:r>
      <w:r>
        <w:t xml:space="preserve">the problem we address.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 the</w:t>
      </w:r>
      <w:r>
        <w:t xml:space="preserve"> </w:t>
      </w:r>
      <w:r>
        <w:t xml:space="preserve">sections that follow show, they meet pairwise rather than as a single</w:t>
      </w:r>
      <w:r>
        <w:t xml:space="preserve"> </w:t>
      </w:r>
      <w:r>
        <w:t xml:space="preserve">design. The rest of this chapter lays the foundations in the order a reader</w:t>
      </w:r>
      <w:r>
        <w:t xml:space="preserve"> </w:t>
      </w:r>
      <w:r>
        <w:t xml:space="preserve">needs them: what a blockchain actually is and why a permissioned one suits a</w:t>
      </w:r>
      <w:r>
        <w:t xml:space="preserve"> </w:t>
      </w:r>
      <w:r>
        <w:t xml:space="preserve">consortium of mutually distrusting parties (Section </w:t>
      </w:r>
      <w:hyperlink w:anchor="subsec:lit_fundamentals">
        <w:r>
          <w:rPr>
            <w:rStyle w:val="Hyperlink"/>
          </w:rPr>
          <w:t xml:space="preserve">[subsec:lit_fundamentals]</w:t>
        </w:r>
      </w:hyperlink>
      <w:r>
        <w:t xml:space="preserve">),</w:t>
      </w:r>
      <w:r>
        <w:t xml:space="preserve"> </w:t>
      </w:r>
      <w:r>
        <w:t xml:space="preserve">the agricultural sensing and transmission layer that produces the data</w:t>
      </w:r>
      <w:r>
        <w:t xml:space="preserve"> </w:t>
      </w:r>
      <w:r>
        <w:t xml:space="preserve">(Sections </w:t>
      </w:r>
      <w:hyperlink w:anchor="subsec:lit_precision_ag">
        <w:r>
          <w:rPr>
            <w:rStyle w:val="Hyperlink"/>
          </w:rPr>
          <w:t xml:space="preserve">[subsec:lit_precision_ag]</w:t>
        </w:r>
      </w:hyperlink>
      <w:r>
        <w:t xml:space="preserve">-</w:t>
      </w:r>
      <w:hyperlink w:anchor="subsec:lit_lpwan">
        <w:r>
          <w:rPr>
            <w:rStyle w:val="Hyperlink"/>
          </w:rPr>
          <w:t xml:space="preserve">[subsec:lit_lpwan]</w:t>
        </w:r>
      </w:hyperlink>
      <w:r>
        <w:t xml:space="preserve">), the residue</w:t>
      </w:r>
      <w:r>
        <w:t xml:space="preserve"> </w:t>
      </w:r>
      <w:r>
        <w:t xml:space="preserve">arithmetic we use to decompose readings with</w:t>
      </w:r>
      <w:r>
        <w:t xml:space="preserve"> </w:t>
      </w:r>
      <w:r>
        <w:t xml:space="preserve">(Section </w:t>
      </w:r>
      <w:hyperlink w:anchor="subsec:lit_crt">
        <w:r>
          <w:rPr>
            <w:rStyle w:val="Hyperlink"/>
          </w:rPr>
          <w:t xml:space="preserve">[subsec:lit_crt]</w:t>
        </w:r>
      </w:hyperlink>
      <w:r>
        <w:t xml:space="preserve">), how blockchain has actually been used in</w:t>
      </w:r>
      <w:r>
        <w:t xml:space="preserve"> </w:t>
      </w:r>
      <w:r>
        <w:t xml:space="preserve">agriculture (Section </w:t>
      </w:r>
      <w:hyperlink w:anchor="subsec:lit_blockchain_ag">
        <w:r>
          <w:rPr>
            <w:rStyle w:val="Hyperlink"/>
          </w:rPr>
          <w:t xml:space="preserve">[subsec:lit_blockchain_ag]</w:t>
        </w:r>
      </w:hyperlink>
      <w:r>
        <w:t xml:space="preserve">), and the consensus,</w:t>
      </w:r>
      <w:r>
        <w:t xml:space="preserve"> </w:t>
      </w:r>
      <w:r>
        <w:t xml:space="preserve">identity and scalability literature that determines what a ledger costs to</w:t>
      </w:r>
      <w:r>
        <w:t xml:space="preserve"> </w:t>
      </w:r>
      <w:r>
        <w:t xml:space="preserve">run at the edge (the sections after that).</w:t>
      </w:r>
    </w:p>
    <w:p>
      <w:pPr>
        <w:pStyle w:val="CaptionedFigure"/>
      </w:pPr>
      <w:r>
        <w:drawing>
          <wp:inline>
            <wp:extent cx="5027670" cy="2354809"/>
            <wp:effectExtent b="0" l="0" r="0" t="0"/>
            <wp:docPr descr="" title="" id="48" name="Picture"/>
            <a:graphic>
              <a:graphicData uri="http://schemas.openxmlformats.org/drawingml/2006/picture">
                <pic:pic>
                  <pic:nvPicPr>
                    <pic:cNvPr descr="figures/auto/tikz_03.png" id="49" name="Picture"/>
                    <pic:cNvPicPr>
                      <a:picLocks noChangeArrowheads="1" noChangeAspect="1"/>
                    </pic:cNvPicPr>
                  </pic:nvPicPr>
                  <pic:blipFill>
                    <a:blip r:embed="rId47"/>
                    <a:stretch>
                      <a:fillRect/>
                    </a:stretch>
                  </pic:blipFill>
                  <pic:spPr bwMode="auto">
                    <a:xfrm>
                      <a:off x="0" y="0"/>
                      <a:ext cx="5027670" cy="2354809"/>
                    </a:xfrm>
                    <a:prstGeom prst="rect">
                      <a:avLst/>
                    </a:prstGeom>
                    <a:noFill/>
                    <a:ln w="9525">
                      <a:noFill/>
                      <a:headEnd/>
                      <a:tailEnd/>
                    </a:ln>
                  </pic:spPr>
                </pic:pic>
              </a:graphicData>
            </a:graphic>
          </wp:inline>
        </w:drawing>
      </w:r>
    </w:p>
    <w:p>
      <w:pPr>
        <w:pStyle w:val="ImageCaption"/>
      </w:pPr>
      <w:r>
        <w:t xml:space="preserve">Three lineages underlying our work, developed independently</w:t>
      </w:r>
      <w:r>
        <w:t xml:space="preserve"> </w:t>
      </w:r>
      <w:r>
        <w:t xml:space="preserve">until converging in the 2020s.</w:t>
      </w:r>
    </w:p>
    <w:bookmarkEnd w:id="50"/>
    <w:bookmarkStart w:id="59" w:name="sec:lit_foundations"/>
    <w:p>
      <w:pPr>
        <w:pStyle w:val="Heading2"/>
      </w:pPr>
      <w:r>
        <w:rPr>
          <w:rStyle w:val="SectionNumber"/>
        </w:rPr>
        <w:t xml:space="preserve">2.2</w:t>
      </w:r>
      <w:r>
        <w:tab/>
      </w:r>
      <w:r>
        <w:t xml:space="preserve">Foundations and Enabling Technologies</w:t>
      </w:r>
    </w:p>
    <w:p>
      <w:pPr>
        <w:pStyle w:val="FirstParagraph"/>
      </w:pPr>
      <w:r>
        <w:t xml:space="preserve">The four strands below supply the technical vocabulary the rest of the</w:t>
      </w:r>
      <w:r>
        <w:t xml:space="preserve"> </w:t>
      </w:r>
      <w:r>
        <w:t xml:space="preserve">chapter uses: what a distributed ledger guarantees and at what cost, how</w:t>
      </w:r>
      <w:r>
        <w:t xml:space="preserve"> </w:t>
      </w:r>
      <w:r>
        <w:t xml:space="preserve">agricultural sensing is instrumented, what the radio charges for a packet,</w:t>
      </w:r>
      <w:r>
        <w:t xml:space="preserve"> </w:t>
      </w:r>
      <w:r>
        <w:t xml:space="preserve">and what residue arithmetic offers.</w:t>
      </w:r>
    </w:p>
    <w:bookmarkStart w:id="51" w:name="subsec:lit_fundamentals"/>
    <w:p>
      <w:pPr>
        <w:pStyle w:val="Heading3"/>
      </w:pPr>
      <w:r>
        <w:t xml:space="preserve">a) Fundamentals of Blockchain Technology</w:t>
      </w:r>
    </w:p>
    <w:p>
      <w:pPr>
        <w:pStyle w:val="FirstParagraph"/>
      </w:pPr>
      <w:r>
        <w:t xml:space="preserve">Before turning to agriculture specifically, we set out what a blockchain</w:t>
      </w:r>
      <w:r>
        <w:t xml:space="preserve"> </w:t>
      </w:r>
      <w:r>
        <w:t xml:space="preserve">is, because the word covers a wide family of designs and the choice among</w:t>
      </w:r>
      <w:r>
        <w:t xml:space="preserve"> </w:t>
      </w:r>
      <w:r>
        <w:t xml:space="preserve">them is not cosmetic. A blockchain is, at its simplest, an</w:t>
      </w:r>
      <w:r>
        <w:t xml:space="preserve"> </w:t>
      </w:r>
      <w:r>
        <w:t xml:space="preserve">append-only ledger replicated across a set of nodes that do not</w:t>
      </w:r>
      <w:r>
        <w:t xml:space="preserve"> </w:t>
      </w:r>
      <w:r>
        <w:t xml:space="preserve">fully trust one another, ordered into blocks that are cryptographically</w:t>
      </w:r>
      <w:r>
        <w:t xml:space="preserve"> </w:t>
      </w:r>
      <w:r>
        <w:t xml:space="preserve">chained together </w:t>
      </w:r>
      <w:r>
        <w:t xml:space="preserve">(Christidis and Devetsikiotis 2016; Casino, Dasaklis, and Patsakis 2019)</w:t>
      </w:r>
      <w:r>
        <w:t xml:space="preserve">. Each</w:t>
      </w:r>
      <w:r>
        <w:t xml:space="preserve"> </w:t>
      </w:r>
      <w:r>
        <w:t xml:space="preserve">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This hash-chaining property, not any</w:t>
      </w:r>
      <w:r>
        <w:t xml:space="preserve"> </w:t>
      </w:r>
      <w:r>
        <w:t xml:space="preserve">particular cryptocurrency, is what the literature means by tamper evidence,</w:t>
      </w:r>
      <w:r>
        <w:t xml:space="preserve"> </w:t>
      </w:r>
      <w:r>
        <w:t xml:space="preserve">and it is what agricultural applications actually draw on: a record, once</w:t>
      </w:r>
      <w:r>
        <w:t xml:space="preserve"> </w:t>
      </w:r>
      <w:r>
        <w:t xml:space="preserve">committed and replicated, cannot be silently rewritten by any single party.</w:t>
      </w:r>
    </w:p>
    <w:p>
      <w:pPr>
        <w:pStyle w:val="BodyText"/>
      </w:pPr>
      <w:r>
        <w:t xml:space="preserve">Blockchains split first on who may participate. Permissionless (public)</w:t>
      </w:r>
      <w:r>
        <w:t xml:space="preserve"> </w:t>
      </w:r>
      <w:r>
        <w:t xml:space="preserve">chains such as Bitcoin and Ethereum admit any node and settle disagreement</w:t>
      </w:r>
      <w:r>
        <w:t xml:space="preserve"> </w:t>
      </w:r>
      <w:r>
        <w:t xml:space="preserve">through open, resource-costly consensus, typically proof of work, so that</w:t>
      </w:r>
      <w:r>
        <w:t xml:space="preserve"> </w:t>
      </w:r>
      <w:r>
        <w:t xml:space="preserve">attacking the chain costs more than any single participant can</w:t>
      </w:r>
      <w:r>
        <w:t xml:space="preserve"> </w:t>
      </w:r>
      <w:r>
        <w:t xml:space="preserve">afford </w:t>
      </w:r>
      <w:r>
        <w:t xml:space="preserve">(Melo et al. 2024; Balasubramanian 2024)</w:t>
      </w:r>
      <w:r>
        <w:t xml:space="preserve">.</w:t>
      </w:r>
      <w:r>
        <w:t xml:space="preserve"> </w:t>
      </w:r>
      <w:r>
        <w:t xml:space="preserve">Permissioned (private or consortium) chains restrict participation to</w:t>
      </w:r>
      <w:r>
        <w:t xml:space="preserve"> </w:t>
      </w:r>
      <w:r>
        <w:t xml:space="preserve">identified, vetted members, replacing open competition with a membership</w:t>
      </w:r>
      <w:r>
        <w:t xml:space="preserve"> </w:t>
      </w:r>
      <w:r>
        <w:t xml:space="preserve">service that binds every submitted transaction to an accountable</w:t>
      </w:r>
      <w:r>
        <w:t xml:space="preserve"> </w:t>
      </w:r>
      <w:r>
        <w:t xml:space="preserve">identity </w:t>
      </w:r>
      <w:r>
        <w:t xml:space="preserve">(Androulaki et al. 2018; Krstić and Krstić 2020)</w:t>
      </w:r>
      <w:r>
        <w:t xml:space="preserve">.</w:t>
      </w:r>
      <w:r>
        <w:t xml:space="preserve"> </w:t>
      </w:r>
      <w:r>
        <w:t xml:space="preserve">Hyperledger Fabric, the platform we deploy, is representative of</w:t>
      </w:r>
      <w:r>
        <w:t xml:space="preserve"> </w:t>
      </w:r>
      <w:r>
        <w:t xml:space="preserve">the permissioned family: a MSP issues ITU-T public-key certificate standard (X.509) certificates to</w:t>
      </w:r>
      <w:r>
        <w:t xml:space="preserve"> </w:t>
      </w:r>
      <w:r>
        <w:t xml:space="preserve">every organisation and peer, an execute-order-validate pipeline separates</w:t>
      </w:r>
      <w:r>
        <w:t xml:space="preserve"> </w:t>
      </w:r>
      <w:r>
        <w:t xml:space="preserve">transaction endorsement from ordering, and chaincode, Fabric’s term for a</w:t>
      </w:r>
      <w:r>
        <w:t xml:space="preserve"> </w:t>
      </w:r>
      <w:r>
        <w:t xml:space="preserve">smart contract, encodes the business logic that peers execute and validate</w:t>
      </w:r>
      <w:r>
        <w:t xml:space="preserve"> </w:t>
      </w:r>
      <w:r>
        <w:t xml:space="preserve">before a transaction is committed </w:t>
      </w:r>
      <w:r>
        <w:t xml:space="preserve">(Androulaki et al. 2018; Kaur 2020)</w:t>
      </w:r>
      <w:r>
        <w:t xml:space="preserve">. A permissionless design buys resistance to an unknown,</w:t>
      </w:r>
      <w:r>
        <w:t xml:space="preserve"> </w:t>
      </w:r>
      <w:r>
        <w:t xml:space="preserve">potentially adversarial population of participants at the cost of energy</w:t>
      </w:r>
      <w:r>
        <w:t xml:space="preserve"> </w:t>
      </w:r>
      <w:r>
        <w:t xml:space="preserve">and finality latency; a permissioned design accepts a smaller, vetted</w:t>
      </w:r>
      <w:r>
        <w:t xml:space="preserve"> </w:t>
      </w:r>
      <w:r>
        <w:t xml:space="preserve">membership in exchange for finality in seconds rather than minutes and no</w:t>
      </w:r>
      <w:r>
        <w:t xml:space="preserve"> </w:t>
      </w:r>
      <w:r>
        <w:t xml:space="preserve">mining cost, which is why every agricultural deployment reviewed in this</w:t>
      </w:r>
      <w:r>
        <w:t xml:space="preserve"> </w:t>
      </w:r>
      <w:r>
        <w:t xml:space="preserve">chapter, without exception, chooses the permissioned family. A consortium</w:t>
      </w:r>
      <w:r>
        <w:t xml:space="preserve"> </w:t>
      </w:r>
      <w:r>
        <w:t xml:space="preserve">of farms, certifiers and buyers is exactly the setting permissioned</w:t>
      </w:r>
      <w:r>
        <w:t xml:space="preserve"> </w:t>
      </w:r>
      <w:r>
        <w:t xml:space="preserve">platforms are built for: participants who must cooperate on shared records</w:t>
      </w:r>
      <w:r>
        <w:t xml:space="preserve"> </w:t>
      </w:r>
      <w:r>
        <w:t xml:space="preserve">without extending one another unconditional trust, and who are identifiable</w:t>
      </w:r>
      <w:r>
        <w:t xml:space="preserve"> </w:t>
      </w:r>
      <w:r>
        <w:t xml:space="preserve">and accountable rather than anonymous </w:t>
      </w:r>
      <w:r>
        <w:t xml:space="preserve">(Casino, Dasaklis, and Patsakis 2019; Kumar and Roy 2024)</w:t>
      </w:r>
      <w:r>
        <w:t xml:space="preserve">.</w:t>
      </w:r>
    </w:p>
    <w:p>
      <w:pPr>
        <w:pStyle w:val="BodyText"/>
      </w:pPr>
      <w:r>
        <w:t xml:space="preserve">Smart contracts are the mechanism that turns a passive ledger into an</w:t>
      </w:r>
      <w:r>
        <w:t xml:space="preserve"> </w:t>
      </w:r>
      <w:r>
        <w:t xml:space="preserve">active one. Once deployed, chaincode executes deterministically on every</w:t>
      </w:r>
      <w:r>
        <w:t xml:space="preserve"> </w:t>
      </w:r>
      <w:r>
        <w:t xml:space="preserve">endorsing peer, so that business rules, who may submit a reading, what</w:t>
      </w:r>
      <w:r>
        <w:t xml:space="preserve"> </w:t>
      </w:r>
      <w:r>
        <w:t xml:space="preserve">counts as a valid range, how a certification decision is recorded, are</w:t>
      </w:r>
      <w:r>
        <w:t xml:space="preserve"> </w:t>
      </w:r>
      <w:r>
        <w:t xml:space="preserve">enforced by consensus over code rather than by a single administrator’s</w:t>
      </w:r>
      <w:r>
        <w:t xml:space="preserve"> </w:t>
      </w:r>
      <w:r>
        <w:t xml:space="preserve">discretion </w:t>
      </w:r>
      <w:r>
        <w:t xml:space="preserve">(Krstić and Krstić 2020; J. Tang 2025)</w:t>
      </w:r>
      <w:r>
        <w:t xml:space="preserve">.</w:t>
      </w:r>
      <w:r>
        <w:t xml:space="preserve"> </w:t>
      </w:r>
      <w:r>
        <w:t xml:space="preserve">Alternative ledger topologies exist outside the block-and-chain model</w:t>
      </w:r>
      <w:r>
        <w:t xml:space="preserve"> </w:t>
      </w:r>
      <w:r>
        <w:t xml:space="preserve">proper, directed-acyclic-graph ledgers such as IOTA dispense with blocks</w:t>
      </w:r>
      <w:r>
        <w:t xml:space="preserve"> </w:t>
      </w:r>
      <w:r>
        <w:t xml:space="preserve">altogether and let each new transaction validate two prior</w:t>
      </w:r>
      <w:r>
        <w:t xml:space="preserve"> </w:t>
      </w:r>
      <w:r>
        <w:t xml:space="preserve">ones </w:t>
      </w:r>
      <w:r>
        <w:t xml:space="preserve">(Anonymous n.d.)</w:t>
      </w:r>
      <w:r>
        <w:t xml:space="preserve">, trading the strict global ordering a</w:t>
      </w:r>
      <w:r>
        <w:t xml:space="preserve"> </w:t>
      </w:r>
      <w:r>
        <w:t xml:space="preserve">blockchain provides for higher throughput under light load; we return to</w:t>
      </w:r>
      <w:r>
        <w:t xml:space="preserve"> </w:t>
      </w:r>
      <w:r>
        <w:t xml:space="preserve">this trade-off, and to consensus proper, in</w:t>
      </w:r>
      <w:r>
        <w:t xml:space="preserve"> </w:t>
      </w:r>
      <w:r>
        <w:t xml:space="preserve">Section </w:t>
      </w:r>
      <w:hyperlink w:anchor="subsec:lit_consensus">
        <w:r>
          <w:rPr>
            <w:rStyle w:val="Hyperlink"/>
          </w:rPr>
          <w:t xml:space="preserve">[subsec:lit_consensus]</w:t>
        </w:r>
      </w:hyperlink>
      <w:r>
        <w:t xml:space="preserve">. What every variant shares, and what</w:t>
      </w:r>
      <w:r>
        <w:t xml:space="preserve"> </w:t>
      </w:r>
      <w:r>
        <w:t xml:space="preserve">the rest of this chapter takes as given, is the replicated, hash-chained</w:t>
      </w:r>
      <w:r>
        <w:t xml:space="preserve"> </w:t>
      </w:r>
      <w:r>
        <w:t xml:space="preserve">record that makes a committed reading expensive to falsify after the fact.</w:t>
      </w:r>
      <w:r>
        <w:t xml:space="preserve"> </w:t>
      </w:r>
      <w:r>
        <w:t xml:space="preserve">Underlying every transaction’s authenticity, in both permissioned and</w:t>
      </w:r>
      <w:r>
        <w:t xml:space="preserve"> </w:t>
      </w:r>
      <w:r>
        <w:t xml:space="preserve">permissionless designs, is public-key cryptography: a node signs what it</w:t>
      </w:r>
      <w:r>
        <w:t xml:space="preserve"> </w:t>
      </w:r>
      <w:r>
        <w:t xml:space="preserve">submits with a private key, and peers verify that signature against a</w:t>
      </w:r>
      <w:r>
        <w:t xml:space="preserve"> </w:t>
      </w:r>
      <w:r>
        <w:t xml:space="preserve">public one before accepting it, typically an elliptic-curve scheme such as</w:t>
      </w:r>
      <w:r>
        <w:t xml:space="preserve"> </w:t>
      </w:r>
      <w:r>
        <w:t xml:space="preserve">Elliptic Curve Digital Signature Algorithm (ECDSA) over the secp256k1 curve </w:t>
      </w:r>
      <w:r>
        <w:t xml:space="preserve">(Balasubramanian 2024)</w:t>
      </w:r>
      <w:r>
        <w:t xml:space="preserve">. Signature</w:t>
      </w:r>
      <w:r>
        <w:t xml:space="preserve"> </w:t>
      </w:r>
      <w:r>
        <w:t xml:space="preserve">verification is itself a parallelisable modular-arithmetic computation,</w:t>
      </w:r>
      <w:r>
        <w:t xml:space="preserve"> </w:t>
      </w:r>
      <w:r>
        <w:t xml:space="preserve">which is the property Section </w:t>
      </w:r>
      <w:hyperlink w:anchor="subsec:lit_crt">
        <w:r>
          <w:rPr>
            <w:rStyle w:val="Hyperlink"/>
          </w:rPr>
          <w:t xml:space="preserve">[subsec:lit_crt]</w:t>
        </w:r>
      </w:hyperlink>
      <w:r>
        <w:t xml:space="preserve"> </w:t>
      </w:r>
      <w:r>
        <w:t xml:space="preserve">returns to when it</w:t>
      </w:r>
      <w:r>
        <w:t xml:space="preserve"> </w:t>
      </w:r>
      <w:r>
        <w:t xml:space="preserve">discusses residue number systems.</w:t>
      </w:r>
    </w:p>
    <w:bookmarkEnd w:id="51"/>
    <w:bookmarkStart w:id="52" w:name="subsec:lit_precision_ag"/>
    <w:p>
      <w:pPr>
        <w:pStyle w:val="Heading3"/>
      </w:pPr>
      <w:r>
        <w:t xml:space="preserve">b) 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w:t>
      </w:r>
      <w:r>
        <w:t xml:space="preserve">. That assumption is exactly</w:t>
      </w:r>
      <w:r>
        <w:t xml:space="preserve"> </w:t>
      </w:r>
      <w:r>
        <w:t xml:space="preserve">the gap Section </w:t>
      </w:r>
      <w:hyperlink w:anchor="subsec:lit_blockchain_ag">
        <w:r>
          <w:rPr>
            <w:rStyle w:val="Hyperlink"/>
          </w:rPr>
          <w:t xml:space="preserve">[subsec:lit_blockchain_ag]</w:t>
        </w:r>
      </w:hyperlink>
      <w:r>
        <w:t xml:space="preserve"> </w:t>
      </w:r>
      <w:r>
        <w:t xml:space="preserve">returns to.</w:t>
      </w:r>
    </w:p>
    <w:bookmarkEnd w:id="52"/>
    <w:bookmarkStart w:id="57" w:name="subsec:lit_lpwan"/>
    <w:p>
      <w:pPr>
        <w:pStyle w:val="Heading3"/>
      </w:pPr>
      <w:r>
        <w:t xml:space="preserve">c) Low-Power Wide-Area Network Transmission Optimisation and Energy 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 Buttigieg, Farrugia, and Zammit-Mangion 2014; Pourbigharaz and Yassine 1994; Ye et al. 2018)</w:t>
      </w:r>
      <w:r>
        <w:t xml:space="preserve">, but, as</w:t>
      </w:r>
      <w:r>
        <w:t xml:space="preserve"> </w:t>
      </w:r>
      <w:r>
        <w:t xml:space="preserve">Section </w:t>
      </w:r>
      <w:hyperlink w:anchor="subsec:lit_crt">
        <w:r>
          <w:rPr>
            <w:rStyle w:val="Hyperlink"/>
          </w:rPr>
          <w:t xml:space="preserve">[subsec:lit_crt]</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we study.</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p>
      <w:pPr>
        <w:pStyle w:val="CaptionedFigure"/>
      </w:pPr>
      <w:r>
        <w:drawing>
          <wp:inline>
            <wp:extent cx="5334000" cy="2600583"/>
            <wp:effectExtent b="0" l="0" r="0" t="0"/>
            <wp:docPr descr="" title="" id="54" name="Picture"/>
            <a:graphic>
              <a:graphicData uri="http://schemas.openxmlformats.org/drawingml/2006/picture">
                <pic:pic>
                  <pic:nvPicPr>
                    <pic:cNvPr descr="figures/auto/tikz_04.png" id="55" name="Picture"/>
                    <pic:cNvPicPr>
                      <a:picLocks noChangeArrowheads="1" noChangeAspect="1"/>
                    </pic:cNvPicPr>
                  </pic:nvPicPr>
                  <pic:blipFill>
                    <a:blip r:embed="rId53"/>
                    <a:stretch>
                      <a:fillRect/>
                    </a:stretch>
                  </pic:blipFill>
                  <pic:spPr bwMode="auto">
                    <a:xfrm>
                      <a:off x="0" y="0"/>
                      <a:ext cx="5334000" cy="2600583"/>
                    </a:xfrm>
                    <a:prstGeom prst="rect">
                      <a:avLst/>
                    </a:prstGeom>
                    <a:noFill/>
                    <a:ln w="9525">
                      <a:noFill/>
                      <a:headEnd/>
                      <a:tailEnd/>
                    </a:ln>
                  </pic:spPr>
                </pic:pic>
              </a:graphicData>
            </a:graphic>
          </wp:inline>
        </w:drawing>
      </w:r>
    </w:p>
    <w:p>
      <w:pPr>
        <w:pStyle w:val="ImageCaption"/>
      </w:pPr>
      <w:r>
        <w:t xml:space="preserve">Transmission-efficiency strategies for constrained IoT</w:t>
      </w:r>
      <w:r>
        <w:t xml:space="preserve"> </w:t>
      </w:r>
      <w:r>
        <w:t xml:space="preserve">radios; we occupy the open leaf on the right.</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56"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56"/>
    <w:bookmarkEnd w:id="57"/>
    <w:bookmarkStart w:id="58" w:name="subsec:lit_crt"/>
    <w:p>
      <w:pPr>
        <w:pStyle w:val="Heading3"/>
      </w:pPr>
      <w:r>
        <w:t xml:space="preserve">d) Residue Number Systems and the Chinese Remainder Theorem in 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no prior work has</w:t>
      </w:r>
      <w:r>
        <w:t xml:space="preserve"> </w:t>
      </w:r>
      <w:r>
        <w:t xml:space="preserve">established that ratio for any deployed system;</w:t>
      </w:r>
      <w:r>
        <w:t xml:space="preserve"> </w:t>
      </w:r>
      <w:r>
        <w:t xml:space="preserve">Section </w:t>
      </w:r>
      <w:hyperlink w:anchor="subsec:lit_privacy">
        <w:r>
          <w:rPr>
            <w:rStyle w:val="Hyperlink"/>
          </w:rPr>
          <w:t xml:space="preserve">[subsec:lit_privacy]</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Two application communities have used Equation </w:t>
      </w:r>
      <w:hyperlink w:anchor="eq:crt_reconstruction">
        <w:r>
          <w:rPr>
            <w:rStyle w:val="Hyperlink"/>
          </w:rPr>
          <w:t xml:space="preserve">[eq:crt_reconstruction]</w:t>
        </w:r>
      </w:hyperlink>
      <w:r>
        <w:t xml:space="preserve"> </w:t>
      </w:r>
      <w:r>
        <w:t xml:space="preserve">for two different resources, and both stop short of a shared wireless</w:t>
      </w:r>
      <w:r>
        <w:t xml:space="preserve"> </w:t>
      </w:r>
      <w:r>
        <w:t xml:space="preserve">channel. The first treats it as a</w:t>
      </w:r>
      <w:r>
        <w:t xml:space="preserve"> </w:t>
      </w:r>
      <w:r>
        <w:rPr>
          <w:iCs/>
          <w:i/>
        </w:rPr>
        <w:t xml:space="preserve">storage</w:t>
      </w:r>
      <w:r>
        <w:t xml:space="preserve"> </w:t>
      </w:r>
      <w:r>
        <w:t xml:space="preserve">problem: residue-based</w:t>
      </w:r>
      <w:r>
        <w:t xml:space="preserve"> </w:t>
      </w:r>
      <w:r>
        <w:t xml:space="preserve">lossless image compression reports 15 to 30% footprint reduction with</w:t>
      </w:r>
      <w:r>
        <w:t xml:space="preserve"> </w:t>
      </w:r>
      <w:r>
        <w:t xml:space="preserve">exact reconstruction </w:t>
      </w:r>
      <w:r>
        <w:t xml:space="preserve">(Vidhya and Brindha 2021)</w:t>
      </w:r>
      <w:r>
        <w:t xml:space="preserve">. The second treats it as an</w:t>
      </w:r>
      <w:r>
        <w:t xml:space="preserve"> </w:t>
      </w:r>
      <w:r>
        <w:rPr>
          <w:iCs/>
          <w:i/>
        </w:rPr>
        <w:t xml:space="preserve">energy</w:t>
      </w:r>
      <w:r>
        <w:t xml:space="preserve"> </w:t>
      </w:r>
      <w:r>
        <w:t xml:space="preserve">problem inside wireless sensor networks, converting a</w:t>
      </w:r>
      <w:r>
        <w:t xml:space="preserve"> </w:t>
      </w:r>
      <w:r>
        <w:t xml:space="preserve">single wide-range reading into several narrow-range residues to shrink the</w:t>
      </w:r>
      <w:r>
        <w:t xml:space="preserve"> </w:t>
      </w:r>
      <w:r>
        <w:t xml:space="preserve">arithmetic and storage cost per node </w:t>
      </w:r>
      <w:r>
        <w:t xml:space="preserve">(Pourbigharaz and Yassine 1994; Buttigieg, Farrugia, and Zammit-Mangion 2014; Ye et al. 2018)</w:t>
      </w:r>
      <w:r>
        <w:t xml:space="preserve">. Neither treats the residues as</w:t>
      </w:r>
      <w:r>
        <w:t xml:space="preserve"> </w:t>
      </w:r>
      <w:r>
        <w:t xml:space="preserve">packets to be received concurrently on separate radio channels; both keep</w:t>
      </w:r>
      <w:r>
        <w:t xml:space="preserve"> </w:t>
      </w:r>
      <w:r>
        <w:t xml:space="preserve">the decomposition on one device (compressing what is stored) or across one</w:t>
      </w:r>
      <w:r>
        <w:t xml:space="preserve"> </w:t>
      </w:r>
      <w:r>
        <w:t xml:space="preserve">uplink (reducing what one node computes and sends), rather than exploiting</w:t>
      </w:r>
      <w:r>
        <w:t xml:space="preserve"> </w:t>
      </w:r>
      <w:r>
        <w:t xml:space="preserve">a multi-channel concentrator’s ability to demodulate several sub-channels</w:t>
      </w:r>
      <w:r>
        <w:t xml:space="preserve"> </w:t>
      </w:r>
      <w:r>
        <w:rPr>
          <w:iCs/>
          <w:i/>
        </w:rPr>
        <w:t xml:space="preserve">simultaneously</w:t>
      </w:r>
      <w:r>
        <w:t xml:space="preserve">. To our knowledge, no published system applies</w:t>
      </w:r>
      <w:r>
        <w:t xml:space="preserve"> </w:t>
      </w:r>
      <w:r>
        <w:t xml:space="preserve">residue decomposition to concurrent multi-channel radio reception, which</w:t>
      </w:r>
      <w:r>
        <w:t xml:space="preserve"> </w:t>
      </w:r>
      <w:r>
        <w:t xml:space="preserve">is the gap Chapter Three’s design addresses.</w:t>
      </w:r>
    </w:p>
    <w:p>
      <w:pPr>
        <w:pStyle w:val="BodyText"/>
      </w:pPr>
      <w:r>
        <w:t xml:space="preserve">Residue number systems have a third, older home outside networking</w:t>
      </w:r>
      <w:r>
        <w:t xml:space="preserve"> </w:t>
      </w:r>
      <w:r>
        <w:t xml:space="preserve">entirely: fast computer arithmetic and hardware design, where the absence</w:t>
      </w:r>
      <w:r>
        <w:t xml:space="preserve"> </w:t>
      </w:r>
      <w:r>
        <w:t xml:space="preserve">of carry propagation across residue channels makes addition and</w:t>
      </w:r>
      <w:r>
        <w:t xml:space="preserve"> </w:t>
      </w:r>
      <w:r>
        <w:t xml:space="preserve">multiplication in each channel independent of every other, at the cost of</w:t>
      </w:r>
      <w:r>
        <w:t xml:space="preserve"> </w:t>
      </w:r>
      <w:r>
        <w:t xml:space="preserve">comparison and division becoming hard </w:t>
      </w:r>
      <w:r>
        <w:t xml:space="preserve">(Ding, Pei, and Salomaa 1996; Parhami 2010)</w:t>
      </w:r>
      <w:r>
        <w:t xml:space="preserve">. That same independence gives residue codes a natural</w:t>
      </w:r>
      <w:r>
        <w:t xml:space="preserve"> </w:t>
      </w:r>
      <w:r>
        <w:t xml:space="preserve">fault-tolerance reading, since a corrupted or missing channel affects only</w:t>
      </w:r>
      <w:r>
        <w:t xml:space="preserve"> </w:t>
      </w:r>
      <w:r>
        <w:t xml:space="preserve">the value it encodes rather than propagating a carry error into its</w:t>
      </w:r>
      <w:r>
        <w:t xml:space="preserve"> </w:t>
      </w:r>
      <w:r>
        <w:t xml:space="preserve">neighbours, which is part of why redundant residue codes have long been</w:t>
      </w:r>
      <w:r>
        <w:t xml:space="preserve"> </w:t>
      </w:r>
      <w:r>
        <w:t xml:space="preserve">used for error detection in</w:t>
      </w:r>
      <w:r>
        <w:t xml:space="preserve"> </w:t>
      </w:r>
      <w:r>
        <w:t xml:space="preserve">hardware </w:t>
      </w:r>
      <w:r>
        <w:t xml:space="preserve">(Knuth 1997; Hardy et al. 2008)</w:t>
      </w:r>
      <w:r>
        <w:t xml:space="preserve">. The parallelism this</w:t>
      </w:r>
      <w:r>
        <w:t xml:space="preserve"> </w:t>
      </w:r>
      <w:r>
        <w:t xml:space="preserve">independence buys is architecturally the same kind of parallelism that the</w:t>
      </w:r>
      <w:r>
        <w:t xml:space="preserve"> </w:t>
      </w:r>
      <w:r>
        <w:t xml:space="preserve">blockchain-scalability literature pursues by partitioning transaction load</w:t>
      </w:r>
      <w:r>
        <w:t xml:space="preserve"> </w:t>
      </w:r>
      <w:r>
        <w:t xml:space="preserve">across shards or channels rather than processing it as one serial</w:t>
      </w:r>
      <w:r>
        <w:t xml:space="preserve"> </w:t>
      </w:r>
      <w:r>
        <w:t xml:space="preserve">stream </w:t>
      </w:r>
      <w:r>
        <w:t xml:space="preserve">(Horváth 2025; Anonymous n.d.)</w:t>
      </w:r>
      <w:r>
        <w:t xml:space="preserve">: both</w:t>
      </w:r>
      <w:r>
        <w:t xml:space="preserve"> </w:t>
      </w:r>
      <w:r>
        <w:t xml:space="preserve">decompose a workload into independently processable parts and pay a</w:t>
      </w:r>
      <w:r>
        <w:t xml:space="preserve"> </w:t>
      </w:r>
      <w:r>
        <w:t xml:space="preserve">bounded recombination cost to reassemble the result. We are not aware of</w:t>
      </w:r>
      <w:r>
        <w:t xml:space="preserve"> </w:t>
      </w:r>
      <w:r>
        <w:t xml:space="preserve">published work that states this parallel explicitly or that applies</w:t>
      </w:r>
      <w:r>
        <w:t xml:space="preserve"> </w:t>
      </w:r>
      <w:r>
        <w:t xml:space="preserve">residue decomposition to a blockchain-connected radio link;</w:t>
      </w:r>
      <w:r>
        <w:t xml:space="preserve"> </w:t>
      </w:r>
      <w:r>
        <w:t xml:space="preserve">Section </w:t>
      </w:r>
      <w:hyperlink w:anchor="subsec:lit_scalability">
        <w:r>
          <w:rPr>
            <w:rStyle w:val="Hyperlink"/>
          </w:rPr>
          <w:t xml:space="preserve">[subsec:lit_scalability]</w:t>
        </w:r>
      </w:hyperlink>
      <w:r>
        <w:t xml:space="preserve"> </w:t>
      </w:r>
      <w:r>
        <w:t xml:space="preserve">returns to the blockchain side of</w:t>
      </w:r>
      <w:r>
        <w:t xml:space="preserve"> </w:t>
      </w:r>
      <w:r>
        <w:t xml:space="preserve">that comparison once the scalability literature itself has been surveyed.</w:t>
      </w:r>
    </w:p>
    <w:bookmarkEnd w:id="58"/>
    <w:bookmarkEnd w:id="59"/>
    <w:bookmarkStart w:id="77" w:name="sec:lit_specific_topic"/>
    <w:p>
      <w:pPr>
        <w:pStyle w:val="Heading2"/>
      </w:pPr>
      <w:r>
        <w:rPr>
          <w:rStyle w:val="SectionNumber"/>
        </w:rPr>
        <w:t xml:space="preserve">2.3</w:t>
      </w:r>
      <w:r>
        <w:tab/>
      </w:r>
      <w:r>
        <w:t xml:space="preserve">Literature Specific to the Topic</w:t>
      </w:r>
    </w:p>
    <w:p>
      <w:pPr>
        <w:pStyle w:val="FirstParagraph"/>
      </w:pPr>
      <w:r>
        <w:t xml:space="preserve">Where the foundations are general, the work below sits directly on the</w:t>
      </w:r>
      <w:r>
        <w:t xml:space="preserve"> </w:t>
      </w:r>
      <w:r>
        <w:t xml:space="preserve">problem this thesis addresses, and is grouped by the property it tries to</w:t>
      </w:r>
      <w:r>
        <w:t xml:space="preserve"> </w:t>
      </w:r>
      <w:r>
        <w:t xml:space="preserve">secure.</w:t>
      </w:r>
    </w:p>
    <w:bookmarkStart w:id="61" w:name="subsec:lit_blockchain_ag"/>
    <w:p>
      <w:pPr>
        <w:pStyle w:val="Heading3"/>
      </w:pPr>
      <w:r>
        <w:t xml:space="preserve">a) Blockchain and Distributed Ledger Technology in Agriculture and Supply Chains</w:t>
      </w:r>
    </w:p>
    <w:p>
      <w:pPr>
        <w:pStyle w:val="FirstParagraph"/>
      </w:pPr>
      <w:r>
        <w:t xml:space="preserve">Section </w:t>
      </w:r>
      <w:hyperlink w:anchor="subsec:lit_fundamentals">
        <w:r>
          <w:rPr>
            <w:rStyle w:val="Hyperlink"/>
          </w:rPr>
          <w:t xml:space="preserve">[subsec:lit_fundamentals]</w:t>
        </w:r>
      </w:hyperlink>
      <w:r>
        <w:t xml:space="preserve"> </w:t>
      </w:r>
      <w:r>
        <w:t xml:space="preserve">sets out the hash-chaining identity</w:t>
      </w:r>
      <w:r>
        <w:t xml:space="preserve"> </w:t>
      </w:r>
      <w:r>
        <w:t xml:space="preserve">(Equation </w:t>
      </w:r>
      <w:hyperlink w:anchor="eq:hash_chain">
        <w:r>
          <w:rPr>
            <w:rStyle w:val="Hyperlink"/>
          </w:rPr>
          <w:t xml:space="preserve">[eq:hash_chain]</w:t>
        </w:r>
      </w:hyperlink>
      <w:r>
        <w:t xml:space="preserve">) that gives a replicated ledger its tamper</w:t>
      </w:r>
      <w:r>
        <w:t xml:space="preserve"> </w:t>
      </w:r>
      <w:r>
        <w:t xml:space="preserve">evidence. Applied to agriculture, this tamper-evidence property has been</w:t>
      </w:r>
      <w:r>
        <w:t xml:space="preserve"> </w:t>
      </w:r>
      <w:r>
        <w:t xml:space="preserve">used for supply-chain</w:t>
      </w:r>
      <w:r>
        <w:t xml:space="preserve"> </w:t>
      </w:r>
      <w:r>
        <w:t xml:space="preserve">transparency </w:t>
      </w:r>
      <w:r>
        <w:t xml:space="preserve">(F. Tian 2016, 2017; Kamilaris, Fonts, and Prenafeta-Boldó 2019; Bosona and Gebresenbet 2023; Galvez, Mejuto, and Simal-Gandara 2018; Reyna et al. 2018; Feng Tian 2017; Anonymous n.d.)</w:t>
      </w:r>
      <w:r>
        <w:t xml:space="preserve">, farm-data</w:t>
      </w:r>
      <w:r>
        <w:t xml:space="preserve"> </w:t>
      </w:r>
      <w:r>
        <w:t xml:space="preserve">management </w:t>
      </w:r>
      <w:r>
        <w:t xml:space="preserve">(Jian Lin et al. 2018; Mohamed Amine Ferrag et al. 2020; Haque, Bhushan, and Dhiman 2024; P. Zhang et al. 2019; Aliyu and Liu 2023)</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w:t>
      </w:r>
      <w:r>
        <w:t xml:space="preserve">, and water-quality</w:t>
      </w:r>
      <w:r>
        <w:t xml:space="preserve"> </w:t>
      </w:r>
      <w:r>
        <w:t xml:space="preserve">and irrigation-specific ledgers report similar tamper-evidence</w:t>
      </w:r>
      <w:r>
        <w:t xml:space="preserve"> </w:t>
      </w:r>
      <w:r>
        <w:t xml:space="preserve">gains </w:t>
      </w:r>
      <w:r>
        <w:t xml:space="preserve">(Hung, Kang, and Song 2022; Aqeel-ur-Rehman et al. 2014; Aliyu and Liu 2023;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 Dorri et al. 2017; R. Xu et al. 2020; Reyna et al. 2018; Hammi et al. 2018)</w:t>
      </w:r>
      <w:r>
        <w:t xml:space="preserve">.</w:t>
      </w:r>
    </w:p>
    <w:p>
      <w:pPr>
        <w:pStyle w:val="BodyText"/>
      </w:pPr>
      <w:r>
        <w:t xml:space="preserve">Crop- and commodity-specific traceability deployments give this pattern</w:t>
      </w:r>
      <w:r>
        <w:t xml:space="preserve"> </w:t>
      </w:r>
      <w:r>
        <w:t xml:space="preserve">concrete form.</w:t>
      </w:r>
      <w:r>
        <w:t xml:space="preserve"> </w:t>
      </w:r>
      <w:r>
        <w:t xml:space="preserve">Salah et al. (2019)</w:t>
      </w:r>
      <w:r>
        <w:t xml:space="preserve"> </w:t>
      </w:r>
      <w:r>
        <w:t xml:space="preserve">traces soybean shipments end</w:t>
      </w:r>
      <w:r>
        <w:t xml:space="preserve"> </w:t>
      </w:r>
      <w:r>
        <w:t xml:space="preserve">to end on Ethereum, anchoring custody transfers as they cross the supply</w:t>
      </w:r>
      <w:r>
        <w:t xml:space="preserve"> </w:t>
      </w:r>
      <w:r>
        <w:t xml:space="preserve">chain; a comparable case study for ginger in Nepal reports the same</w:t>
      </w:r>
      <w:r>
        <w:t xml:space="preserve"> </w:t>
      </w:r>
      <w:r>
        <w:t xml:space="preserve">design applied to a smallholder export</w:t>
      </w:r>
      <w:r>
        <w:t xml:space="preserve"> </w:t>
      </w:r>
      <w:r>
        <w:t xml:space="preserve">crop </w:t>
      </w:r>
      <w:r>
        <w:t xml:space="preserve">(Anonymous n.d.)</w:t>
      </w:r>
      <w:r>
        <w:t xml:space="preserve">, and a pilot study of blockchain for</w:t>
      </w:r>
      <w:r>
        <w:t xml:space="preserve"> </w:t>
      </w:r>
      <w:r>
        <w:t xml:space="preserve">agriculture and food more broadly finds the technology’s actual value</w:t>
      </w:r>
      <w:r>
        <w:t xml:space="preserve"> </w:t>
      </w:r>
      <w:r>
        <w:t xml:space="preserve">concentrated in dispute resolution and recall speed rather than in the</w:t>
      </w:r>
      <w:r>
        <w:t xml:space="preserve"> </w:t>
      </w:r>
      <w:r>
        <w:t xml:space="preserve">blockchain mechanism’s novelty as such </w:t>
      </w:r>
      <w:r>
        <w:t xml:space="preserve">(Ge et al. 2017)</w:t>
      </w:r>
      <w:r>
        <w:t xml:space="preserve">.</w:t>
      </w:r>
      <w:r>
        <w:t xml:space="preserve"> </w:t>
      </w:r>
      <w:r>
        <w:t xml:space="preserve">Reviews that step back from individual case studies converge on</w:t>
      </w:r>
      <w:r>
        <w:t xml:space="preserve"> </w:t>
      </w:r>
      <w:r>
        <w:t xml:space="preserve">transparency and traceability as the two benefits every deployment claims,</w:t>
      </w:r>
      <w:r>
        <w:t xml:space="preserve"> </w:t>
      </w:r>
      <w:r>
        <w:t xml:space="preserve">whatever the crop </w:t>
      </w:r>
      <w:r>
        <w:t xml:space="preserve">(Anonymous n.d.)</w:t>
      </w:r>
      <w:r>
        <w:t xml:space="preserve">, and on collaborative</w:t>
      </w:r>
      <w:r>
        <w:t xml:space="preserve"> </w:t>
      </w:r>
      <w:r>
        <w:t xml:space="preserve">trust and cross-party transparency as the property that justifies choosing</w:t>
      </w:r>
      <w:r>
        <w:t xml:space="preserve"> </w:t>
      </w:r>
      <w:r>
        <w:t xml:space="preserve">a shared ledger over a conventional shared database in the first</w:t>
      </w:r>
      <w:r>
        <w:t xml:space="preserve"> </w:t>
      </w:r>
      <w:r>
        <w:t xml:space="preserve">place </w:t>
      </w:r>
      <w:r>
        <w:t xml:space="preserve">(Kumar and Roy 2024)</w:t>
      </w:r>
      <w:r>
        <w:t xml:space="preserve">. A feasibility analysis of</w:t>
      </w:r>
      <w:r>
        <w:t xml:space="preserve"> </w:t>
      </w:r>
      <w:r>
        <w:t xml:space="preserve">blockchain and IoT for African agricultural food supply</w:t>
      </w:r>
      <w:r>
        <w:t xml:space="preserve"> </w:t>
      </w:r>
      <w:r>
        <w:t xml:space="preserve">chains </w:t>
      </w:r>
      <w:r>
        <w:t xml:space="preserve">(A. Tang et al. 2024)</w:t>
      </w:r>
      <w:r>
        <w:t xml:space="preserve"> </w:t>
      </w:r>
      <w:r>
        <w:t xml:space="preserve">is the closest match in this corpus to</w:t>
      </w:r>
      <w:r>
        <w:t xml:space="preserve"> </w:t>
      </w:r>
      <w:r>
        <w:t xml:space="preserve">our own deployment context: it names intermittent connectivity, low</w:t>
      </w:r>
      <w:r>
        <w:t xml:space="preserve"> </w:t>
      </w:r>
      <w:r>
        <w:t xml:space="preserve">digital literacy and capital cost, rather than the blockchain mechanism</w:t>
      </w:r>
      <w:r>
        <w:t xml:space="preserve"> </w:t>
      </w:r>
      <w:r>
        <w:t xml:space="preserve">itself, as the binding constraints on adoption, which is consistent with</w:t>
      </w:r>
      <w:r>
        <w:t xml:space="preserve"> </w:t>
      </w:r>
      <w:r>
        <w:t xml:space="preserve">the constrained-hardware and field-deployment focus of Chapter Three’s</w:t>
      </w:r>
      <w:r>
        <w:t xml:space="preserve"> </w:t>
      </w:r>
      <w:r>
        <w:t xml:space="preserve">methodology and reinforces why we evaluate on the low-cost, battery and</w:t>
      </w:r>
      <w:r>
        <w:t xml:space="preserve"> </w:t>
      </w:r>
      <w:r>
        <w:t xml:space="preserve">solar-powered hardware class that a smallholder deployment can actually</w:t>
      </w:r>
      <w:r>
        <w:t xml:space="preserve"> </w:t>
      </w:r>
      <w:r>
        <w:t xml:space="preserve">afford, rather than on server-class infrastructure.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Prenafeta-Boldó 2019; Aliyu and Liu 2023)</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60"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60"/>
    <w:bookmarkEnd w:id="61"/>
    <w:bookmarkStart w:id="66" w:name="subsec:lit_consensus"/>
    <w:p>
      <w:pPr>
        <w:pStyle w:val="Heading3"/>
      </w:pPr>
      <w:r>
        <w:t xml:space="preserve">b) 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Central Processing Unit (CPU) throughput than the</w:t>
      </w:r>
      <w:r>
        <w:t xml:space="preserve"> </w:t>
      </w:r>
      <w:r>
        <w:t xml:space="preserve">server hardware that literature assumes </w:t>
      </w:r>
      <w:r>
        <w:t xml:space="preserve">(Pajooh et al. 2022; Androulaki et al. 2018;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we use</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Deployed on a</w:t>
      </w:r>
      <w:r>
        <w:t xml:space="preserve"> </w:t>
      </w:r>
      <w:r>
        <w:t xml:space="preserve">consortium of trusted, physically secured gateways rather than an open or</w:t>
      </w:r>
      <w:r>
        <w:t xml:space="preserve"> </w:t>
      </w:r>
      <w:r>
        <w:t xml:space="preserve">adversarial network, we adopt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p>
      <w:pPr>
        <w:pStyle w:val="CaptionedFigure"/>
      </w:pPr>
      <w:r>
        <w:drawing>
          <wp:inline>
            <wp:extent cx="5334000" cy="2576839"/>
            <wp:effectExtent b="0" l="0" r="0" t="0"/>
            <wp:docPr descr="" title="" id="63" name="Picture"/>
            <a:graphic>
              <a:graphicData uri="http://schemas.openxmlformats.org/drawingml/2006/picture">
                <pic:pic>
                  <pic:nvPicPr>
                    <pic:cNvPr descr="figures/auto/tikz_05.png" id="64" name="Picture"/>
                    <pic:cNvPicPr>
                      <a:picLocks noChangeArrowheads="1" noChangeAspect="1"/>
                    </pic:cNvPicPr>
                  </pic:nvPicPr>
                  <pic:blipFill>
                    <a:blip r:embed="rId62"/>
                    <a:stretch>
                      <a:fillRect/>
                    </a:stretch>
                  </pic:blipFill>
                  <pic:spPr bwMode="auto">
                    <a:xfrm>
                      <a:off x="0" y="0"/>
                      <a:ext cx="5334000" cy="2576839"/>
                    </a:xfrm>
                    <a:prstGeom prst="rect">
                      <a:avLst/>
                    </a:prstGeom>
                    <a:noFill/>
                    <a:ln w="9525">
                      <a:noFill/>
                      <a:headEnd/>
                      <a:tailEnd/>
                    </a:ln>
                  </pic:spPr>
                </pic:pic>
              </a:graphicData>
            </a:graphic>
          </wp:inline>
        </w:drawing>
      </w:r>
    </w:p>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65"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65"/>
    <w:bookmarkEnd w:id="66"/>
    <w:bookmarkStart w:id="67" w:name="subsec:lit_privacy"/>
    <w:p>
      <w:pPr>
        <w:pStyle w:val="Heading3"/>
      </w:pPr>
      <w:r>
        <w:t xml:space="preserve">c) 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X.509 certificate </w:t>
      </w:r>
      <w:r>
        <w:t xml:space="preserve">(Długosz et al. 2022; Hyperledger Fabric Documentation 2022)</w:t>
      </w:r>
      <w:r>
        <w:t xml:space="preserve">. Flat</w:t>
      </w:r>
      <w:r>
        <w:t xml:space="preserve"> </w:t>
      </w:r>
      <w:r>
        <w:t xml:space="preserve">RBAC is the common case in this literature: a fixed set of roles,</w:t>
      </w:r>
      <w:r>
        <w:t xml:space="preserve"> </w:t>
      </w:r>
      <w:r>
        <w:t xml:space="preserve">each with a fixed permission set, checked at the point a transaction is</w:t>
      </w:r>
      <w:r>
        <w:t xml:space="preserve"> </w:t>
      </w:r>
      <w:r>
        <w:t xml:space="preserve">submitted. Administrative role hierarchies, in which a senior role</w:t>
      </w:r>
      <w:r>
        <w:t xml:space="preserve"> </w:t>
      </w:r>
      <w:r>
        <w:t xml:space="preserve">inherits every permission of the roles beneath it in a partial order, are</w:t>
      </w:r>
      <w:r>
        <w:t xml:space="preserve"> </w:t>
      </w:r>
      <w:r>
        <w:t xml:space="preserve">well established in access-control theory more broadly and are used to</w:t>
      </w:r>
      <w:r>
        <w:t xml:space="preserve"> </w:t>
      </w:r>
      <w:r>
        <w:t xml:space="preserve">express exactly this kind of inheritance without duplicating permission</w:t>
      </w:r>
      <w:r>
        <w:t xml:space="preserve"> </w:t>
      </w:r>
      <w:r>
        <w:t xml:space="preserve">assignments across roles </w:t>
      </w:r>
      <w:r>
        <w:t xml:space="preserve">(Lu et al. 2022)</w:t>
      </w:r>
      <w:r>
        <w:t xml:space="preserve">. What the Fabric</w:t>
      </w:r>
      <w:r>
        <w:t xml:space="preserve"> </w:t>
      </w:r>
      <w:r>
        <w:t xml:space="preserve">access-control literature consistently shows, hierarchical or not, is that</w:t>
      </w:r>
      <w:r>
        <w:t xml:space="preserve"> </w:t>
      </w:r>
      <w:r>
        <w:t xml:space="preserve">enforcement happens at the</w:t>
      </w:r>
      <w:r>
        <w:t xml:space="preserve"> </w:t>
      </w:r>
      <w:r>
        <w:rPr>
          <w:iCs/>
          <w:i/>
        </w:rPr>
        <w:t xml:space="preserve">gateway</w:t>
      </w:r>
      <w:r>
        <w:t xml:space="preserve">, the device holding the</w:t>
      </w:r>
      <w:r>
        <w:t xml:space="preserve"> </w:t>
      </w:r>
      <w:r>
        <w:t xml:space="preserve">X.509 certificate that signs the transaction, not at the individual</w:t>
      </w:r>
      <w:r>
        <w:t xml:space="preserve"> </w:t>
      </w:r>
      <w:r>
        <w:t xml:space="preserve">sensing node whose reading the transaction</w:t>
      </w:r>
      <w:r>
        <w:t xml:space="preserve"> </w:t>
      </w:r>
      <w:r>
        <w:t xml:space="preserve">carries </w:t>
      </w:r>
      <w:r>
        <w:t xml:space="preserve">(Długosz et al. 2022; Yavari et al. 2020)</w:t>
      </w:r>
      <w:r>
        <w:t xml:space="preserve">. An improved</w:t>
      </w:r>
      <w:r>
        <w:t xml:space="preserve"> </w:t>
      </w:r>
      <w:r>
        <w:t xml:space="preserve">blockchain-based authentication protocol for IoT network management</w:t>
      </w:r>
      <w:r>
        <w:t xml:space="preserve"> </w:t>
      </w:r>
      <w:r>
        <w:t xml:space="preserve">pushes credential issuance closer to the device but still assumes a</w:t>
      </w:r>
      <w:r>
        <w:t xml:space="preserve"> </w:t>
      </w:r>
      <w:r>
        <w:t xml:space="preserve">network manager mediates enrolment rather than the constrained node</w:t>
      </w:r>
      <w:r>
        <w:t xml:space="preserve"> </w:t>
      </w:r>
      <w:r>
        <w:t xml:space="preserve">enrolling itself </w:t>
      </w:r>
      <w:r>
        <w:t xml:space="preserve">(Yavari et al. 2020)</w:t>
      </w:r>
      <w:r>
        <w:t xml:space="preserve">. Certificate revocation</w:t>
      </w:r>
      <w:r>
        <w:t xml:space="preserve"> </w:t>
      </w:r>
      <w:r>
        <w:t xml:space="preserve">latency under this model has been measured directly, with propagation</w:t>
      </w:r>
      <w:r>
        <w:t xml:space="preserve"> </w:t>
      </w:r>
      <w:r>
        <w:t xml:space="preserve">delay across a small gossip-connected peer set on the order of minutes</w:t>
      </w:r>
      <w:r>
        <w:t xml:space="preserve"> </w:t>
      </w:r>
      <w:r>
        <w:t xml:space="preserve">rather than seconds </w:t>
      </w:r>
      <w:r>
        <w:t xml:space="preserve">(Lu et al. 2022)</w:t>
      </w:r>
      <w:r>
        <w:t xml:space="preserve">, a figure we reproduce</w:t>
      </w:r>
      <w:r>
        <w:t xml:space="preserve"> </w:t>
      </w:r>
      <w:r>
        <w:t xml:space="preserve">independently in Chapter Four rather than merely assume. We develop a</w:t>
      </w:r>
      <w:r>
        <w:t xml:space="preserve"> </w:t>
      </w:r>
      <w:r>
        <w:t xml:space="preserve">hierarchical role structure that closes the node-level identity gap this</w:t>
      </w:r>
      <w:r>
        <w:t xml:space="preserve"> </w:t>
      </w:r>
      <w:r>
        <w:t xml:space="preserve">literature leaves open, formalised in Appendix </w:t>
      </w:r>
      <w:hyperlink w:anchor="app:hrbac_matrix">
        <w:r>
          <w:rPr>
            <w:rStyle w:val="Hyperlink"/>
          </w:rPr>
          <w:t xml:space="preserve">4</w:t>
        </w:r>
      </w:hyperlink>
      <w:r>
        <w:t xml:space="preserve"> </w:t>
      </w:r>
      <w:r>
        <w:t xml:space="preserve">and</w:t>
      </w:r>
      <w:r>
        <w:t xml:space="preserve"> </w:t>
      </w:r>
      <w:r>
        <w:t xml:space="preserve">implemented in Chapter Three, rather than presented here as part of the</w:t>
      </w:r>
      <w:r>
        <w:t xml:space="preserve"> </w:t>
      </w:r>
      <w:r>
        <w:t xml:space="preserve">literature under review.</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[subsec:lit_crt]</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Prior work has developed residue decomposition and</w:t>
      </w:r>
      <w:r>
        <w:t xml:space="preserve"> </w:t>
      </w:r>
      <w:r>
        <w:t xml:space="preserve">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67"/>
    <w:bookmarkStart w:id="70" w:name="subsec:lit_scalability"/>
    <w:p>
      <w:pPr>
        <w:pStyle w:val="Heading3"/>
      </w:pPr>
      <w:r>
        <w:t xml:space="preserve">d) Blockchain Scalability and the Parallelism Argument</w:t>
      </w:r>
    </w:p>
    <w:p>
      <w:pPr>
        <w:pStyle w:val="FirstParagraph"/>
      </w:pPr>
      <w:r>
        <w:t xml:space="preserve">A substantial body of recent work attacks ledger throughput directly, and it</w:t>
      </w:r>
      <w:r>
        <w:t xml:space="preserve"> </w:t>
      </w:r>
      <w:r>
        <w:t xml:space="preserve">matters here because the parallelisation argument we make for the radio link</w:t>
      </w:r>
      <w:r>
        <w:t xml:space="preserve"> </w:t>
      </w:r>
      <w:r>
        <w:t xml:space="preserve">in Chapter Three has an established precedent in this literature: partition a</w:t>
      </w:r>
      <w:r>
        <w:t xml:space="preserve"> </w:t>
      </w:r>
      <w:r>
        <w:t xml:space="preserve">workload, process the parts independently, and pay a bounded cost to</w:t>
      </w:r>
      <w:r>
        <w:t xml:space="preserve"> </w:t>
      </w:r>
      <w:r>
        <w:t xml:space="preserve">recombine them.</w:t>
      </w:r>
    </w:p>
    <w:bookmarkStart w:id="68" w:name="partitioning-and-sharding."/>
    <w:p>
      <w:pPr>
        <w:pStyle w:val="Heading5"/>
      </w:pPr>
      <w:r>
        <w:rPr>
          <w:rStyle w:val="SectionNumber"/>
        </w:rPr>
        <w:t xml:space="preserve">2.3.0.0.1</w:t>
      </w:r>
      <w:r>
        <w:tab/>
      </w:r>
      <w:r>
        <w:t xml:space="preserve">Partitioning and sharding.</w:t>
      </w:r>
    </w:p>
    <w:p>
      <w:pPr>
        <w:pStyle w:val="FirstParagraph"/>
      </w:pPr>
      <w:r>
        <w:t xml:space="preserve">Sharding partitions state and transaction load across sub-committees so that</w:t>
      </w:r>
      <w:r>
        <w:t xml:space="preserve"> </w:t>
      </w:r>
      <w:r>
        <w:t xml:space="preserve">disjoint transactions commit concurrently. Recent treatments add adaptive</w:t>
      </w:r>
      <w:r>
        <w:t xml:space="preserve"> </w:t>
      </w:r>
      <w:r>
        <w:t xml:space="preserve">assignment of accounts to shards </w:t>
      </w:r>
      <w:r>
        <w:t xml:space="preserve">(Horváth 2025)</w:t>
      </w:r>
      <w:r>
        <w:t xml:space="preserve"> </w:t>
      </w:r>
      <w:r>
        <w:t xml:space="preserve">and survey</w:t>
      </w:r>
      <w:r>
        <w:t xml:space="preserve"> </w:t>
      </w:r>
      <w:r>
        <w:t xml:space="preserve">the cost, chiefly cross-shard coordination, which grows with the fraction of</w:t>
      </w:r>
      <w:r>
        <w:t xml:space="preserve"> </w:t>
      </w:r>
      <w:r>
        <w:t xml:space="preserve">transactions touching more than one partition </w:t>
      </w:r>
      <w:r>
        <w:t xml:space="preserve">(Anonymous n.d.)</w:t>
      </w:r>
      <w:r>
        <w:t xml:space="preserve">.</w:t>
      </w:r>
      <w:r>
        <w:t xml:space="preserve"> </w:t>
      </w:r>
      <w:r>
        <w:t xml:space="preserve">Maiwada et al. (2024)</w:t>
      </w:r>
      <w:r>
        <w:t xml:space="preserve"> </w:t>
      </w:r>
      <w:r>
        <w:t xml:space="preserve">and</w:t>
      </w:r>
      <w:r>
        <w:t xml:space="preserve"> </w:t>
      </w:r>
      <w:r>
        <w:t xml:space="preserve">Maiwada (2025)</w:t>
      </w:r>
      <w:r>
        <w:t xml:space="preserve"> </w:t>
      </w:r>
      <w:r>
        <w:t xml:space="preserve">analyse Bitcoin throughput under</w:t>
      </w:r>
      <w:r>
        <w:t xml:space="preserve"> </w:t>
      </w:r>
      <w:r>
        <w:t xml:space="preserve">transaction-adjournment and related scheduling techniques, reporting the</w:t>
      </w:r>
      <w:r>
        <w:t xml:space="preserve"> </w:t>
      </w:r>
      <w:r>
        <w:t xml:space="preserve">familiar result that raw block-level parallelism is bounded by the</w:t>
      </w:r>
      <w:r>
        <w:t xml:space="preserve"> </w:t>
      </w:r>
      <w:r>
        <w:t xml:space="preserve">serialisation the consensus protocol imposes; an unrelated study of Bitcoin’s</w:t>
      </w:r>
      <w:r>
        <w:t xml:space="preserve"> </w:t>
      </w:r>
      <w:r>
        <w:t xml:space="preserve">own Unspent Transaction Output (UTXO) transaction patterns reaches the same conclusion from the</w:t>
      </w:r>
      <w:r>
        <w:t xml:space="preserve"> </w:t>
      </w:r>
      <w:r>
        <w:t xml:space="preserve">storage side, showing that throughput and storage growth trade against one</w:t>
      </w:r>
      <w:r>
        <w:t xml:space="preserve"> </w:t>
      </w:r>
      <w:r>
        <w:t xml:space="preserve">another however the workload is scheduled </w:t>
      </w:r>
      <w:r>
        <w:t xml:space="preserve">(Melo et al. 2024)</w:t>
      </w:r>
      <w:r>
        <w:t xml:space="preserve">.</w:t>
      </w:r>
      <w:r>
        <w:t xml:space="preserve"> </w:t>
      </w:r>
      <w:r>
        <w:t xml:space="preserve">Layer-two constructions move the work off chain entirely and settle in</w:t>
      </w:r>
      <w:r>
        <w:t xml:space="preserve"> </w:t>
      </w:r>
      <w:r>
        <w:t xml:space="preserve">aggregate </w:t>
      </w:r>
      <w:r>
        <w:t xml:space="preserve">(Patel 2023)</w:t>
      </w:r>
      <w:r>
        <w:t xml:space="preserve">, hierarchical models have been</w:t>
      </w:r>
      <w:r>
        <w:t xml:space="preserve"> </w:t>
      </w:r>
      <w:r>
        <w:t xml:space="preserve">used to characterise where the resulting systems</w:t>
      </w:r>
      <w:r>
        <w:t xml:space="preserve"> </w:t>
      </w:r>
      <w:r>
        <w:t xml:space="preserve">saturate </w:t>
      </w:r>
      <w:r>
        <w:t xml:space="preserve">(Lipsa Sadath, Mehrotra, and Kumar 2024)</w:t>
      </w:r>
      <w:r>
        <w:t xml:space="preserve">, and cloud-hosted</w:t>
      </w:r>
      <w:r>
        <w:t xml:space="preserve"> </w:t>
      </w:r>
      <w:r>
        <w:t xml:space="preserve">blockchain frameworks pursue the same throughput goal by scaling the</w:t>
      </w:r>
      <w:r>
        <w:t xml:space="preserve"> </w:t>
      </w:r>
      <w:r>
        <w:t xml:space="preserve">underlying infrastructure rather than the protocol, trading a capital cost</w:t>
      </w:r>
      <w:r>
        <w:t xml:space="preserve"> </w:t>
      </w:r>
      <w:r>
        <w:t xml:space="preserve">for a scalability</w:t>
      </w:r>
      <w:r>
        <w:t xml:space="preserve"> </w:t>
      </w:r>
      <w:r>
        <w:t xml:space="preserve">one </w:t>
      </w:r>
      <w:r>
        <w:t xml:space="preserve">(Anonymous n.d.)</w:t>
      </w:r>
      <w:r>
        <w:t xml:space="preserve">. Multi-chain architectures, keeping</w:t>
      </w:r>
      <w:r>
        <w:t xml:space="preserve"> </w:t>
      </w:r>
      <w:r>
        <w:t xml:space="preserve">several independent ledgers for different record types and coordinating</w:t>
      </w:r>
      <w:r>
        <w:t xml:space="preserve"> </w:t>
      </w:r>
      <w:r>
        <w:t xml:space="preserve">across them only where required, are a further partitioning strategy</w:t>
      </w:r>
      <w:r>
        <w:t xml:space="preserve"> </w:t>
      </w:r>
      <w:r>
        <w:t xml:space="preserve">outside the classic sharding literature, illustrated by a judicial</w:t>
      </w:r>
      <w:r>
        <w:t xml:space="preserve"> </w:t>
      </w:r>
      <w:r>
        <w:t xml:space="preserve">case-management system that keeps case records and evidentiary records on</w:t>
      </w:r>
      <w:r>
        <w:t xml:space="preserve"> </w:t>
      </w:r>
      <w:r>
        <w:t xml:space="preserve">separate chains </w:t>
      </w:r>
      <w:r>
        <w:t xml:space="preserve">(Alyas et al. 2025)</w:t>
      </w:r>
      <w:r>
        <w:t xml:space="preserve">.</w:t>
      </w:r>
    </w:p>
    <w:bookmarkEnd w:id="68"/>
    <w:bookmarkStart w:id="69" w:name="the-common-structure-of-these-results."/>
    <w:p>
      <w:pPr>
        <w:pStyle w:val="Heading5"/>
      </w:pPr>
      <w:r>
        <w:rPr>
          <w:rStyle w:val="SectionNumber"/>
        </w:rPr>
        <w:t xml:space="preserve">2.3.0.0.2</w:t>
      </w:r>
      <w:r>
        <w:tab/>
      </w:r>
      <w:r>
        <w:t xml:space="preserve">The common structure of these results.</w:t>
      </w:r>
    </w:p>
    <w:p>
      <w:pPr>
        <w:pStyle w:val="FirstParagraph"/>
      </w:pPr>
      <w:r>
        <w:t xml:space="preserve">Every one of these mechanisms decomposes a workload into parts that can be</w:t>
      </w:r>
      <w:r>
        <w:t xml:space="preserve"> </w:t>
      </w:r>
      <w:r>
        <w:t xml:space="preserve">processed independently and recombines the parts afterwards, and in every case</w:t>
      </w:r>
      <w:r>
        <w:t xml:space="preserve"> </w:t>
      </w:r>
      <w:r>
        <w:t xml:space="preserve">the recombination cost is what bounds the gain. That is structurally the same</w:t>
      </w:r>
      <w:r>
        <w:t xml:space="preserve"> </w:t>
      </w:r>
      <w:r>
        <w:t xml:space="preserve">shape as a residue decomposition, where the recombination is</w:t>
      </w:r>
      <w:r>
        <w:t xml:space="preserve"> </w:t>
      </w:r>
      <w:r>
        <w:t xml:space="preserve">Equation </w:t>
      </w:r>
      <w:hyperlink w:anchor="eq:crt_reconstruction">
        <w:r>
          <w:rPr>
            <w:rStyle w:val="Hyperlink"/>
          </w:rPr>
          <w:t xml:space="preserve">[eq:crt_reconstruction]</w:t>
        </w:r>
      </w:hyperlink>
      <w:r>
        <w:t xml:space="preserve"> </w:t>
      </w:r>
      <w:r>
        <w:t xml:space="preserve">and its cost is</w:t>
      </w:r>
      <w:r>
        <w:t xml:space="preserve"> </w:t>
      </w:r>
      <m:oMath>
        <m:r>
          <m:t>O</m:t>
        </m:r>
        <m:d>
          <m:dPr>
            <m:begChr m:val="("/>
            <m:endChr m:val=")"/>
            <m:sepChr m:val=""/>
            <m:grow/>
          </m:dPr>
          <m:e>
            <m:r>
              <m:t>k</m:t>
            </m:r>
          </m:e>
        </m:d>
      </m:oMath>
      <w:r>
        <w:t xml:space="preserve">, known in advance</w:t>
      </w:r>
      <w:r>
        <w:t xml:space="preserve"> </w:t>
      </w:r>
      <w:r>
        <w:t xml:space="preserve">and independent of the data, as Section </w:t>
      </w:r>
      <w:hyperlink w:anchor="subsec:lit_crt">
        <w:r>
          <w:rPr>
            <w:rStyle w:val="Hyperlink"/>
          </w:rPr>
          <w:t xml:space="preserve">[subsec:lit_crt]</w:t>
        </w:r>
      </w:hyperlink>
      <w:r>
        <w:t xml:space="preserve"> </w:t>
      </w:r>
      <w:r>
        <w:t xml:space="preserve">observes. None of</w:t>
      </w:r>
      <w:r>
        <w:t xml:space="preserve"> </w:t>
      </w:r>
      <w:r>
        <w:t xml:space="preserve">the scalability studies surveyed here states that parallel explicitly, and</w:t>
      </w:r>
      <w:r>
        <w:t xml:space="preserve"> </w:t>
      </w:r>
      <w:r>
        <w:t xml:space="preserve">none applies a residue decomposition to the workload it partitions; the</w:t>
      </w:r>
      <w:r>
        <w:t xml:space="preserve"> </w:t>
      </w:r>
      <w:r>
        <w:t xml:space="preserve">common structure is, to our knowledge, an observation this review is making</w:t>
      </w:r>
      <w:r>
        <w:t xml:space="preserve"> </w:t>
      </w:r>
      <w:r>
        <w:t xml:space="preserve">by reading the two literatures side by side, not a result either literature</w:t>
      </w:r>
      <w:r>
        <w:t xml:space="preserve"> </w:t>
      </w:r>
      <w:r>
        <w:t xml:space="preserve">has published. Whether the same recombination-bounded-gain argument holds one</w:t>
      </w:r>
      <w:r>
        <w:t xml:space="preserve"> </w:t>
      </w:r>
      <w:r>
        <w:t xml:space="preserve">layer down, applied to a radio link’s channel occupancy rather than a</w:t>
      </w:r>
      <w:r>
        <w:t xml:space="preserve"> </w:t>
      </w:r>
      <w:r>
        <w:t xml:space="preserve">ledger’s transaction load, is a question Chapter Three’s design takes up.</w:t>
      </w:r>
    </w:p>
    <w:bookmarkEnd w:id="69"/>
    <w:bookmarkEnd w:id="70"/>
    <w:bookmarkStart w:id="71" w:name="subsec:lit_crt_extended"/>
    <w:p>
      <w:pPr>
        <w:pStyle w:val="Heading3"/>
      </w:pPr>
      <w:r>
        <w:t xml:space="preserve">e) Residue Arithmetic Beyond Computer Arithmetic</w:t>
      </w:r>
    </w:p>
    <w:p>
      <w:pPr>
        <w:pStyle w:val="FirstParagraph"/>
      </w:pPr>
      <w:r>
        <w:t xml:space="preserve">The CRT literature outside computer arithmetic is small but shows the</w:t>
      </w:r>
      <w:r>
        <w:t xml:space="preserve"> </w:t>
      </w:r>
      <w:r>
        <w:t xml:space="preserve">theorem migrating out of its traditional settings.</w:t>
      </w:r>
      <w:r>
        <w:t xml:space="preserve"> </w:t>
      </w:r>
      <w:r>
        <w:t xml:space="preserve">Luo (2023)</w:t>
      </w:r>
      <w:r>
        <w:t xml:space="preserve"> </w:t>
      </w:r>
      <w:r>
        <w:t xml:space="preserve">surveys its modern algebraic forms,</w:t>
      </w:r>
      <w:r>
        <w:t xml:space="preserve"> </w:t>
      </w:r>
      <w:r>
        <w:t xml:space="preserve">including statements over polynomial rings and group-theoretic settings, which</w:t>
      </w:r>
      <w:r>
        <w:t xml:space="preserve"> </w:t>
      </w:r>
      <w:r>
        <w:t xml:space="preserve">establishes that the decomposition is not tied to integer congruences.</w:t>
      </w:r>
      <w:r>
        <w:t xml:space="preserve"> </w:t>
      </w:r>
      <w:r>
        <w:t xml:space="preserve">Seethalakshmi and Spallone (2023)</w:t>
      </w:r>
      <w:r>
        <w:t xml:space="preserve"> </w:t>
      </w:r>
      <w:r>
        <w:t xml:space="preserve">develops an analogue for</w:t>
      </w:r>
      <w:r>
        <w:t xml:space="preserve"> </w:t>
      </w:r>
      <w:r>
        <w:t xml:space="preserve">partitions. Of more direct relevance,</w:t>
      </w:r>
      <w:r>
        <w:t xml:space="preserve"> </w:t>
      </w:r>
      <w:r>
        <w:t xml:space="preserve">Yavuz (2025)</w:t>
      </w:r>
      <w:r>
        <w:t xml:space="preserve"> </w:t>
      </w:r>
      <w:r>
        <w:t xml:space="preserve">uses CRT decomposition together with</w:t>
      </w:r>
      <w:r>
        <w:t xml:space="preserve"> </w:t>
      </w:r>
      <w:r>
        <w:t xml:space="preserve">chaotic maps for reversible data hiding in encrypted images, which is the</w:t>
      </w:r>
      <w:r>
        <w:t xml:space="preserve"> </w:t>
      </w:r>
      <w:r>
        <w:t xml:space="preserve">clearest indication among these sources that residues can carry a</w:t>
      </w:r>
      <w:r>
        <w:t xml:space="preserve"> </w:t>
      </w:r>
      <w:r>
        <w:t xml:space="preserve">confidentiality property and not only an efficiency one. That result is</w:t>
      </w:r>
      <w:r>
        <w:t xml:space="preserve"> </w:t>
      </w:r>
      <w:r>
        <w:t xml:space="preserve">suggestive for</w:t>
      </w:r>
      <w:r>
        <w:t xml:space="preserve"> </w:t>
      </w:r>
      <w:r>
        <w:t xml:space="preserve">hypothesis H5 of Section </w:t>
      </w:r>
      <w:hyperlink w:anchor="sec:hypotheses">
        <w:r>
          <w:rPr>
            <w:rStyle w:val="Hyperlink"/>
          </w:rPr>
          <w:t xml:space="preserve">1.6</w:t>
        </w:r>
      </w:hyperlink>
      <w:r>
        <w:t xml:space="preserve">, though it is established for a</w:t>
      </w:r>
      <w:r>
        <w:t xml:space="preserve"> </w:t>
      </w:r>
      <w:r>
        <w:t xml:space="preserve">different medium and threat model and cannot be transferred without a fresh</w:t>
      </w:r>
      <w:r>
        <w:t xml:space="preserve"> </w:t>
      </w:r>
      <w:r>
        <w:t xml:space="preserve">argument.</w:t>
      </w:r>
    </w:p>
    <w:p>
      <w:pPr>
        <w:pStyle w:val="BodyText"/>
      </w:pPr>
      <w:r>
        <w:t xml:space="preserve">Oktaviansyah, Kurniadi, and Kusuma (2025)</w:t>
      </w:r>
      <w:r>
        <w:t xml:space="preserve"> </w:t>
      </w:r>
      <w:r>
        <w:t xml:space="preserve">combines the theorem with Hensel’s</w:t>
      </w:r>
      <w:r>
        <w:t xml:space="preserve"> </w:t>
      </w:r>
      <w:r>
        <w:t xml:space="preserve">lemma and the fundamental theorem of arithmetic for modular decomposition</w:t>
      </w:r>
      <w:r>
        <w:t xml:space="preserve"> </w:t>
      </w:r>
      <w:r>
        <w:t xml:space="preserve">problems. None of this work applies the decomposition to wireless channel</w:t>
      </w:r>
      <w:r>
        <w:t xml:space="preserve"> </w:t>
      </w:r>
      <w:r>
        <w:t xml:space="preserve">occupancy, which remains the gap identified in Section </w:t>
      </w:r>
      <w:hyperlink w:anchor="subsec:lit_crt">
        <w:r>
          <w:rPr>
            <w:rStyle w:val="Hyperlink"/>
          </w:rPr>
          <w:t xml:space="preserve">[subsec:lit_crt]</w:t>
        </w:r>
      </w:hyperlink>
      <w:r>
        <w:t xml:space="preserve">.</w:t>
      </w:r>
    </w:p>
    <w:bookmarkEnd w:id="71"/>
    <w:bookmarkStart w:id="75" w:name="subsec:lit_edge_extended"/>
    <w:p>
      <w:pPr>
        <w:pStyle w:val="Heading3"/>
      </w:pPr>
      <w:r>
        <w:t xml:space="preserve">f) Permissioned Ledgers on Constrained Hardware</w:t>
      </w:r>
    </w:p>
    <w:p>
      <w:pPr>
        <w:pStyle w:val="FirstParagraph"/>
      </w:pPr>
      <w:r>
        <w:t xml:space="preserve">Evidence about Hyperledger Fabric outside the datacentre has begun to appear.</w:t>
      </w:r>
      <w:r>
        <w:t xml:space="preserve"> </w:t>
      </w:r>
      <w:r>
        <w:t xml:space="preserve">Zulkarnain, Ramli, and Nordin (2025)</w:t>
      </w:r>
      <w:r>
        <w:t xml:space="preserve"> </w:t>
      </w:r>
      <w:r>
        <w:t xml:space="preserve">benchmarks Fabric across</w:t>
      </w:r>
      <w:r>
        <w:t xml:space="preserve"> </w:t>
      </w:r>
      <w:r>
        <w:t xml:space="preserve">heterogeneous hardware for IoT workloads, and</w:t>
      </w:r>
      <w:r>
        <w:t xml:space="preserve"> </w:t>
      </w:r>
      <w:r>
        <w:t xml:space="preserve">Pebriyanti and Suranegara (2025)</w:t>
      </w:r>
      <w:r>
        <w:t xml:space="preserve"> </w:t>
      </w:r>
      <w:r>
        <w:t xml:space="preserve">evaluates its scalability and</w:t>
      </w:r>
      <w:r>
        <w:t xml:space="preserve"> </w:t>
      </w:r>
      <w:r>
        <w:t xml:space="preserve">resilience, both reporting that throughput falls well below datacentre figures</w:t>
      </w:r>
      <w:r>
        <w:t xml:space="preserve"> </w:t>
      </w:r>
      <w:r>
        <w:t xml:space="preserve">while remaining usable for low-rate telemetry.</w:t>
      </w:r>
      <w:r>
        <w:t xml:space="preserve"> </w:t>
      </w:r>
      <w:r>
        <w:t xml:space="preserve">Kwadzode (2025)</w:t>
      </w:r>
      <w:r>
        <w:t xml:space="preserve"> </w:t>
      </w:r>
      <w:r>
        <w:t xml:space="preserve">compares platforms under financial</w:t>
      </w:r>
      <w:r>
        <w:t xml:space="preserve"> </w:t>
      </w:r>
      <w:r>
        <w:t xml:space="preserve">transaction models, which is a heavier workload than agricultural telemetry and</w:t>
      </w:r>
      <w:r>
        <w:t xml:space="preserve"> </w:t>
      </w:r>
      <w:r>
        <w:t xml:space="preserve">therefore an upper bound on the cost.</w:t>
      </w:r>
    </w:p>
    <w:p>
      <w:pPr>
        <w:pStyle w:val="BodyText"/>
      </w:pPr>
      <w:r>
        <w:t xml:space="preserve">Gong et al. (2025)</w:t>
      </w:r>
      <w:r>
        <w:t xml:space="preserve"> </w:t>
      </w:r>
      <w:r>
        <w:t xml:space="preserve">surveys edge-computing architectures for smart</w:t>
      </w:r>
      <w:r>
        <w:t xml:space="preserve"> </w:t>
      </w:r>
      <w:r>
        <w:t xml:space="preserve">agriculture and names communication reliability and multi-dimensional energy</w:t>
      </w:r>
      <w:r>
        <w:t xml:space="preserve"> </w:t>
      </w:r>
      <w:r>
        <w:t xml:space="preserve">constraints as the two bottlenecks that most often defeat field deployments,</w:t>
      </w:r>
      <w:r>
        <w:t xml:space="preserve"> </w:t>
      </w:r>
      <w:r>
        <w:t xml:space="preserve">which matches the framing of Section </w:t>
      </w:r>
      <w:hyperlink w:anchor="subsec:lit_lpwan">
        <w:r>
          <w:rPr>
            <w:rStyle w:val="Hyperlink"/>
          </w:rPr>
          <w:t xml:space="preserve">[subsec:lit_lpwan]</w:t>
        </w:r>
      </w:hyperlink>
      <w:r>
        <w:t xml:space="preserve">. Figure </w:t>
      </w:r>
      <w:hyperlink w:anchor="fig:edge-computing-framework">
        <w:r>
          <w:rPr>
            <w:rStyle w:val="Hyperlink"/>
          </w:rPr>
          <w:t xml:space="preserve">2.4</w:t>
        </w:r>
      </w:hyperlink>
      <w:r>
        <w:t xml:space="preserve"> </w:t>
      </w:r>
      <w:r>
        <w:t xml:space="preserve">reproduces that survey’s own framework, sensing, lightweight edge</w:t>
      </w:r>
      <w:r>
        <w:t xml:space="preserve"> </w:t>
      </w:r>
      <w:r>
        <w:t xml:space="preserve">intelligence and edge-cloud collaboration feeding three agricultural</w:t>
      </w:r>
      <w:r>
        <w:t xml:space="preserve"> </w:t>
      </w:r>
      <w:r>
        <w:t xml:space="preserve">scenarios; a permissioned ledger does not appear as a component at all. What</w:t>
      </w:r>
      <w:r>
        <w:t xml:space="preserve"> </w:t>
      </w:r>
      <w:r>
        <w:t xml:space="preserve">these papers share with the earlier edge literature is that none couples the</w:t>
      </w:r>
      <w:r>
        <w:t xml:space="preserve"> </w:t>
      </w:r>
      <w:r>
        <w:t xml:space="preserve">ledger to the transmission scheme: the radio and the ledger are treated as</w:t>
      </w:r>
      <w:r>
        <w:t xml:space="preserve"> </w:t>
      </w:r>
      <w:r>
        <w:t xml:space="preserve">separate layers with separate budgets.</w:t>
      </w:r>
    </w:p>
    <w:p>
      <w:pPr>
        <w:pStyle w:val="CaptionedFigure"/>
      </w:pPr>
      <w:r>
        <w:drawing>
          <wp:inline>
            <wp:extent cx="5067300" cy="2322217"/>
            <wp:effectExtent b="0" l="0" r="0" t="0"/>
            <wp:docPr descr="" title="" id="73" name="Picture"/>
            <a:graphic>
              <a:graphicData uri="http://schemas.openxmlformats.org/drawingml/2006/picture">
                <pic:pic>
                  <pic:nvPicPr>
                    <pic:cNvPr descr="figures/extracted/gong2025-edge-computing-framework.png" id="74" name="Picture"/>
                    <pic:cNvPicPr>
                      <a:picLocks noChangeArrowheads="1" noChangeAspect="1"/>
                    </pic:cNvPicPr>
                  </pic:nvPicPr>
                  <pic:blipFill>
                    <a:blip r:embed="rId72"/>
                    <a:stretch>
                      <a:fillRect/>
                    </a:stretch>
                  </pic:blipFill>
                  <pic:spPr bwMode="auto">
                    <a:xfrm>
                      <a:off x="0" y="0"/>
                      <a:ext cx="5067300" cy="2322217"/>
                    </a:xfrm>
                    <a:prstGeom prst="rect">
                      <a:avLst/>
                    </a:prstGeom>
                    <a:noFill/>
                    <a:ln w="9525">
                      <a:noFill/>
                      <a:headEnd/>
                      <a:tailEnd/>
                    </a:ln>
                  </pic:spPr>
                </pic:pic>
              </a:graphicData>
            </a:graphic>
          </wp:inline>
        </w:drawing>
      </w:r>
    </w:p>
    <w:p>
      <w:pPr>
        <w:pStyle w:val="ImageCaption"/>
      </w:pPr>
      <w:r>
        <w:t xml:space="preserve">Edge computing framework for smart agriculture, reproduced</w:t>
      </w:r>
      <w:r>
        <w:t xml:space="preserve"> </w:t>
      </w:r>
      <w:r>
        <w:t xml:space="preserve">under CC BY 4.0 from </w:t>
      </w:r>
      <w:r>
        <w:t xml:space="preserve">(Gong et al. 2025)</w:t>
      </w:r>
      <w:r>
        <w:t xml:space="preserve">.</w:t>
      </w:r>
    </w:p>
    <w:bookmarkEnd w:id="75"/>
    <w:bookmarkStart w:id="76" w:name="subsec:lit_privacy_extended"/>
    <w:p>
      <w:pPr>
        <w:pStyle w:val="Heading3"/>
      </w:pPr>
      <w:r>
        <w:t xml:space="preserve">g) Identity, Privacy and Access Control in Adjacent Domains</w:t>
      </w:r>
    </w:p>
    <w:p>
      <w:pPr>
        <w:pStyle w:val="FirstParagraph"/>
      </w:pPr>
      <w:r>
        <w:t xml:space="preserve">The most developed treatment of identity and privacy over a permissioned ledger</w:t>
      </w:r>
      <w:r>
        <w:t xml:space="preserve"> </w:t>
      </w:r>
      <w:r>
        <w:t xml:space="preserve">comes from electronic health records, where the regulatory pressure is</w:t>
      </w:r>
      <w:r>
        <w:t xml:space="preserve"> </w:t>
      </w:r>
      <w:r>
        <w:t xml:space="preserve">greatest.</w:t>
      </w:r>
      <w:r>
        <w:t xml:space="preserve"> </w:t>
      </w:r>
      <w:r>
        <w:t xml:space="preserve">F. Tang et al. (2019)</w:t>
      </w:r>
      <w:r>
        <w:t xml:space="preserve"> </w:t>
      </w:r>
      <w:r>
        <w:t xml:space="preserve">proposes an</w:t>
      </w:r>
      <w:r>
        <w:t xml:space="preserve"> </w:t>
      </w:r>
      <w:r>
        <w:t xml:space="preserve">authentication scheme binding records to enrolled principals;</w:t>
      </w:r>
      <w:r>
        <w:t xml:space="preserve"> </w:t>
      </w:r>
      <w:r>
        <w:t xml:space="preserve">Rajput et al. (2019)</w:t>
      </w:r>
      <w:r>
        <w:t xml:space="preserve"> </w:t>
      </w:r>
      <w:r>
        <w:t xml:space="preserve">adds emergency access control with</w:t>
      </w:r>
      <w:r>
        <w:t xml:space="preserve"> </w:t>
      </w:r>
      <w:r>
        <w:t xml:space="preserve">after-the-fact auditability;</w:t>
      </w:r>
      <w:r>
        <w:t xml:space="preserve"> </w:t>
      </w:r>
      <w:r>
        <w:t xml:space="preserve">Yousif, Alsaffar, and Ameen (2026)</w:t>
      </w:r>
      <w:r>
        <w:t xml:space="preserve"> </w:t>
      </w:r>
      <w:r>
        <w:t xml:space="preserve">and</w:t>
      </w:r>
      <w:r>
        <w:t xml:space="preserve"> </w:t>
      </w:r>
      <w:r>
        <w:t xml:space="preserve">Hurdson and Kamaghe (2026)</w:t>
      </w:r>
      <w:r>
        <w:t xml:space="preserve"> </w:t>
      </w:r>
      <w:r>
        <w:t xml:space="preserve">address external sharing without</w:t>
      </w:r>
      <w:r>
        <w:t xml:space="preserve"> </w:t>
      </w:r>
      <w:r>
        <w:t xml:space="preserve">disclosing the underlying record.</w:t>
      </w:r>
      <w:r>
        <w:t xml:space="preserve"> </w:t>
      </w:r>
      <w:r>
        <w:t xml:space="preserve">Kormiltsyn et al. (2023)</w:t>
      </w:r>
      <w:r>
        <w:t xml:space="preserve"> </w:t>
      </w:r>
      <w:r>
        <w:t xml:space="preserve">treats the conflict that arises when personal and institutional records are</w:t>
      </w:r>
      <w:r>
        <w:t xml:space="preserve"> </w:t>
      </w:r>
      <w:r>
        <w:t xml:space="preserve">integrated, which is structurally the same problem as a farmer’s data entering</w:t>
      </w:r>
      <w:r>
        <w:t xml:space="preserve"> </w:t>
      </w:r>
      <w:r>
        <w:t xml:space="preserve">a consortium ledger.</w:t>
      </w:r>
    </w:p>
    <w:p>
      <w:pPr>
        <w:pStyle w:val="BodyText"/>
      </w:pPr>
      <w:r>
        <w:t xml:space="preserve">The agricultural instances are thinner but converge on the same requirement.</w:t>
      </w:r>
      <w:r>
        <w:t xml:space="preserve"> </w:t>
      </w:r>
      <w:r>
        <w:t xml:space="preserve">Aliyu and Liu (2023)</w:t>
      </w:r>
      <w:r>
        <w:t xml:space="preserve"> </w:t>
      </w:r>
      <w:r>
        <w:t xml:space="preserve">addresses tampering in farm IoT data,</w:t>
      </w:r>
      <w:r>
        <w:t xml:space="preserve"> </w:t>
      </w:r>
      <w:r>
        <w:t xml:space="preserve">and</w:t>
      </w:r>
      <w:r>
        <w:t xml:space="preserve"> </w:t>
      </w:r>
      <w:r>
        <w:t xml:space="preserve">Safeer et al. (2024)</w:t>
      </w:r>
      <w:r>
        <w:t xml:space="preserve"> </w:t>
      </w:r>
      <w:r>
        <w:t xml:space="preserve">reports a production deployment in the Italian</w:t>
      </w:r>
      <w:r>
        <w:t xml:space="preserve"> </w:t>
      </w:r>
      <w:r>
        <w:t xml:space="preserve">tomato chain.</w:t>
      </w:r>
      <w:r>
        <w:t xml:space="preserve"> </w:t>
      </w:r>
      <w:r>
        <w:t xml:space="preserve">Aouedi et al. (2024)</w:t>
      </w:r>
      <w:r>
        <w:t xml:space="preserve"> </w:t>
      </w:r>
      <w:r>
        <w:t xml:space="preserve">and</w:t>
      </w:r>
      <w:r>
        <w:t xml:space="preserve"> </w:t>
      </w:r>
      <w:r>
        <w:t xml:space="preserve">Sahu and Mazumdar (2024)</w:t>
      </w:r>
      <w:r>
        <w:t xml:space="preserve"> </w:t>
      </w:r>
      <w:r>
        <w:t xml:space="preserve">survey the IoT threat surface and</w:t>
      </w:r>
      <w:r>
        <w:t xml:space="preserve"> </w:t>
      </w:r>
      <w:r>
        <w:t xml:space="preserve">agree that constrained endpoints remain the weakest link, which is the</w:t>
      </w:r>
      <w:r>
        <w:t xml:space="preserve"> </w:t>
      </w:r>
      <w:r>
        <w:t xml:space="preserve">observation Section </w:t>
      </w:r>
      <w:hyperlink w:anchor="sec:problem">
        <w:r>
          <w:rPr>
            <w:rStyle w:val="Hyperlink"/>
          </w:rPr>
          <w:t xml:space="preserve">1.2</w:t>
        </w:r>
      </w:hyperlink>
      <w:r>
        <w:t xml:space="preserve"> </w:t>
      </w:r>
      <w:r>
        <w:t xml:space="preserve">builds on.</w:t>
      </w:r>
    </w:p>
    <w:p>
      <w:pPr>
        <w:pStyle w:val="BodyText"/>
      </w:pPr>
      <w:r>
        <w:t xml:space="preserve">Two limits recur across this literature. Authentication is enforced where</w:t>
      </w:r>
      <w:r>
        <w:t xml:space="preserve"> </w:t>
      </w:r>
      <w:r>
        <w:t xml:space="preserve">compute is available, that is at the gateway or the server, not at the sensing</w:t>
      </w:r>
      <w:r>
        <w:t xml:space="preserve"> </w:t>
      </w:r>
      <w:r>
        <w:t xml:space="preserve">node; and confidentiality is obtained by withholding data from the ledger,</w:t>
      </w:r>
      <w:r>
        <w:t xml:space="preserve"> </w:t>
      </w:r>
      <w:r>
        <w:t xml:space="preserve">which reintroduces a trusted party. Neither limit is addressed by a mechanism</w:t>
      </w:r>
      <w:r>
        <w:t xml:space="preserve"> </w:t>
      </w:r>
      <w:r>
        <w:t xml:space="preserve">that operates on the reading in flight.</w:t>
      </w:r>
    </w:p>
    <w:bookmarkEnd w:id="76"/>
    <w:bookmarkEnd w:id="77"/>
    <w:bookmarkStart w:id="78" w:name="sec:lit_cognate"/>
    <w:p>
      <w:pPr>
        <w:pStyle w:val="Heading2"/>
      </w:pPr>
      <w:r>
        <w:rPr>
          <w:rStyle w:val="SectionNumber"/>
        </w:rPr>
        <w:t xml:space="preserve">2.4</w:t>
      </w:r>
      <w:r>
        <w:tab/>
      </w:r>
      <w:r>
        <w:t xml:space="preserve">Research in Cognate Areas Relevant to the Topic</w:t>
      </w:r>
    </w:p>
    <w:p>
      <w:pPr>
        <w:pStyle w:val="FirstParagraph"/>
      </w:pPr>
      <w:r>
        <w:t xml:space="preserve">Three adjacent bodies of work inform our work without belonging to any</w:t>
      </w:r>
      <w:r>
        <w:t xml:space="preserve"> </w:t>
      </w:r>
      <w:r>
        <w:t xml:space="preserve">of the themes surveyed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Dorri, Kanhere, and Jurdak 2017; Kalaimathi, Yogeshwaran, and Rajeswari 2025; Kamble, Gunasekaran, and Gawankar 2018; Ferrandez-Pastor et al. 2016; Lezoche et al. 2020)</w:t>
      </w:r>
      <w:r>
        <w:t xml:space="preserve">, and a smaller literature addresses the specific</w:t>
      </w:r>
      <w:r>
        <w:t xml:space="preserve"> </w:t>
      </w:r>
      <w:r>
        <w:t xml:space="preserve">hardware we deploy,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[subsec:lit_consensus]</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our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[subsec:lit_consensus]</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our</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w:t>
      </w:r>
      <w:r>
        <w:t xml:space="preserve">, quantify the scale of the</w:t>
      </w:r>
      <w:r>
        <w:t xml:space="preserve"> </w:t>
      </w:r>
      <w:r>
        <w:t xml:space="preserve">shortfall our field site sits inside. Crop-specific water-stress</w:t>
      </w:r>
      <w:r>
        <w:t xml:space="preserve"> </w:t>
      </w:r>
      <w:r>
        <w:t xml:space="preserve">and quality studies for tomato and pepper cultivation, the two crops</w:t>
      </w:r>
      <w:r>
        <w:t xml:space="preserve"> </w:t>
      </w:r>
      <w:r>
        <w:t xml:space="preserve">monitored in our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78"/>
    <w:bookmarkStart w:id="80" w:name="sec:lit_critique"/>
    <w:p>
      <w:pPr>
        <w:pStyle w:val="Heading2"/>
      </w:pPr>
      <w:r>
        <w:rPr>
          <w:rStyle w:val="SectionNumber"/>
        </w:rPr>
        <w:t xml:space="preserve">2.5</w:t>
      </w:r>
      <w:r>
        <w:tab/>
      </w:r>
      <w:r>
        <w:t xml:space="preserve">Critique of Current Literature and Summary of Known Results</w:t>
      </w:r>
    </w:p>
    <w:p>
      <w:pPr>
        <w:pStyle w:val="FirstParagraph"/>
      </w:pPr>
      <w:r>
        <w:t xml:space="preserve">Read across the threads surveyed above, the literature is strong on</w:t>
      </w:r>
      <w:r>
        <w:t xml:space="preserve"> </w:t>
      </w:r>
      <w:r>
        <w:t xml:space="preserve">isolated mechanisms and weak on their combination and their field</w:t>
      </w:r>
      <w:r>
        <w:t xml:space="preserve"> </w:t>
      </w:r>
      <w:r>
        <w:t xml:space="preserve">validation. Table </w:t>
      </w:r>
      <w:hyperlink w:anchor="tab:lit-gap-summary">
        <w:r>
          <w:rPr>
            <w:rStyle w:val="Hyperlink"/>
          </w:rPr>
          <w:t xml:space="preserve">2.4</w:t>
        </w:r>
      </w:hyperlink>
      <w:r>
        <w:t xml:space="preserve"> </w:t>
      </w:r>
      <w:r>
        <w:t xml:space="preserve">states this critique per</w:t>
      </w:r>
      <w:r>
        <w:t xml:space="preserve"> </w:t>
      </w:r>
      <w:r>
        <w:t xml:space="preserve">thread in the same form our own contribution</w:t>
      </w:r>
      <w:r>
        <w:t xml:space="preserve"> </w:t>
      </w:r>
      <w:r>
        <w:t xml:space="preserve">(Section </w:t>
      </w:r>
      <w:hyperlink w:anchor="sec:lit_contribution">
        <w:r>
          <w:rPr>
            <w:rStyle w:val="Hyperlink"/>
          </w:rPr>
          <w:t xml:space="preserve">2.7</w:t>
        </w:r>
      </w:hyperlink>
      <w:r>
        <w:t xml:space="preserve">) will answer it.</w:t>
      </w:r>
    </w:p>
    <w:bookmarkStart w:id="79"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[subsec:lit_precision_ag]</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[subsec:lit_lpwan]</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[subsec:lit_crt]</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[subsec:lit_blockchain_ag]</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[subsec:lit_consensus]</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[subsec:lit_privacy]</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79"/>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our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80"/>
    <w:bookmarkStart w:id="81" w:name="sec:lit_frontiers"/>
    <w:p>
      <w:pPr>
        <w:pStyle w:val="Heading2"/>
      </w:pPr>
      <w:r>
        <w:rPr>
          <w:rStyle w:val="SectionNumber"/>
        </w:rPr>
        <w:t xml:space="preserve">2.6</w:t>
      </w:r>
      <w:r>
        <w:tab/>
      </w:r>
      <w:r>
        <w:t xml:space="preserve">Research Frontiers</w:t>
      </w:r>
    </w:p>
    <w:p>
      <w:pPr>
        <w:pStyle w:val="FirstParagraph"/>
      </w:pPr>
      <w:r>
        <w:t xml:space="preserve">Four questions are live in the literature discussed above and unresolved in it.</w:t>
      </w:r>
    </w:p>
    <w:p>
      <w:pPr>
        <w:pStyle w:val="BodyText"/>
      </w:pPr>
      <w:r>
        <w:rPr>
          <w:bCs/>
          <w:b/>
        </w:rPr>
        <w:t xml:space="preserve">Whether decomposition can serve efficiency and confidentiality at</w:t>
      </w:r>
      <w:r>
        <w:rPr>
          <w:bCs/>
          <w:b/>
        </w:rPr>
        <w:t xml:space="preserve"> </w:t>
      </w:r>
      <w:r>
        <w:rPr>
          <w:bCs/>
          <w:b/>
        </w:rPr>
        <w:t xml:space="preserve">once.</w:t>
      </w:r>
      <w:r>
        <w:t xml:space="preserve"> </w:t>
      </w:r>
      <w:r>
        <w:t xml:space="preserve">Residue representations are used for throughput in the ledger</w:t>
      </w:r>
      <w:r>
        <w:t xml:space="preserve"> </w:t>
      </w:r>
      <w:r>
        <w:t xml:space="preserve">literature </w:t>
      </w:r>
      <w:r>
        <w:t xml:space="preserve">(Horváth 2025; Patel 2023)</w:t>
      </w:r>
      <w:r>
        <w:t xml:space="preserve"> </w:t>
      </w:r>
      <w:r>
        <w:t xml:space="preserve">and,</w:t>
      </w:r>
      <w:r>
        <w:t xml:space="preserve"> </w:t>
      </w:r>
      <w:r>
        <w:t xml:space="preserve">separately, for concealment in the image-security</w:t>
      </w:r>
      <w:r>
        <w:t xml:space="preserve"> </w:t>
      </w:r>
      <w:r>
        <w:t xml:space="preserve">literature </w:t>
      </w:r>
      <w:r>
        <w:t xml:space="preserve">(Yavuz 2025)</w:t>
      </w:r>
      <w:r>
        <w:t xml:space="preserve">. No work discussed here establishes</w:t>
      </w:r>
      <w:r>
        <w:t xml:space="preserve"> </w:t>
      </w:r>
      <w:r>
        <w:t xml:space="preserve">the two properties for a single decomposition under one threat model.</w:t>
      </w:r>
    </w:p>
    <w:p>
      <w:pPr>
        <w:pStyle w:val="BodyText"/>
      </w:pPr>
      <w:r>
        <w:rPr>
          <w:bCs/>
          <w:b/>
        </w:rPr>
        <w:t xml:space="preserve">How far identity can be pushed toward the sensor.</w:t>
      </w:r>
      <w:r>
        <w:t xml:space="preserve"> </w:t>
      </w:r>
      <w:r>
        <w:t xml:space="preserve">Every scheme</w:t>
      </w:r>
      <w:r>
        <w:t xml:space="preserve"> </w:t>
      </w:r>
      <w:r>
        <w:t xml:space="preserve">surveyed in Section </w:t>
      </w:r>
      <w:hyperlink w:anchor="subsec:lit_privacy_extended">
        <w:r>
          <w:rPr>
            <w:rStyle w:val="Hyperlink"/>
          </w:rPr>
          <w:t xml:space="preserve">[subsec:lit_privacy_extended]</w:t>
        </w:r>
      </w:hyperlink>
      <w:r>
        <w:t xml:space="preserve"> </w:t>
      </w:r>
      <w:r>
        <w:t xml:space="preserve">terminates authentication</w:t>
      </w:r>
      <w:r>
        <w:t xml:space="preserve"> </w:t>
      </w:r>
      <w:r>
        <w:t xml:space="preserve">at a device with meaningful compute. Whether a node with a few kilobytes of</w:t>
      </w:r>
      <w:r>
        <w:t xml:space="preserve"> </w:t>
      </w:r>
      <w:r>
        <w:t xml:space="preserve">free memory can carry a credential strong enough to bind an individual reading,</w:t>
      </w:r>
      <w:r>
        <w:t xml:space="preserve"> </w:t>
      </w:r>
      <w:r>
        <w:t xml:space="preserve">and at what airtime cost, is open.</w:t>
      </w:r>
    </w:p>
    <w:p>
      <w:pPr>
        <w:pStyle w:val="BodyText"/>
      </w:pPr>
      <w:r>
        <w:rPr>
          <w:bCs/>
          <w:b/>
        </w:rPr>
        <w:t xml:space="preserve">What permissioned consensus actually costs in the</w:t>
      </w:r>
      <w:r>
        <w:rPr>
          <w:bCs/>
          <w:b/>
        </w:rPr>
        <w:t xml:space="preserve"> </w:t>
      </w:r>
      <w:r>
        <w:rPr>
          <w:bCs/>
          <w:b/>
        </w:rPr>
        <w:t xml:space="preserve">field.</w:t>
      </w:r>
      <w:r>
        <w:t xml:space="preserve"> </w:t>
      </w:r>
      <w:r>
        <w:t xml:space="preserve">Benchmarks now exist for constrained</w:t>
      </w:r>
      <w:r>
        <w:t xml:space="preserve"> </w:t>
      </w:r>
      <w:r>
        <w:t xml:space="preserve">hardware </w:t>
      </w:r>
      <w:r>
        <w:t xml:space="preserve">(Zulkarnain, Ramli, and Nordin 2025; Pebriyanti and Suranegara 2025)</w:t>
      </w:r>
      <w:r>
        <w:t xml:space="preserve">, but they are laboratory measurements.</w:t>
      </w:r>
      <w:r>
        <w:t xml:space="preserve"> </w:t>
      </w:r>
      <w:r>
        <w:t xml:space="preserve">Behaviour under mesh partition, thermal derating and seasonal power variation</w:t>
      </w:r>
      <w:r>
        <w:t xml:space="preserve"> </w:t>
      </w:r>
      <w:r>
        <w:t xml:space="preserve">is reported nowhere in this body of work.</w:t>
      </w:r>
    </w:p>
    <w:p>
      <w:pPr>
        <w:pStyle w:val="BodyText"/>
      </w:pPr>
      <w:r>
        <w:rPr>
          <w:bCs/>
          <w:b/>
        </w:rPr>
        <w:t xml:space="preserve">Where the binding constraint sits as deployments grow.</w:t>
      </w:r>
      <w:r>
        <w:t xml:space="preserve"> </w:t>
      </w:r>
      <w:r>
        <w:t xml:space="preserve">Equations </w:t>
      </w:r>
      <w:hyperlink w:anchor="eq:lora_airtime">
        <w:r>
          <w:rPr>
            <w:rStyle w:val="Hyperlink"/>
          </w:rPr>
          <w:t xml:space="preserve">[eq:lora_airtime]</w:t>
        </w:r>
      </w:hyperlink>
      <w:r>
        <w:t xml:space="preserve"> </w:t>
      </w:r>
      <w:r>
        <w:t xml:space="preserve">and </w:t>
      </w:r>
      <w:hyperlink w:anchor="eq:mdOne">
        <w:r>
          <w:rPr>
            <w:rStyle w:val="Hyperlink"/>
          </w:rPr>
          <w:t xml:space="preserve">[eq:mdOne]</w:t>
        </w:r>
      </w:hyperlink>
      <w:r>
        <w:t xml:space="preserve"> </w:t>
      </w:r>
      <w:r>
        <w:t xml:space="preserve">are sensitive to</w:t>
      </w:r>
      <w:r>
        <w:t xml:space="preserve"> </w:t>
      </w:r>
      <w:r>
        <w:t xml:space="preserve">different quantities, so node-count and packet-capacity limits bind under</w:t>
      </w:r>
      <w:r>
        <w:t xml:space="preserve"> </w:t>
      </w:r>
      <w:r>
        <w:t xml:space="preserve">different conditions. No validated model in prior work distinguishes</w:t>
      </w:r>
      <w:r>
        <w:t xml:space="preserve"> </w:t>
      </w:r>
      <w:r>
        <w:t xml:space="preserve">them for multi-channel residue traffic.</w:t>
      </w:r>
    </w:p>
    <w:bookmarkEnd w:id="81"/>
    <w:bookmarkStart w:id="82" w:name="sec:lit_contribution"/>
    <w:p>
      <w:pPr>
        <w:pStyle w:val="Heading2"/>
      </w:pPr>
      <w:r>
        <w:rPr>
          <w:rStyle w:val="SectionNumber"/>
        </w:rPr>
        <w:t xml:space="preserve">2.7</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we</w:t>
      </w:r>
      <w:r>
        <w:t xml:space="preserve"> </w:t>
      </w:r>
      <w:r>
        <w:t xml:space="preserve">contribute the following.</w:t>
      </w:r>
    </w:p>
    <w:p>
      <w:pPr>
        <w:numPr>
          <w:ilvl w:val="0"/>
          <w:numId w:val="1003"/>
        </w:numPr>
      </w:pPr>
      <w:r>
        <w:t xml:space="preserve">We connect the processor-cycle application of CRT parallel</w:t>
      </w:r>
      <w:r>
        <w:t xml:space="preserve"> </w:t>
      </w:r>
      <w:r>
        <w:t xml:space="preserve">decomposition that the residue-arithmetic literature establishes</w:t>
      </w:r>
      <w:r>
        <w:t xml:space="preserve"> </w:t>
      </w:r>
      <w:r>
        <w:t xml:space="preserve">(Section </w:t>
      </w:r>
      <w:hyperlink w:anchor="subsec:lit_crt">
        <w:r>
          <w:rPr>
            <w:rStyle w:val="Hyperlink"/>
          </w:rPr>
          <w:t xml:space="preserve">[subsec:lit_crt]</w:t>
        </w:r>
      </w:hyperlink>
      <w:r>
        <w:t xml:space="preserve">) to a radio-channel application,</w:t>
      </w:r>
      <w:r>
        <w:t xml:space="preserve"> </w:t>
      </w:r>
      <w:r>
        <w:t xml:space="preserve">showing that Equation </w:t>
      </w:r>
      <w:hyperlink w:anchor="eq:crt_reconstruction">
        <w:r>
          <w:rPr>
            <w:rStyle w:val="Hyperlink"/>
          </w:rPr>
          <w:t xml:space="preserve">[eq:crt_reconstruction]</w:t>
        </w:r>
      </w:hyperlink>
      <w:r>
        <w:t xml:space="preserve"> </w:t>
      </w:r>
      <w:r>
        <w:t xml:space="preserve">pays for a</w:t>
      </w:r>
      <w:r>
        <w:t xml:space="preserve"> </w:t>
      </w:r>
      <w:r>
        <w:t xml:space="preserve">different resource, airtime rather than CPU cycles, when its</w:t>
      </w:r>
      <w:r>
        <w:t xml:space="preserve"> </w:t>
      </w:r>
      <w:r>
        <w:t xml:space="preserve">parallel targets are a concentrator’s demodulation paths rather</w:t>
      </w:r>
      <w:r>
        <w:t xml:space="preserve"> </w:t>
      </w:r>
      <w:r>
        <w:t xml:space="preserve">than a processor’s cores.</w:t>
      </w:r>
    </w:p>
    <w:p>
      <w:pPr>
        <w:numPr>
          <w:ilvl w:val="0"/>
          <w:numId w:val="1003"/>
        </w:numPr>
      </w:pPr>
      <w:r>
        <w:t xml:space="preserve">We extend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(Appendix </w:t>
      </w:r>
      <w:hyperlink w:anchor="app:hrbac_matrix">
        <w:r>
          <w:rPr>
            <w:rStyle w:val="Hyperlink"/>
          </w:rPr>
          <w:t xml:space="preserve">4</w:t>
        </w:r>
      </w:hyperlink>
      <w:r>
        <w:t xml:space="preserve">) together with per-node</w:t>
      </w:r>
      <w:r>
        <w:t xml:space="preserve"> </w:t>
      </w:r>
      <w:r>
        <w:t xml:space="preserve">credentials, so that a ledger record attests to the node that</w:t>
      </w:r>
      <w:r>
        <w:t xml:space="preserve"> </w:t>
      </w:r>
      <w:r>
        <w:t xml:space="preserve">produced a reading rather than only to the gateway that submitted</w:t>
      </w:r>
      <w:r>
        <w:t xml:space="preserve"> </w:t>
      </w:r>
      <w:r>
        <w:t xml:space="preserve">it.</w:t>
      </w:r>
    </w:p>
    <w:p>
      <w:pPr>
        <w:numPr>
          <w:ilvl w:val="0"/>
          <w:numId w:val="1003"/>
        </w:numPr>
      </w:pPr>
      <w:r>
        <w:t xml:space="preserve">We report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We state,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[subsec:lit_privacy]</w:t>
        </w:r>
      </w:hyperlink>
      <w:r>
        <w:t xml:space="preserve"> </w:t>
      </w:r>
      <w:r>
        <w:t xml:space="preserve">shows have developed</w:t>
      </w:r>
      <w:r>
        <w:t xml:space="preserve"> </w:t>
      </w:r>
      <w:r>
        <w:t xml:space="preserve">separately.</w:t>
      </w:r>
    </w:p>
    <w:p>
      <w:pPr>
        <w:numPr>
          <w:ilvl w:val="0"/>
          <w:numId w:val="1003"/>
        </w:numPr>
      </w:pPr>
      <w:r>
        <w:t xml:space="preserve">We report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2.5</w:t>
        </w:r>
      </w:hyperlink>
      <w:r>
        <w:t xml:space="preserve"> </w:t>
      </w:r>
      <w:r>
        <w:t xml:space="preserve">identifies as the pattern prior</w:t>
      </w:r>
      <w:r>
        <w:t xml:space="preserve"> </w:t>
      </w:r>
      <w:r>
        <w:t xml:space="preserve">work does not yet show.</w:t>
      </w:r>
    </w:p>
    <w:bookmarkEnd w:id="82"/>
    <w:bookmarkStart w:id="83" w:name="sec:lit_partial_conclusion"/>
    <w:p>
      <w:pPr>
        <w:pStyle w:val="Heading2"/>
      </w:pPr>
      <w:r>
        <w:rPr>
          <w:rStyle w:val="SectionNumber"/>
        </w:rPr>
        <w:t xml:space="preserve">2.8</w:t>
      </w:r>
      <w:r>
        <w:tab/>
      </w:r>
      <w:r>
        <w:t xml:space="preserve">Partial Conclusion</w:t>
      </w:r>
    </w:p>
    <w:p>
      <w:pPr>
        <w:pStyle w:val="FirstParagraph"/>
      </w:pPr>
      <w:r>
        <w:t xml:space="preserve">The sensing literature has solved measurement and left trust untouched: the</w:t>
      </w:r>
      <w:r>
        <w:t xml:space="preserve"> </w:t>
      </w:r>
      <w:r>
        <w:t xml:space="preserve">reading is believed because it was reported, and no mechanism attests that the</w:t>
      </w:r>
      <w:r>
        <w:t xml:space="preserve"> </w:t>
      </w:r>
      <w:r>
        <w:t xml:space="preserve">value stored is the value measured </w:t>
      </w:r>
      <w:r>
        <w:t xml:space="preserve">(Soussi et al. 2024; Aydin and Hall 2021)</w:t>
      </w:r>
      <w:r>
        <w:t xml:space="preserve">. The transmission literature has correctly identified</w:t>
      </w:r>
      <w:r>
        <w:t xml:space="preserve"> </w:t>
      </w:r>
      <w:r>
        <w:t xml:space="preserve">airtime as the binding constraint and attacks it by shortening payloads, which</w:t>
      </w:r>
      <w:r>
        <w:t xml:space="preserve"> </w:t>
      </w:r>
      <w:r>
        <w:t xml:space="preserve">reduces total volume but not the per-packet occupancy that</w:t>
      </w:r>
      <w:r>
        <w:t xml:space="preserve"> </w:t>
      </w:r>
      <w:r>
        <w:t xml:space="preserve">the duty-cycle and airtime relations of Equations </w:t>
      </w:r>
      <w:hyperlink w:anchor="eq:duty_cycle">
        <w:r>
          <w:rPr>
            <w:rStyle w:val="Hyperlink"/>
          </w:rPr>
          <w:t xml:space="preserve">[eq:duty_cycle]</w:t>
        </w:r>
      </w:hyperlink>
      <w:r>
        <w:t xml:space="preserve"> </w:t>
      </w:r>
      <w:r>
        <w:t xml:space="preserve">and </w:t>
      </w:r>
      <w:hyperlink w:anchor="eq:lora_airtime">
        <w:r>
          <w:rPr>
            <w:rStyle w:val="Hyperlink"/>
          </w:rPr>
          <w:t xml:space="preserve">[eq:lora_airtime]</w:t>
        </w:r>
      </w:hyperlink>
      <w:r>
        <w:t xml:space="preserve"> </w:t>
      </w:r>
      <w:r>
        <w:t xml:space="preserve">are actually sensitive to </w:t>
      </w:r>
      <w:r>
        <w:t xml:space="preserve">(Marcelloni and Vecchio 2008, 2010)</w:t>
      </w:r>
      <w:r>
        <w:t xml:space="preserve">. Residue arithmetic</w:t>
      </w:r>
      <w:r>
        <w:t xml:space="preserve"> </w:t>
      </w:r>
      <w:r>
        <w:t xml:space="preserve">supplies a decomposition whose parallelism has been exploited in silicon and,</w:t>
      </w:r>
      <w:r>
        <w:t xml:space="preserve"> </w:t>
      </w:r>
      <w:r>
        <w:t xml:space="preserve">recently, in ledger throughput, but never on the</w:t>
      </w:r>
      <w:r>
        <w:t xml:space="preserve"> </w:t>
      </w:r>
      <w:r>
        <w:t xml:space="preserve">air </w:t>
      </w:r>
      <w:r>
        <w:t xml:space="preserve">(Parhami 2010; Luo 2023; Maiwada 2025)</w:t>
      </w:r>
      <w:r>
        <w:t xml:space="preserve">. The ledger literature supplies tamper</w:t>
      </w:r>
      <w:r>
        <w:t xml:space="preserve"> </w:t>
      </w:r>
      <w:r>
        <w:t xml:space="preserve">evidence and an identity layer, characterised on hardware that agricultural</w:t>
      </w:r>
      <w:r>
        <w:t xml:space="preserve"> </w:t>
      </w:r>
      <w:r>
        <w:t xml:space="preserve">deployments do not have </w:t>
      </w:r>
      <w:r>
        <w:t xml:space="preserve">(Pajooh et al. 2022; Zulkarnain, Ramli, and Nordin 2025)</w:t>
      </w:r>
      <w:r>
        <w:t xml:space="preserve">. The privacy literature obtains</w:t>
      </w:r>
      <w:r>
        <w:t xml:space="preserve"> </w:t>
      </w:r>
      <w:r>
        <w:t xml:space="preserve">confidentiality by withholding, which forfeits the verifiability that motivated</w:t>
      </w:r>
      <w:r>
        <w:t xml:space="preserve"> </w:t>
      </w:r>
      <w:r>
        <w:t xml:space="preserve">the ledger in the first place </w:t>
      </w:r>
      <w:r>
        <w:t xml:space="preserve">(Kormiltsyn et al. 2023; Yousif, Alsaffar, and Ameen 2026)</w:t>
      </w:r>
      <w:r>
        <w:t xml:space="preserve">.</w:t>
      </w:r>
    </w:p>
    <w:p>
      <w:pPr>
        <w:pStyle w:val="BodyText"/>
      </w:pPr>
      <w:r>
        <w:t xml:space="preserve">Taken together these five leave one composite question, which we address in</w:t>
      </w:r>
      <w:r>
        <w:t xml:space="preserve"> </w:t>
      </w:r>
      <w:r>
        <w:t xml:space="preserve">the chapters that follow: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under the</w:t>
      </w:r>
      <w:r>
        <w:t xml:space="preserve"> </w:t>
      </w:r>
      <w:r>
        <w:t xml:space="preserve">conditions that field deployment actually imposes.</w:t>
      </w:r>
    </w:p>
    <w:bookmarkEnd w:id="83"/>
    <w:bookmarkStart w:id="84" w:name="references"/>
    <w:p>
      <w:pPr>
        <w:pStyle w:val="Heading2"/>
      </w:pPr>
      <w:r>
        <w:t xml:space="preserve">REFERENCES</w:t>
      </w:r>
    </w:p>
    <w:bookmarkEnd w:id="84"/>
    <w:bookmarkEnd w:id="85"/>
    <w:bookmarkStart w:id="90"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[subsec:lit_crt]</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86"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86"/>
    <w:bookmarkStart w:id="87"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87"/>
    <w:bookmarkStart w:id="88"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88"/>
    <w:bookmarkStart w:id="89"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[subsec:lit_crt]</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[subsec:lit_crt]</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89"/>
    <w:bookmarkEnd w:id="90"/>
    <w:bookmarkStart w:id="431" w:name="app:hrbac_matrix"/>
    <w:p>
      <w:pPr>
        <w:pStyle w:val="Heading1"/>
      </w:pPr>
      <w:r>
        <w:rPr>
          <w:rStyle w:val="SectionNumber"/>
        </w:rPr>
        <w:t xml:space="preserve">4</w:t>
      </w:r>
      <w:r>
        <w:tab/>
      </w:r>
      <w:r>
        <w:t xml:space="preserve">Hierarchical Role-Based Access Control Formalisation and Permission</w:t>
      </w:r>
      <w:r>
        <w:t xml:space="preserve"> </w:t>
      </w:r>
      <w:r>
        <w:t xml:space="preserve">Matrix</w:t>
      </w:r>
    </w:p>
    <w:p>
      <w:pPr>
        <w:pStyle w:val="FirstParagraph"/>
      </w:pPr>
      <w:r>
        <w:t xml:space="preserve">Chapter Two’s review of the access-control literature</w:t>
      </w:r>
      <w:r>
        <w:t xml:space="preserve"> </w:t>
      </w:r>
      <w:r>
        <w:t xml:space="preserve">(Section </w:t>
      </w:r>
      <w:hyperlink w:anchor="subsec:lit_privacy">
        <w:r>
          <w:rPr>
            <w:rStyle w:val="Hyperlink"/>
          </w:rPr>
          <w:t xml:space="preserve">[subsec:lit_privacy]</w:t>
        </w:r>
      </w:hyperlink>
      <w:r>
        <w:t xml:space="preserve">) finds RBAC enforced in chaincode a</w:t>
      </w:r>
      <w:r>
        <w:t xml:space="preserve"> </w:t>
      </w:r>
      <w:r>
        <w:t xml:space="preserve">well-established mechanism, generally terminating at the gateway, but no</w:t>
      </w:r>
      <w:r>
        <w:t xml:space="preserve"> </w:t>
      </w:r>
      <w:r>
        <w:t xml:space="preserve">published, deployed formalisation of a</w:t>
      </w:r>
      <w:r>
        <w:t xml:space="preserve"> </w:t>
      </w:r>
      <w:r>
        <w:rPr>
          <w:iCs/>
          <w:i/>
        </w:rPr>
        <w:t xml:space="preserve">hierarchical</w:t>
      </w:r>
      <w:r>
        <w:t xml:space="preserve"> </w:t>
      </w:r>
      <w:r>
        <w:t xml:space="preserve">role structure</w:t>
      </w:r>
      <w:r>
        <w:t xml:space="preserve"> </w:t>
      </w:r>
      <w:r>
        <w:t xml:space="preserve">with zone and temporal constraints folded into the grant decision itself.</w:t>
      </w:r>
      <w:r>
        <w:t xml:space="preserve"> </w:t>
      </w:r>
      <w:r>
        <w:t xml:space="preserve">This appendix states the formalisation we develop to close that gap and</w:t>
      </w:r>
      <w:r>
        <w:t xml:space="preserve"> </w:t>
      </w:r>
      <w:r>
        <w:t xml:space="preserve">that Chapter Three’s chaincode implements, so that it is available for</w:t>
      </w:r>
      <w:r>
        <w:t xml:space="preserve"> </w:t>
      </w:r>
      <w:r>
        <w:t xml:space="preserve">reference wherever the main chapters invoke it, without presenting our own</w:t>
      </w:r>
      <w:r>
        <w:t xml:space="preserve"> </w:t>
      </w:r>
      <w:r>
        <w:t xml:space="preserve">model as part of the literature under review.</w:t>
      </w:r>
    </w:p>
    <w:p>
      <w:pPr>
        <w:pStyle w:val="BodyText"/>
      </w:pPr>
      <w:r>
        <w:t xml:space="preserve">We extend flat RBAC with a role hierarchy expressed as a partial</w:t>
      </w:r>
      <w:r>
        <w:t xml:space="preserve"> </w:t>
      </w:r>
      <w:r>
        <w:t xml:space="preserve">order</w:t>
      </w:r>
      <w:r>
        <w:t xml:space="preserve"> </w:t>
      </w:r>
      <m:oMath>
        <m:r>
          <m:rPr>
            <m:sty m:val="p"/>
          </m:rPr>
          <m:t>≼</m:t>
        </m:r>
      </m:oMath>
      <w:r>
        <w:t xml:space="preserve"> </w:t>
      </w:r>
      <w:r>
        <w:t xml:space="preserve">over the role set</w:t>
      </w:r>
      <w:r>
        <w:t xml:space="preserve"> </w:t>
      </w:r>
      <m:oMath>
        <m:r>
          <m:t>R</m:t>
        </m:r>
      </m:oMath>
      <w:r>
        <w:t xml:space="preserve">, 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w:t>
      </w:r>
      <w:r>
        <w:t xml:space="preserve"> </w:t>
      </w:r>
      <w:r>
        <w:t xml:space="preserve">user</w:t>
      </w:r>
      <w:r>
        <w:t xml:space="preserve"> </w:t>
      </w:r>
      <m:oMath>
        <m:r>
          <m:t>u</m:t>
        </m:r>
      </m:oMath>
      <w:r>
        <w:t xml:space="preserve">’s effective permission set in a session is the union across every</w:t>
      </w:r>
      <w:r>
        <w:t xml:space="preserve"> </w:t>
      </w:r>
      <w:r>
        <w:t xml:space="preserve">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 layer. This</w:t>
      </w:r>
      <w:r>
        <w:t xml:space="preserve"> </w:t>
      </w:r>
      <w:r>
        <w:t xml:space="preserve">follows the general tradition of administrative role hierarchies in</w:t>
      </w:r>
      <w:r>
        <w:t xml:space="preserve"> </w:t>
      </w:r>
      <w:r>
        <w:t xml:space="preserve">access-control theory </w:t>
      </w:r>
      <w:r>
        <w:t xml:space="preserve">(Lu et al. 2022)</w:t>
      </w:r>
      <w:r>
        <w:t xml:space="preserve"> </w:t>
      </w:r>
      <w:r>
        <w:t xml:space="preserve">and shares its enforcement</w:t>
      </w:r>
      <w:r>
        <w:t xml:space="preserve"> </w:t>
      </w:r>
      <w:r>
        <w:t xml:space="preserve">point, the chaincode’s client-identity check, with the wider Fabric</w:t>
      </w:r>
      <w:r>
        <w:t xml:space="preserve"> </w:t>
      </w:r>
      <w:r>
        <w:t xml:space="preserve">access-control literature </w:t>
      </w:r>
      <w:r>
        <w:t xml:space="preserve">(Długosz et al. 2022)</w:t>
      </w:r>
      <w:r>
        <w:t xml:space="preserve">, but authenticates at</w:t>
      </w:r>
      <w:r>
        <w:t xml:space="preserve"> </w:t>
      </w:r>
      <w:r>
        <w:t xml:space="preserve">the individual sensing node rather than only at the gateway holding the</w:t>
      </w:r>
      <w:r>
        <w:t xml:space="preserve"> </w:t>
      </w:r>
      <w:r>
        <w:t xml:space="preserve">X.509 certificate that signs the transaction.</w:t>
      </w:r>
      <w:r>
        <w:t xml:space="preserve"> </w:t>
      </w:r>
      <w:r>
        <w:t xml:space="preserve">Figure </w:t>
      </w:r>
      <w:hyperlink w:anchor="fig:hrbac-trust-chain">
        <w:r>
          <w:rPr>
            <w:rStyle w:val="Hyperlink"/>
          </w:rPr>
          <w:t xml:space="preserve">4.1</w:t>
        </w:r>
      </w:hyperlink>
      <w:r>
        <w:t xml:space="preserve"> </w:t>
      </w:r>
      <w:r>
        <w:t xml:space="preserve">shows the resulting enrolment chain,</w:t>
      </w:r>
      <w:r>
        <w:t xml:space="preserve"> </w:t>
      </w:r>
      <w:r>
        <w:t xml:space="preserve">root certificate authority down through gateways to individual sensing</w:t>
      </w:r>
      <w:r>
        <w:t xml:space="preserve"> </w:t>
      </w:r>
      <w:r>
        <w:t xml:space="preserve">nodes.</w:t>
      </w:r>
    </w:p>
    <w:p>
      <w:pPr>
        <w:pStyle w:val="CaptionedFigure"/>
      </w:pPr>
      <w:r>
        <w:drawing>
          <wp:inline>
            <wp:extent cx="4533900" cy="3238499"/>
            <wp:effectExtent b="0" l="0" r="0" t="0"/>
            <wp:docPr descr="" title="" id="92" name="Picture"/>
            <a:graphic>
              <a:graphicData uri="http://schemas.openxmlformats.org/drawingml/2006/picture">
                <pic:pic>
                  <pic:nvPicPr>
                    <pic:cNvPr descr="figures/extracted/beloasone2025-hrbac-trust-chain.png" id="93" name="Picture"/>
                    <pic:cNvPicPr>
                      <a:picLocks noChangeArrowheads="1" noChangeAspect="1"/>
                    </pic:cNvPicPr>
                  </pic:nvPicPr>
                  <pic:blipFill>
                    <a:blip r:embed="rId91"/>
                    <a:stretch>
                      <a:fillRect/>
                    </a:stretch>
                  </pic:blipFill>
                  <pic:spPr bwMode="auto">
                    <a:xfrm>
                      <a:off x="0" y="0"/>
                      <a:ext cx="4533900" cy="3238499"/>
                    </a:xfrm>
                    <a:prstGeom prst="rect">
                      <a:avLst/>
                    </a:prstGeom>
                    <a:noFill/>
                    <a:ln w="9525">
                      <a:noFill/>
                      <a:headEnd/>
                      <a:tailEnd/>
                    </a:ln>
                  </pic:spPr>
                </pic:pic>
              </a:graphicData>
            </a:graphic>
          </wp:inline>
        </w:drawing>
      </w:r>
    </w:p>
    <w:p>
      <w:pPr>
        <w:pStyle w:val="ImageCaption"/>
      </w:pPr>
      <w:r>
        <w:t xml:space="preserve">Hierarchical enrolment chain for the seven-role HRBAC</w:t>
      </w:r>
      <w:r>
        <w:t xml:space="preserve"> </w:t>
      </w:r>
      <w:r>
        <w:t xml:space="preserve">model of 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w:t>
      </w:r>
    </w:p>
    <w:p>
      <w:pPr>
        <w:pStyle w:val="BodyText"/>
      </w:pPr>
      <w:r>
        <w:t xml:space="preserve">Table </w:t>
      </w:r>
      <w:hyperlink w:anchor="tab:app-hrbac-matrix">
        <w:r>
          <w:rPr>
            <w:rStyle w:val="Hyperlink"/>
          </w:rPr>
          <w:t xml:space="preserve">4.1</w:t>
        </w:r>
      </w:hyperlink>
      <w:r>
        <w:t xml:space="preserve"> </w:t>
      </w:r>
      <w:r>
        <w:t xml:space="preserve">reproduces the permission assignment</w:t>
      </w:r>
      <w:r>
        <w:t xml:space="preserve"> </w:t>
      </w:r>
      <m:oMath>
        <m:r>
          <m:t>p</m:t>
        </m:r>
        <m:r>
          <m:t>a</m:t>
        </m:r>
        <m:d>
          <m:dPr>
            <m:begChr m:val="("/>
            <m:endChr m:val=")"/>
            <m:sepChr m:val=""/>
            <m:grow/>
          </m:dPr>
          <m:e>
            <m:r>
              <m:t>r</m:t>
            </m:r>
          </m:e>
        </m:d>
      </m:oMath>
      <w:r>
        <w:t xml:space="preserve"> </w:t>
      </w:r>
      <w:r>
        <w:t xml:space="preserve">for every role and resource Chapter Three’s chaincode governs, so</w:t>
      </w:r>
      <w:r>
        <w:t xml:space="preserve"> </w:t>
      </w:r>
      <w:r>
        <w:t xml:space="preserve">that the effective-permission union in Equation </w:t>
      </w:r>
      <w:hyperlink w:anchor="eq:hrbac_eff">
        <w:r>
          <w:rPr>
            <w:rStyle w:val="Hyperlink"/>
          </w:rPr>
          <w:t xml:space="preserve">[eq:hrbac_eff]</w:t>
        </w:r>
      </w:hyperlink>
      <w:r>
        <w:t xml:space="preserve"> </w:t>
      </w:r>
      <w:r>
        <w:t xml:space="preserve">can be</w:t>
      </w:r>
      <w:r>
        <w:t xml:space="preserve"> </w:t>
      </w:r>
      <w:r>
        <w:t xml:space="preserve">checked against a concrete instance.</w:t>
      </w:r>
    </w:p>
    <w:bookmarkStart w:id="94"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94"/>
    <w:p>
      <w:pPr>
        <w:pStyle w:val="BodyText"/>
      </w:pPr>
      <w:r>
        <w:rPr>
          <w:iCs/>
          <w:i/>
        </w:rPr>
        <w:t xml:space="preserve">Note:</w:t>
      </w:r>
      <w:r>
        <w:t xml:space="preserve"> </w:t>
      </w:r>
      <w:r>
        <w:t xml:space="preserve">Agron. = Agronomist, Cert. = Certification</w:t>
      </w:r>
      <w:r>
        <w:t xml:space="preserve"> </w:t>
      </w:r>
      <w:r>
        <w:t xml:space="preserve">Body, Supply = Supply Chain Partner.</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above; this is what 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load-bearing rather than redundant;</w:t>
      </w:r>
      <w:r>
        <w:t xml:space="preserve"> </w:t>
      </w:r>
      <w:r>
        <w:t xml:space="preserve">without it, every role above Gateway would read every zone’s sensor data</w:t>
      </w:r>
      <w:r>
        <w:t xml:space="preserve"> </w:t>
      </w:r>
      <w:r>
        <w:t xml:space="preserve">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w:t>
      </w:r>
      <w:r>
        <w:t xml:space="preserve"> </w:t>
      </w:r>
      <w:r>
        <w:t xml:space="preserve">reachable only by</w:t>
      </w:r>
      <w:r>
        <w:t xml:space="preserve"> </w:t>
      </w:r>
      <w:r>
        <w:rPr>
          <w:smallCaps/>
        </w:rPr>
        <w:t xml:space="preserve">Admin</w:t>
      </w:r>
      <w:r>
        <w:t xml:space="preserve">, which is what closes</w:t>
      </w:r>
      <w:r>
        <w:t xml:space="preserve"> </w:t>
      </w:r>
      <w:r>
        <w:t xml:space="preserve">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 whose own</w:t>
      </w:r>
      <w:r>
        <w:t xml:space="preserve"> </w:t>
      </w:r>
      <w:r>
        <w:t xml:space="preserve">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430" w:name="refs"/>
    <w:bookmarkStart w:id="96"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95">
        <w:r>
          <w:rPr>
            <w:rStyle w:val="Hyperlink"/>
          </w:rPr>
          <w:t xml:space="preserve">https://doi.org/10.1016/j.compag.2020.105441</w:t>
        </w:r>
      </w:hyperlink>
      <w:r>
        <w:t xml:space="preserve">.</w:t>
      </w:r>
    </w:p>
    <w:bookmarkEnd w:id="96"/>
    <w:bookmarkStart w:id="98"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97">
        <w:r>
          <w:rPr>
            <w:rStyle w:val="Hyperlink"/>
          </w:rPr>
          <w:t xml:space="preserve">https://doi.org/10.1109/MCOM.2017.1600613</w:t>
        </w:r>
      </w:hyperlink>
      <w:r>
        <w:t xml:space="preserve">.</w:t>
      </w:r>
    </w:p>
    <w:bookmarkEnd w:id="98"/>
    <w:bookmarkStart w:id="100" w:name="ref-ali2023farmDataTampering"/>
    <w:p>
      <w:pPr>
        <w:pStyle w:val="Bibliography"/>
      </w:pPr>
      <w:r>
        <w:t xml:space="preserve">Aliyu, Ahmed Abubakar, and Jinshuo Liu. 2023.</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99">
        <w:r>
          <w:rPr>
            <w:rStyle w:val="Hyperlink"/>
          </w:rPr>
          <w:t xml:space="preserve">https://doi.org/10.3390/s23187992</w:t>
        </w:r>
      </w:hyperlink>
      <w:r>
        <w:t xml:space="preserve">.</w:t>
      </w:r>
    </w:p>
    <w:bookmarkEnd w:id="100"/>
    <w:bookmarkStart w:id="101"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101"/>
    <w:bookmarkStart w:id="103" w:name="ref-alyas2025multiblockchain"/>
    <w:p>
      <w:pPr>
        <w:pStyle w:val="Bibliography"/>
      </w:pPr>
      <w:r>
        <w:t xml:space="preserve">Alyas, Tahir, Qaiser Abbas, Sadia Niazi, Saad Said Alqahtany, Turki Alghamdi, Ali Alzahrani, Nadia Tabassum, and Aidarus Mohamed Ibrahim. 2025.</w:t>
      </w:r>
      <w:r>
        <w:t xml:space="preserve"> </w:t>
      </w:r>
      <w:r>
        <w:t xml:space="preserve">“Multi Blockchain Architecture for Judicial Case Management Using Smart Contracts.”</w:t>
      </w:r>
      <w:r>
        <w:t xml:space="preserve"> </w:t>
      </w:r>
      <w:r>
        <w:rPr>
          <w:iCs/>
          <w:i/>
        </w:rPr>
        <w:t xml:space="preserve">Scientific Reports</w:t>
      </w:r>
      <w:r>
        <w:t xml:space="preserve">.</w:t>
      </w:r>
      <w:r>
        <w:t xml:space="preserve"> </w:t>
      </w:r>
      <w:hyperlink r:id="rId102">
        <w:r>
          <w:rPr>
            <w:rStyle w:val="Hyperlink"/>
          </w:rPr>
          <w:t xml:space="preserve">https://doi.org/10.1038/s41598-025-92842-8</w:t>
        </w:r>
      </w:hyperlink>
      <w:r>
        <w:t xml:space="preserve">.</w:t>
      </w:r>
    </w:p>
    <w:bookmarkEnd w:id="103"/>
    <w:bookmarkStart w:id="105"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104">
        <w:r>
          <w:rPr>
            <w:rStyle w:val="Hyperlink"/>
          </w:rPr>
          <w:t xml:space="preserve">https://doi.org/10.1145/1465482.1465560</w:t>
        </w:r>
      </w:hyperlink>
      <w:r>
        <w:t xml:space="preserve">.</w:t>
      </w:r>
    </w:p>
    <w:bookmarkEnd w:id="105"/>
    <w:bookmarkStart w:id="107" w:name="ref-amraouy2025ssi"/>
    <w:p>
      <w:pPr>
        <w:pStyle w:val="Bibliography"/>
      </w:pPr>
      <w:r>
        <w:t xml:space="preserve">Amraouy, Okacha, Mohammed Benbrahim, and Mohammed Nabil Kabbaj. 2025.</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106">
        <w:r>
          <w:rPr>
            <w:rStyle w:val="Hyperlink"/>
          </w:rPr>
          <w:t xml:space="preserve">https://doi.org/10.1016/j.atech.2025.101654</w:t>
        </w:r>
      </w:hyperlink>
      <w:r>
        <w:t xml:space="preserve">.</w:t>
      </w:r>
    </w:p>
    <w:bookmarkEnd w:id="107"/>
    <w:bookmarkStart w:id="109"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108">
        <w:r>
          <w:rPr>
            <w:rStyle w:val="Hyperlink"/>
          </w:rPr>
          <w:t xml:space="preserve">https://doi.org/10.1145/3190508.3190538</w:t>
        </w:r>
      </w:hyperlink>
      <w:r>
        <w:t xml:space="preserve">.</w:t>
      </w:r>
    </w:p>
    <w:bookmarkEnd w:id="109"/>
    <w:bookmarkStart w:id="110" w:name="ref-anonndoptimizedcloud"/>
    <w:p>
      <w:pPr>
        <w:pStyle w:val="Bibliography"/>
      </w:pPr>
      <w:r>
        <w:t xml:space="preserve">Anonymous. n.d.</w:t>
      </w:r>
      <w:r>
        <w:t xml:space="preserve"> </w:t>
      </w:r>
      <w:r>
        <w:t xml:space="preserve">“An Optimized Cloud Based Blockchain Framework for Enhanced Scalability Security and Energy Efficiency,”</w:t>
      </w:r>
      <w:r>
        <w:t xml:space="preserve"> </w:t>
      </w:r>
      <w:r>
        <w:t xml:space="preserve">n.d.</w:t>
      </w:r>
    </w:p>
    <w:bookmarkEnd w:id="110"/>
    <w:bookmarkStart w:id="111" w:name="ref-anonndblockchainbased"/>
    <w:p>
      <w:pPr>
        <w:pStyle w:val="Bibliography"/>
      </w:pPr>
      <w:r>
        <w:t xml:space="preserve">———. n.d.</w:t>
      </w:r>
      <w:r>
        <w:t xml:space="preserve"> </w:t>
      </w:r>
      <w:r>
        <w:t xml:space="preserve">“Blockchain Based Secured Traceability System for the Agriculture Supply Chain of Ginger in Nepal a Case s,”</w:t>
      </w:r>
      <w:r>
        <w:t xml:space="preserve"> </w:t>
      </w:r>
      <w:r>
        <w:t xml:space="preserve">n.d.</w:t>
      </w:r>
    </w:p>
    <w:bookmarkEnd w:id="111"/>
    <w:bookmarkStart w:id="112" w:name="ref-anonndblockchaintechnology2"/>
    <w:p>
      <w:pPr>
        <w:pStyle w:val="Bibliography"/>
      </w:pPr>
      <w:r>
        <w:t xml:space="preserve">———. n.d.</w:t>
      </w:r>
      <w:r>
        <w:t xml:space="preserve"> </w:t>
      </w:r>
      <w:r>
        <w:t xml:space="preserve">“Blockchain Technology in Agriculture Ensuring Transparency and Traceability in the Food Supply Chain,”</w:t>
      </w:r>
      <w:r>
        <w:t xml:space="preserve"> </w:t>
      </w:r>
      <w:r>
        <w:t xml:space="preserve">n.d.</w:t>
      </w:r>
    </w:p>
    <w:bookmarkEnd w:id="112"/>
    <w:bookmarkStart w:id="113" w:name="ref-anonndimprovedblockchain"/>
    <w:p>
      <w:pPr>
        <w:pStyle w:val="Bibliography"/>
      </w:pPr>
      <w:r>
        <w:t xml:space="preserve">———. n.d.</w:t>
      </w:r>
      <w:r>
        <w:t xml:space="preserve"> </w:t>
      </w:r>
      <w:r>
        <w:t xml:space="preserve">“Improved DAG in Blockchain Tangle for IOTA,”</w:t>
      </w:r>
      <w:r>
        <w:t xml:space="preserve"> </w:t>
      </w:r>
      <w:r>
        <w:t xml:space="preserve">n.d.</w:t>
      </w:r>
    </w:p>
    <w:bookmarkEnd w:id="113"/>
    <w:bookmarkStart w:id="114" w:name="ref-anonndscalabilitysolutions"/>
    <w:p>
      <w:pPr>
        <w:pStyle w:val="Bibliography"/>
      </w:pPr>
      <w:r>
        <w:t xml:space="preserve">———. n.d.</w:t>
      </w:r>
      <w:r>
        <w:t xml:space="preserve"> </w:t>
      </w:r>
      <w:r>
        <w:t xml:space="preserve">“Scalability Solutions in Blockchain Supported Manufacturing a Survey,”</w:t>
      </w:r>
      <w:r>
        <w:t xml:space="preserve"> </w:t>
      </w:r>
      <w:r>
        <w:t xml:space="preserve">n.d.</w:t>
      </w:r>
    </w:p>
    <w:bookmarkEnd w:id="114"/>
    <w:bookmarkStart w:id="115" w:name="ref-anonndsupplychain"/>
    <w:p>
      <w:pPr>
        <w:pStyle w:val="Bibliography"/>
      </w:pPr>
      <w:r>
        <w:t xml:space="preserve">———. n.d.</w:t>
      </w:r>
      <w:r>
        <w:t xml:space="preserve"> </w:t>
      </w:r>
      <w:r>
        <w:t xml:space="preserve">“Supply Chain Transparency Exploring Blockchain Solutions for Enhanced Traceability and Efficiency,”</w:t>
      </w:r>
      <w:r>
        <w:t xml:space="preserve"> </w:t>
      </w:r>
      <w:r>
        <w:t xml:space="preserve">n.d.</w:t>
      </w:r>
    </w:p>
    <w:bookmarkEnd w:id="115"/>
    <w:bookmarkStart w:id="117" w:name="ref-aouedi2024surveyintelligent"/>
    <w:p>
      <w:pPr>
        <w:pStyle w:val="Bibliography"/>
      </w:pPr>
      <w:r>
        <w:t xml:space="preserve">Aouedi, Ons, Thai-Hoc Vu, Alessio Sacco, Dinh C. Nguyen, Kandaraj Piamrat, Guido Marchetto, and Quoc‐Viet Pham. 2024.</w:t>
      </w:r>
      <w:r>
        <w:t xml:space="preserve"> </w:t>
      </w:r>
      <w:r>
        <w:t xml:space="preserve">“A Survey on Intelligent Internet of Things: Applications, Security, Privacy, and Future Directions.”</w:t>
      </w:r>
      <w:r>
        <w:t xml:space="preserve"> </w:t>
      </w:r>
      <w:r>
        <w:rPr>
          <w:iCs/>
          <w:i/>
        </w:rPr>
        <w:t xml:space="preserve">IEEE Communications Surveys &amp; Tutorials</w:t>
      </w:r>
      <w:r>
        <w:t xml:space="preserve">.</w:t>
      </w:r>
      <w:r>
        <w:t xml:space="preserve"> </w:t>
      </w:r>
      <w:hyperlink r:id="rId116">
        <w:r>
          <w:rPr>
            <w:rStyle w:val="Hyperlink"/>
          </w:rPr>
          <w:t xml:space="preserve">https://doi.org/10.1109/comst.2024.3430368</w:t>
        </w:r>
      </w:hyperlink>
      <w:r>
        <w:t xml:space="preserve">.</w:t>
      </w:r>
    </w:p>
    <w:bookmarkEnd w:id="117"/>
    <w:bookmarkStart w:id="119"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118">
        <w:r>
          <w:rPr>
            <w:rStyle w:val="Hyperlink"/>
          </w:rPr>
          <w:t xml:space="preserve">https://doi.org/10.1016/j.csi.2011.03.004</w:t>
        </w:r>
      </w:hyperlink>
      <w:r>
        <w:t xml:space="preserve">.</w:t>
      </w:r>
    </w:p>
    <w:bookmarkEnd w:id="119"/>
    <w:bookmarkStart w:id="121"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120">
        <w:r>
          <w:rPr>
            <w:rStyle w:val="Hyperlink"/>
          </w:rPr>
          <w:t xml:space="preserve">https://doi.org/10.1109/ACCESS.2021.3129552</w:t>
        </w:r>
      </w:hyperlink>
      <w:r>
        <w:t xml:space="preserve">.</w:t>
      </w:r>
    </w:p>
    <w:bookmarkEnd w:id="121"/>
    <w:bookmarkStart w:id="123" w:name="ref-anon2024securitysecp"/>
    <w:p>
      <w:pPr>
        <w:pStyle w:val="Bibliography"/>
      </w:pPr>
      <w:r>
        <w:t xml:space="preserve">Balasubramanian, Dr. Kannan. 2024.</w:t>
      </w:r>
      <w:r>
        <w:t xml:space="preserve"> </w:t>
      </w:r>
      <w:r>
        <w:t xml:space="preserve">“Security of the Secp256k1 Elliptic Curve Used in the Bitcoin Blockchain.”</w:t>
      </w:r>
      <w:r>
        <w:t xml:space="preserve"> </w:t>
      </w:r>
      <w:r>
        <w:rPr>
          <w:iCs/>
          <w:i/>
        </w:rPr>
        <w:t xml:space="preserve">Indian Journal of Cryptography and Network Security</w:t>
      </w:r>
      <w:r>
        <w:t xml:space="preserve">.</w:t>
      </w:r>
      <w:r>
        <w:t xml:space="preserve"> </w:t>
      </w:r>
      <w:hyperlink r:id="rId122">
        <w:r>
          <w:rPr>
            <w:rStyle w:val="Hyperlink"/>
          </w:rPr>
          <w:t xml:space="preserve">https://doi.org/10.54105/ijcns.a1426.04010524</w:t>
        </w:r>
      </w:hyperlink>
      <w:r>
        <w:t xml:space="preserve">.</w:t>
      </w:r>
    </w:p>
    <w:bookmarkEnd w:id="123"/>
    <w:bookmarkStart w:id="124"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124"/>
    <w:bookmarkStart w:id="126"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125">
        <w:r>
          <w:rPr>
            <w:rStyle w:val="Hyperlink"/>
          </w:rPr>
          <w:t xml:space="preserve">https://doi.org/10.1109/DSN.2014.43</w:t>
        </w:r>
      </w:hyperlink>
      <w:r>
        <w:t xml:space="preserve">.</w:t>
      </w:r>
    </w:p>
    <w:bookmarkEnd w:id="126"/>
    <w:bookmarkStart w:id="128"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127">
        <w:r>
          <w:rPr>
            <w:rStyle w:val="Hyperlink"/>
          </w:rPr>
          <w:t xml:space="preserve">https://doi.org/10.22765/pastj.20250003</w:t>
        </w:r>
      </w:hyperlink>
      <w:r>
        <w:t xml:space="preserve">.</w:t>
      </w:r>
    </w:p>
    <w:bookmarkEnd w:id="128"/>
    <w:bookmarkStart w:id="130"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129">
        <w:r>
          <w:rPr>
            <w:rStyle w:val="Hyperlink"/>
          </w:rPr>
          <w:t xml:space="preserve">https://doi.org/10.1016/j.jhydrol.2007.06.032</w:t>
        </w:r>
      </w:hyperlink>
      <w:r>
        <w:t xml:space="preserve">.</w:t>
      </w:r>
    </w:p>
    <w:bookmarkEnd w:id="130"/>
    <w:bookmarkStart w:id="132"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131">
        <w:r>
          <w:rPr>
            <w:rStyle w:val="Hyperlink"/>
          </w:rPr>
          <w:t xml:space="preserve">https://doi.org/10.1145/2988287.2989163</w:t>
        </w:r>
      </w:hyperlink>
      <w:r>
        <w:t xml:space="preserve">.</w:t>
      </w:r>
    </w:p>
    <w:bookmarkEnd w:id="132"/>
    <w:bookmarkStart w:id="134"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133">
        <w:r>
          <w:rPr>
            <w:rStyle w:val="Hyperlink"/>
          </w:rPr>
          <w:t xml:space="preserve">https://doi.org/10.3390/s23115342</w:t>
        </w:r>
      </w:hyperlink>
      <w:r>
        <w:t xml:space="preserve">.</w:t>
      </w:r>
    </w:p>
    <w:bookmarkEnd w:id="134"/>
    <w:bookmarkStart w:id="136"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135">
        <w:r>
          <w:rPr>
            <w:rStyle w:val="Hyperlink"/>
          </w:rPr>
          <w:t xml:space="preserve">https://doi.org/10.1016/j.future.2015.09.021</w:t>
        </w:r>
      </w:hyperlink>
      <w:r>
        <w:t xml:space="preserve">.</w:t>
      </w:r>
    </w:p>
    <w:bookmarkEnd w:id="136"/>
    <w:bookmarkStart w:id="138"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37">
        <w:r>
          <w:rPr>
            <w:rStyle w:val="Hyperlink"/>
          </w:rPr>
          <w:t xml:space="preserve">https://doi.org/10.1016/j.comcom.2020.10.009</w:t>
        </w:r>
      </w:hyperlink>
      <w:r>
        <w:t xml:space="preserve">.</w:t>
      </w:r>
    </w:p>
    <w:bookmarkEnd w:id="138"/>
    <w:bookmarkStart w:id="140"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39">
        <w:r>
          <w:rPr>
            <w:rStyle w:val="Hyperlink"/>
          </w:rPr>
          <w:t xml:space="preserve">https://doi.org/10.3390/agriculture11100927</w:t>
        </w:r>
      </w:hyperlink>
      <w:r>
        <w:t xml:space="preserve">.</w:t>
      </w:r>
    </w:p>
    <w:bookmarkEnd w:id="140"/>
    <w:bookmarkStart w:id="141"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41"/>
    <w:bookmarkStart w:id="143"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42">
        <w:r>
          <w:rPr>
            <w:rStyle w:val="Hyperlink"/>
          </w:rPr>
          <w:t xml:space="preserve">https://doi.org/10.1049/iet-wss.2013.0025</w:t>
        </w:r>
      </w:hyperlink>
      <w:r>
        <w:t xml:space="preserve">.</w:t>
      </w:r>
    </w:p>
    <w:bookmarkEnd w:id="143"/>
    <w:bookmarkStart w:id="145" w:name="ref-debruyne2022trust"/>
    <w:p>
      <w:pPr>
        <w:pStyle w:val="Bibliography"/>
      </w:pPr>
      <w:r>
        <w:t xml:space="preserve">Casino, Fran, Thomas K. Dasaklis, and Constantinos Patsakis. 2019.</w:t>
      </w:r>
      <w:r>
        <w:t xml:space="preserve"> </w:t>
      </w:r>
      <w:r>
        <w:t xml:space="preserve">“A Systematic Literature Review of Blockchain-Based Applications: Current Status, Classification and Open Issues.”</w:t>
      </w:r>
      <w:r>
        <w:t xml:space="preserve"> </w:t>
      </w:r>
      <w:r>
        <w:rPr>
          <w:iCs/>
          <w:i/>
        </w:rPr>
        <w:t xml:space="preserve">Telematics and Informatics</w:t>
      </w:r>
      <w:r>
        <w:t xml:space="preserve"> </w:t>
      </w:r>
      <w:r>
        <w:t xml:space="preserve">36: 55–81.</w:t>
      </w:r>
      <w:r>
        <w:t xml:space="preserve"> </w:t>
      </w:r>
      <w:hyperlink r:id="rId144">
        <w:r>
          <w:rPr>
            <w:rStyle w:val="Hyperlink"/>
          </w:rPr>
          <w:t xml:space="preserve">https://doi.org/10.1016/j.tele.2018.11.006</w:t>
        </w:r>
      </w:hyperlink>
      <w:r>
        <w:t xml:space="preserve">.</w:t>
      </w:r>
    </w:p>
    <w:bookmarkEnd w:id="145"/>
    <w:bookmarkStart w:id="146"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46"/>
    <w:bookmarkStart w:id="147"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47"/>
    <w:bookmarkStart w:id="149"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48">
        <w:r>
          <w:rPr>
            <w:rStyle w:val="Hyperlink"/>
          </w:rPr>
          <w:t xml:space="preserve">https://doi.org/10.3390/s25196027</w:t>
        </w:r>
      </w:hyperlink>
      <w:r>
        <w:t xml:space="preserve">.</w:t>
      </w:r>
    </w:p>
    <w:bookmarkEnd w:id="149"/>
    <w:bookmarkStart w:id="151"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50">
        <w:r>
          <w:rPr>
            <w:rStyle w:val="Hyperlink"/>
          </w:rPr>
          <w:t xml:space="preserve">https://doi.org/10.1016/j.compag.2018.05.012</w:t>
        </w:r>
      </w:hyperlink>
      <w:r>
        <w:t xml:space="preserve">.</w:t>
      </w:r>
    </w:p>
    <w:bookmarkEnd w:id="151"/>
    <w:bookmarkStart w:id="152"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52"/>
    <w:bookmarkStart w:id="154"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53">
        <w:r>
          <w:rPr>
            <w:rStyle w:val="Hyperlink"/>
          </w:rPr>
          <w:t xml:space="preserve">https://stackoverflow.com/questions/40054218/what-if-dictionary-size-in-lzw-algorithm-is-full</w:t>
        </w:r>
      </w:hyperlink>
      <w:r>
        <w:t xml:space="preserve">.</w:t>
      </w:r>
    </w:p>
    <w:bookmarkEnd w:id="154"/>
    <w:bookmarkStart w:id="156"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55">
        <w:r>
          <w:rPr>
            <w:rStyle w:val="Hyperlink"/>
          </w:rPr>
          <w:t xml:space="preserve">https://doi.org/10.1002/ird.2492</w:t>
        </w:r>
      </w:hyperlink>
      <w:r>
        <w:t xml:space="preserve">.</w:t>
      </w:r>
    </w:p>
    <w:bookmarkEnd w:id="156"/>
    <w:bookmarkStart w:id="158"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57">
        <w:r>
          <w:rPr>
            <w:rStyle w:val="Hyperlink"/>
          </w:rPr>
          <w:t xml:space="preserve">https://doi.org/10.1142/2893</w:t>
        </w:r>
      </w:hyperlink>
      <w:r>
        <w:t xml:space="preserve">.</w:t>
      </w:r>
    </w:p>
    <w:bookmarkEnd w:id="158"/>
    <w:bookmarkStart w:id="160"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59">
        <w:r>
          <w:rPr>
            <w:rStyle w:val="Hyperlink"/>
          </w:rPr>
          <w:t xml:space="preserve">https://doi.org/10.3390/s22205981</w:t>
        </w:r>
      </w:hyperlink>
      <w:r>
        <w:t xml:space="preserve">.</w:t>
      </w:r>
    </w:p>
    <w:bookmarkEnd w:id="160"/>
    <w:bookmarkStart w:id="162"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61">
        <w:r>
          <w:rPr>
            <w:rStyle w:val="Hyperlink"/>
          </w:rPr>
          <w:t xml:space="preserve">https://doi.org/10.1016/j.agwat.2010.01.025</w:t>
        </w:r>
      </w:hyperlink>
      <w:r>
        <w:t xml:space="preserve">.</w:t>
      </w:r>
    </w:p>
    <w:bookmarkEnd w:id="162"/>
    <w:bookmarkStart w:id="164" w:name="ref-dorri2017blockchain"/>
    <w:p>
      <w:pPr>
        <w:pStyle w:val="Bibliography"/>
      </w:pPr>
      <w:r>
        <w:t xml:space="preserve">Dorri, Ali, Salil S. Kanhere, and Raja Jurdak. 2017.</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63">
        <w:r>
          <w:rPr>
            <w:rStyle w:val="Hyperlink"/>
          </w:rPr>
          <w:t xml:space="preserve">https://doi.org/10.1109/COMST.2017.2694144</w:t>
        </w:r>
      </w:hyperlink>
      <w:r>
        <w:t xml:space="preserve">.</w:t>
      </w:r>
    </w:p>
    <w:bookmarkEnd w:id="164"/>
    <w:bookmarkStart w:id="166"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65">
        <w:r>
          <w:rPr>
            <w:rStyle w:val="Hyperlink"/>
          </w:rPr>
          <w:t xml:space="preserve">https://doi.org/10.1109/PERCOMW.2017.7917634</w:t>
        </w:r>
      </w:hyperlink>
      <w:r>
        <w:t xml:space="preserve">.</w:t>
      </w:r>
    </w:p>
    <w:bookmarkEnd w:id="166"/>
    <w:bookmarkStart w:id="168"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67">
        <w:r>
          <w:rPr>
            <w:rStyle w:val="Hyperlink"/>
          </w:rPr>
          <w:t xml:space="preserve">https://deepwiki.com/esp-rs/esp-hal/8.3-cache-management-and-memory-barriers</w:t>
        </w:r>
      </w:hyperlink>
      <w:r>
        <w:t xml:space="preserve">.</w:t>
      </w:r>
    </w:p>
    <w:bookmarkEnd w:id="168"/>
    <w:bookmarkStart w:id="169"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69"/>
    <w:bookmarkStart w:id="171"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70">
        <w:r>
          <w:rPr>
            <w:rStyle w:val="Hyperlink"/>
          </w:rPr>
          <w:t xml:space="preserve">https://doi.org/10.1109/ACCESS.2019.2949703</w:t>
        </w:r>
      </w:hyperlink>
      <w:r>
        <w:t xml:space="preserve">.</w:t>
      </w:r>
    </w:p>
    <w:bookmarkEnd w:id="171"/>
    <w:bookmarkStart w:id="173"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72">
        <w:r>
          <w:rPr>
            <w:rStyle w:val="Hyperlink"/>
          </w:rPr>
          <w:t xml:space="preserve">https://doi.org/10.1093/jxb/erl165</w:t>
        </w:r>
      </w:hyperlink>
      <w:r>
        <w:t xml:space="preserve">.</w:t>
      </w:r>
    </w:p>
    <w:bookmarkEnd w:id="173"/>
    <w:bookmarkStart w:id="175"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74">
        <w:r>
          <w:rPr>
            <w:rStyle w:val="Hyperlink"/>
          </w:rPr>
          <w:t xml:space="preserve">https://doi.org/10.1109/JIOT.2020.2984478</w:t>
        </w:r>
      </w:hyperlink>
      <w:r>
        <w:t xml:space="preserve">.</w:t>
      </w:r>
    </w:p>
    <w:bookmarkEnd w:id="175"/>
    <w:bookmarkStart w:id="177"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76">
        <w:r>
          <w:rPr>
            <w:rStyle w:val="Hyperlink"/>
          </w:rPr>
          <w:t xml:space="preserve">https://doi.org/10.1109/ACCESS.2020.2973178</w:t>
        </w:r>
      </w:hyperlink>
      <w:r>
        <w:t xml:space="preserve">.</w:t>
      </w:r>
    </w:p>
    <w:bookmarkEnd w:id="177"/>
    <w:bookmarkStart w:id="179"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78">
        <w:r>
          <w:rPr>
            <w:rStyle w:val="Hyperlink"/>
          </w:rPr>
          <w:t xml:space="preserve">https://doi.org/10.3390/s16071141</w:t>
        </w:r>
      </w:hyperlink>
      <w:r>
        <w:t xml:space="preserve">.</w:t>
      </w:r>
    </w:p>
    <w:bookmarkEnd w:id="179"/>
    <w:bookmarkStart w:id="180"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80"/>
    <w:bookmarkStart w:id="182"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81">
        <w:r>
          <w:rPr>
            <w:rStyle w:val="Hyperlink"/>
          </w:rPr>
          <w:t xml:space="preserve">http://www.fao.org/3/a-i6583e.pdf</w:t>
        </w:r>
      </w:hyperlink>
      <w:r>
        <w:t xml:space="preserve">.</w:t>
      </w:r>
    </w:p>
    <w:bookmarkEnd w:id="182"/>
    <w:bookmarkStart w:id="184" w:name="ref-forcha2026basedparallel"/>
    <w:p>
      <w:pPr>
        <w:pStyle w:val="Bibliography"/>
      </w:pPr>
      <w:r>
        <w:t xml:space="preserve">forcha, Glen beloa, Michael Ekonde Sone, Elie Fute Tagne, and André Paul ASSE MVOGO. 2026.</w:t>
      </w:r>
      <w:r>
        <w:t xml:space="preserve"> </w:t>
      </w:r>
      <w:r>
        <w:t xml:space="preserve">“CRT-Based Parallel Residue Transmission for Distributed Edge Blockchain Computing: A Scalable IoT Cluster Architecture for Arid Agriculture.”</w:t>
      </w:r>
      <w:r>
        <w:t xml:space="preserve"> </w:t>
      </w:r>
      <w:r>
        <w:rPr>
          <w:iCs/>
          <w:i/>
        </w:rPr>
        <w:t xml:space="preserve">"</w:t>
      </w:r>
      <w:r>
        <w:t xml:space="preserve">.</w:t>
      </w:r>
      <w:r>
        <w:t xml:space="preserve"> </w:t>
      </w:r>
      <w:hyperlink r:id="rId183">
        <w:r>
          <w:rPr>
            <w:rStyle w:val="Hyperlink"/>
          </w:rPr>
          <w:t xml:space="preserve">https://doi.org/10.21203/rs.3.rs-9070688/v1</w:t>
        </w:r>
      </w:hyperlink>
      <w:r>
        <w:t xml:space="preserve">.</w:t>
      </w:r>
    </w:p>
    <w:bookmarkEnd w:id="184"/>
    <w:bookmarkStart w:id="186"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85">
        <w:r>
          <w:rPr>
            <w:rStyle w:val="Hyperlink"/>
          </w:rPr>
          <w:t xml:space="preserve">https://doi.org/10.1109/JIOT.2017.2767291</w:t>
        </w:r>
      </w:hyperlink>
      <w:r>
        <w:t xml:space="preserve">.</w:t>
      </w:r>
    </w:p>
    <w:bookmarkEnd w:id="186"/>
    <w:bookmarkStart w:id="188"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87">
        <w:r>
          <w:rPr>
            <w:rStyle w:val="Hyperlink"/>
          </w:rPr>
          <w:t xml:space="preserve">https://doi.org/10.1016/j.trac.2018.08.011</w:t>
        </w:r>
      </w:hyperlink>
      <w:r>
        <w:t xml:space="preserve">.</w:t>
      </w:r>
    </w:p>
    <w:bookmarkEnd w:id="188"/>
    <w:bookmarkStart w:id="190"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89">
        <w:r>
          <w:rPr>
            <w:rStyle w:val="Hyperlink"/>
          </w:rPr>
          <w:t xml:space="preserve">https://doi.org/10.3390/s20041042</w:t>
        </w:r>
      </w:hyperlink>
      <w:r>
        <w:t xml:space="preserve">.</w:t>
      </w:r>
    </w:p>
    <w:bookmarkEnd w:id="190"/>
    <w:bookmarkStart w:id="192"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91">
        <w:r>
          <w:rPr>
            <w:rStyle w:val="Hyperlink"/>
          </w:rPr>
          <w:t xml:space="preserve">https://doi.org/10.1109/TEC.1959.5219515</w:t>
        </w:r>
      </w:hyperlink>
      <w:r>
        <w:t xml:space="preserve">.</w:t>
      </w:r>
    </w:p>
    <w:bookmarkEnd w:id="192"/>
    <w:bookmarkStart w:id="194" w:name="ref-liu2021traceableSupply"/>
    <w:p>
      <w:pPr>
        <w:pStyle w:val="Bibliography"/>
      </w:pPr>
      <w:r>
        <w:t xml:space="preserve">Ge, Li, Christopher Brewster, Jacco Spek, Anton Smeenk, and Jan Top. 2017.</w:t>
      </w:r>
      <w:r>
        <w:t xml:space="preserve"> </w:t>
      </w:r>
      <w:r>
        <w:t xml:space="preserve">“Blockchain for Agriculture and Food: Findings from the Pilot Study.”</w:t>
      </w:r>
      <w:r>
        <w:t xml:space="preserve"> </w:t>
      </w:r>
      <w:r>
        <w:rPr>
          <w:iCs/>
          <w:i/>
        </w:rPr>
        <w:t xml:space="preserve">Wageningen Economic Research Report</w:t>
      </w:r>
      <w:r>
        <w:t xml:space="preserve"> </w:t>
      </w:r>
      <w:r>
        <w:t xml:space="preserve">2017-112: 1–66.</w:t>
      </w:r>
      <w:r>
        <w:t xml:space="preserve"> </w:t>
      </w:r>
      <w:hyperlink r:id="rId193">
        <w:r>
          <w:rPr>
            <w:rStyle w:val="Hyperlink"/>
          </w:rPr>
          <w:t xml:space="preserve">https://doi.org/10.18174/426747</w:t>
        </w:r>
      </w:hyperlink>
      <w:r>
        <w:t xml:space="preserve">.</w:t>
      </w:r>
    </w:p>
    <w:bookmarkEnd w:id="194"/>
    <w:bookmarkStart w:id="196"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95">
        <w:r>
          <w:rPr>
            <w:rStyle w:val="Hyperlink"/>
          </w:rPr>
          <w:t xml:space="preserve">https://doi.org/10.1126/science.1183899</w:t>
        </w:r>
      </w:hyperlink>
      <w:r>
        <w:t xml:space="preserve">.</w:t>
      </w:r>
    </w:p>
    <w:bookmarkEnd w:id="196"/>
    <w:bookmarkStart w:id="198"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97">
        <w:r>
          <w:rPr>
            <w:rStyle w:val="Hyperlink"/>
          </w:rPr>
          <w:t xml:space="preserve">https://doi.org/10.1145/564585.564601</w:t>
        </w:r>
      </w:hyperlink>
      <w:r>
        <w:t xml:space="preserve">.</w:t>
      </w:r>
    </w:p>
    <w:bookmarkEnd w:id="198"/>
    <w:bookmarkStart w:id="200" w:name="ref-goap2018iot"/>
    <w:p>
      <w:pPr>
        <w:pStyle w:val="Bibliography"/>
      </w:pPr>
      <w:r>
        <w:t xml:space="preserve">Goap, Amarendra, Dinesh Sharma, A. K. Shukla, and C. Rama Krishna. 2018.</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99">
        <w:r>
          <w:rPr>
            <w:rStyle w:val="Hyperlink"/>
          </w:rPr>
          <w:t xml:space="preserve">https://doi.org/10.1016/j.compag.2018.09.040</w:t>
        </w:r>
      </w:hyperlink>
      <w:r>
        <w:t xml:space="preserve">.</w:t>
      </w:r>
    </w:p>
    <w:bookmarkEnd w:id="200"/>
    <w:bookmarkStart w:id="202"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201">
        <w:r>
          <w:rPr>
            <w:rStyle w:val="Hyperlink"/>
          </w:rPr>
          <w:t xml:space="preserve">https://doi.org/10.1145/301250.301308</w:t>
        </w:r>
      </w:hyperlink>
      <w:r>
        <w:t xml:space="preserve">.</w:t>
      </w:r>
    </w:p>
    <w:bookmarkEnd w:id="202"/>
    <w:bookmarkStart w:id="203"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203"/>
    <w:bookmarkStart w:id="205" w:name="ref-gong2025edge"/>
    <w:p>
      <w:pPr>
        <w:pStyle w:val="Bibliography"/>
      </w:pPr>
      <w:r>
        <w:t xml:space="preserve">Gong, Ran, Hongyang Zhang, Gang Li, and Jiamin He. 2025.</w:t>
      </w:r>
      <w:r>
        <w:t xml:space="preserve"> </w:t>
      </w:r>
      <w:r>
        <w:t xml:space="preserve">“Edge Computing-Enabled Smart Agriculture: Technical Architectures, Practical Evolution, and Bottleneck Breakthroughs.”</w:t>
      </w:r>
      <w:r>
        <w:t xml:space="preserve"> </w:t>
      </w:r>
      <w:r>
        <w:rPr>
          <w:iCs/>
          <w:i/>
        </w:rPr>
        <w:t xml:space="preserve">Sensors</w:t>
      </w:r>
      <w:r>
        <w:t xml:space="preserve"> </w:t>
      </w:r>
      <w:r>
        <w:t xml:space="preserve">25 (17): 5302.</w:t>
      </w:r>
      <w:r>
        <w:t xml:space="preserve"> </w:t>
      </w:r>
      <w:hyperlink r:id="rId204">
        <w:r>
          <w:rPr>
            <w:rStyle w:val="Hyperlink"/>
          </w:rPr>
          <w:t xml:space="preserve">https://doi.org/10.3390/s25175302</w:t>
        </w:r>
      </w:hyperlink>
      <w:r>
        <w:t xml:space="preserve">.</w:t>
      </w:r>
    </w:p>
    <w:bookmarkEnd w:id="205"/>
    <w:bookmarkStart w:id="207"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206">
        <w:r>
          <w:rPr>
            <w:rStyle w:val="Hyperlink"/>
          </w:rPr>
          <w:t xml:space="preserve">https://doi.org/10.1109/40.877952</w:t>
        </w:r>
      </w:hyperlink>
      <w:r>
        <w:t xml:space="preserve">.</w:t>
      </w:r>
    </w:p>
    <w:bookmarkEnd w:id="207"/>
    <w:bookmarkStart w:id="209"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208">
        <w:r>
          <w:rPr>
            <w:rStyle w:val="Hyperlink"/>
          </w:rPr>
          <w:t xml:space="preserve">https://doi.org/10.1002/nem.2099</w:t>
        </w:r>
      </w:hyperlink>
      <w:r>
        <w:t xml:space="preserve">.</w:t>
      </w:r>
    </w:p>
    <w:bookmarkEnd w:id="209"/>
    <w:bookmarkStart w:id="210"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210"/>
    <w:bookmarkStart w:id="212"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211">
        <w:r>
          <w:rPr>
            <w:rStyle w:val="Hyperlink"/>
          </w:rPr>
          <w:t xml:space="preserve">https://doi.org/10.1016/j.cose.2018.06.004</w:t>
        </w:r>
      </w:hyperlink>
      <w:r>
        <w:t xml:space="preserve">.</w:t>
      </w:r>
    </w:p>
    <w:bookmarkEnd w:id="212"/>
    <w:bookmarkStart w:id="214"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213">
        <w:r>
          <w:rPr>
            <w:rStyle w:val="Hyperlink"/>
          </w:rPr>
          <w:t xml:space="preserve">https://doi.org/10.3390/s19102228</w:t>
        </w:r>
      </w:hyperlink>
      <w:r>
        <w:t xml:space="preserve">.</w:t>
      </w:r>
    </w:p>
    <w:bookmarkEnd w:id="214"/>
    <w:bookmarkStart w:id="216"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215">
        <w:r>
          <w:rPr>
            <w:rStyle w:val="Hyperlink"/>
          </w:rPr>
          <w:t xml:space="preserve">https://doi.org/10.1111/exsy.13382</w:t>
        </w:r>
      </w:hyperlink>
      <w:r>
        <w:t xml:space="preserve">.</w:t>
      </w:r>
    </w:p>
    <w:bookmarkEnd w:id="216"/>
    <w:bookmarkStart w:id="217"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217"/>
    <w:bookmarkStart w:id="219"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218">
        <w:r>
          <w:rPr>
            <w:rStyle w:val="Hyperlink"/>
          </w:rPr>
          <w:t xml:space="preserve">https://doi.org/10.3390/s18113995</w:t>
        </w:r>
      </w:hyperlink>
      <w:r>
        <w:t xml:space="preserve">.</w:t>
      </w:r>
    </w:p>
    <w:bookmarkEnd w:id="219"/>
    <w:bookmarkStart w:id="221"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220">
        <w:r>
          <w:rPr>
            <w:rStyle w:val="Hyperlink"/>
          </w:rPr>
          <w:t xml:space="preserve">https://doi.org/10.1109/HICSS.2000.926982</w:t>
        </w:r>
      </w:hyperlink>
      <w:r>
        <w:t xml:space="preserve">.</w:t>
      </w:r>
    </w:p>
    <w:bookmarkEnd w:id="221"/>
    <w:bookmarkStart w:id="223" w:name="ref-horvath2025assistedsharding"/>
    <w:p>
      <w:pPr>
        <w:pStyle w:val="Bibliography"/>
      </w:pPr>
      <w:r>
        <w:t xml:space="preserve">Horváth, Dr. Eva. 2025.</w:t>
      </w:r>
      <w:r>
        <w:t xml:space="preserve"> </w:t>
      </w:r>
      <w:r>
        <w:t xml:space="preserve">“AI-Assisted Sharding Techniques for Blockchain Scalability.”</w:t>
      </w:r>
      <w:r>
        <w:t xml:space="preserve"> </w:t>
      </w:r>
      <w:r>
        <w:rPr>
          <w:iCs/>
          <w:i/>
        </w:rPr>
        <w:t xml:space="preserve">Scientific Journal of Artificial Intelligence and Blockchain Technologies</w:t>
      </w:r>
      <w:r>
        <w:t xml:space="preserve">.</w:t>
      </w:r>
      <w:r>
        <w:t xml:space="preserve"> </w:t>
      </w:r>
      <w:hyperlink r:id="rId222">
        <w:r>
          <w:rPr>
            <w:rStyle w:val="Hyperlink"/>
          </w:rPr>
          <w:t xml:space="preserve">https://doi.org/10.63345/sjaibt.v2.i1.102</w:t>
        </w:r>
      </w:hyperlink>
      <w:r>
        <w:t xml:space="preserve">.</w:t>
      </w:r>
    </w:p>
    <w:bookmarkEnd w:id="223"/>
    <w:bookmarkStart w:id="224"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224"/>
    <w:bookmarkStart w:id="226"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225">
        <w:r>
          <w:rPr>
            <w:rStyle w:val="Hyperlink"/>
          </w:rPr>
          <w:t xml:space="preserve">https://doi.org/10.1109/ACCESS.2022.3208440</w:t>
        </w:r>
      </w:hyperlink>
      <w:r>
        <w:t xml:space="preserve">.</w:t>
      </w:r>
    </w:p>
    <w:bookmarkEnd w:id="226"/>
    <w:bookmarkStart w:id="228" w:name="ref-hurdson2026enhancingelectronic"/>
    <w:p>
      <w:pPr>
        <w:pStyle w:val="Bibliography"/>
      </w:pPr>
      <w:r>
        <w:t xml:space="preserve">Hurdson, Happyness, and Juliana Kamaghe. 2026.</w:t>
      </w:r>
      <w:r>
        <w:t xml:space="preserve"> </w:t>
      </w:r>
      <w:r>
        <w:t xml:space="preserve">“Enhancing Electronic Medical Records Privacy in Tanzania: A Blockchain-Based Framework.”</w:t>
      </w:r>
      <w:r>
        <w:t xml:space="preserve"> </w:t>
      </w:r>
      <w:r>
        <w:rPr>
          <w:iCs/>
          <w:i/>
        </w:rPr>
        <w:t xml:space="preserve">HURIA JOURNAL OF THE OPEN UNIVERSITY OF TANZANIA</w:t>
      </w:r>
      <w:r>
        <w:t xml:space="preserve">.</w:t>
      </w:r>
      <w:r>
        <w:t xml:space="preserve"> </w:t>
      </w:r>
      <w:hyperlink r:id="rId227">
        <w:r>
          <w:rPr>
            <w:rStyle w:val="Hyperlink"/>
          </w:rPr>
          <w:t xml:space="preserve">https://doi.org/10.61538/huria.v33i2.2111</w:t>
        </w:r>
      </w:hyperlink>
      <w:r>
        <w:t xml:space="preserve">.</w:t>
      </w:r>
    </w:p>
    <w:bookmarkEnd w:id="228"/>
    <w:bookmarkStart w:id="230" w:name="ref-hyperledger2022msp"/>
    <w:p>
      <w:pPr>
        <w:pStyle w:val="Bibliography"/>
      </w:pPr>
      <w:r>
        <w:t xml:space="preserve">Hyperledger Fabric Documentation. 2022.</w:t>
      </w:r>
      <w:r>
        <w:t xml:space="preserve"> </w:t>
      </w:r>
      <w:r>
        <w:t xml:space="preserve">“MSP Identity Validity Rules.”</w:t>
      </w:r>
      <w:r>
        <w:t xml:space="preserve"> </w:t>
      </w:r>
      <w:hyperlink r:id="rId229">
        <w:r>
          <w:rPr>
            <w:rStyle w:val="Hyperlink"/>
          </w:rPr>
          <w:t xml:space="preserve">https://hyperledger-fabric.readthedocs.io/en/release-2.2/msp-identity-validity-rules.html</w:t>
        </w:r>
      </w:hyperlink>
      <w:r>
        <w:t xml:space="preserve">.</w:t>
      </w:r>
    </w:p>
    <w:bookmarkEnd w:id="230"/>
    <w:bookmarkStart w:id="232"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231">
        <w:r>
          <w:rPr>
            <w:rStyle w:val="Hyperlink"/>
          </w:rPr>
          <w:t xml:space="preserve">https://doi.org/10.21273/HORTSCI15060-20</w:t>
        </w:r>
      </w:hyperlink>
      <w:r>
        <w:t xml:space="preserve">.</w:t>
      </w:r>
    </w:p>
    <w:bookmarkEnd w:id="232"/>
    <w:bookmarkStart w:id="234" w:name="ref-ibmFabric"/>
    <w:p>
      <w:pPr>
        <w:pStyle w:val="Bibliography"/>
      </w:pPr>
      <w:r>
        <w:t xml:space="preserve">IBM. 2023.</w:t>
      </w:r>
      <w:r>
        <w:t xml:space="preserve"> </w:t>
      </w:r>
      <w:r>
        <w:t xml:space="preserve">“Hyperledger Fabric Overview.”</w:t>
      </w:r>
      <w:r>
        <w:t xml:space="preserve"> </w:t>
      </w:r>
      <w:hyperlink r:id="rId233">
        <w:r>
          <w:rPr>
            <w:rStyle w:val="Hyperlink"/>
          </w:rPr>
          <w:t xml:space="preserve">https://www.ibm.com/docs/en/blockchain-platform</w:t>
        </w:r>
      </w:hyperlink>
      <w:r>
        <w:t xml:space="preserve">.</w:t>
      </w:r>
    </w:p>
    <w:bookmarkEnd w:id="234"/>
    <w:bookmarkStart w:id="236"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235">
        <w:r>
          <w:rPr>
            <w:rStyle w:val="Hyperlink"/>
          </w:rPr>
          <w:t xml:space="preserve">https://doi.org/10.1016/j.agwat.2015.03.014</w:t>
        </w:r>
      </w:hyperlink>
      <w:r>
        <w:t xml:space="preserve">.</w:t>
      </w:r>
    </w:p>
    <w:bookmarkEnd w:id="236"/>
    <w:bookmarkStart w:id="238"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237">
        <w:r>
          <w:rPr>
            <w:rStyle w:val="Hyperlink"/>
          </w:rPr>
          <w:t xml:space="preserve">https://doi.org/10.1007/s11269-006-9111-6</w:t>
        </w:r>
      </w:hyperlink>
      <w:r>
        <w:t xml:space="preserve">.</w:t>
      </w:r>
    </w:p>
    <w:bookmarkEnd w:id="238"/>
    <w:bookmarkStart w:id="240"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239">
        <w:r>
          <w:rPr>
            <w:rStyle w:val="Hyperlink"/>
          </w:rPr>
          <w:t xml:space="preserve">https://doi.org/10.3389/fbloc.2026.1766232</w:t>
        </w:r>
      </w:hyperlink>
      <w:r>
        <w:t xml:space="preserve">.</w:t>
      </w:r>
    </w:p>
    <w:bookmarkEnd w:id="240"/>
    <w:bookmarkStart w:id="242"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241">
        <w:r>
          <w:rPr>
            <w:rStyle w:val="Hyperlink"/>
          </w:rPr>
          <w:t xml:space="preserve">https://blog.csdn.net/Cris_Jay/article/details/147540172</w:t>
        </w:r>
      </w:hyperlink>
      <w:r>
        <w:t xml:space="preserve">.</w:t>
      </w:r>
    </w:p>
    <w:bookmarkEnd w:id="242"/>
    <w:bookmarkStart w:id="244" w:name="ref-jin2025productivity"/>
    <w:p>
      <w:pPr>
        <w:pStyle w:val="Bibliography"/>
      </w:pPr>
      <w:r>
        <w:t xml:space="preserve">Jin, Peng, Wenshuang Du, and Wenquan Jin. 2025.</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243">
        <w:r>
          <w:rPr>
            <w:rStyle w:val="Hyperlink"/>
          </w:rPr>
          <w:t xml:space="preserve">https://doi.org/10.1016/j.atech.2025.101242</w:t>
        </w:r>
      </w:hyperlink>
      <w:r>
        <w:t xml:space="preserve">.</w:t>
      </w:r>
    </w:p>
    <w:bookmarkEnd w:id="244"/>
    <w:bookmarkStart w:id="246"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245">
        <w:r>
          <w:rPr>
            <w:rStyle w:val="Hyperlink"/>
          </w:rPr>
          <w:t xml:space="preserve">https://doi.org/10.1109/ICDCECE65353.2025.11035330</w:t>
        </w:r>
      </w:hyperlink>
      <w:r>
        <w:t xml:space="preserve">.</w:t>
      </w:r>
    </w:p>
    <w:bookmarkEnd w:id="246"/>
    <w:bookmarkStart w:id="248"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47">
        <w:r>
          <w:rPr>
            <w:rStyle w:val="Hyperlink"/>
          </w:rPr>
          <w:t xml:space="preserve">https://doi.org/10.1016/j.psep.2018.05.009</w:t>
        </w:r>
      </w:hyperlink>
      <w:r>
        <w:t xml:space="preserve">.</w:t>
      </w:r>
    </w:p>
    <w:bookmarkEnd w:id="248"/>
    <w:bookmarkStart w:id="250"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49">
        <w:r>
          <w:rPr>
            <w:rStyle w:val="Hyperlink"/>
          </w:rPr>
          <w:t xml:space="preserve">https://doi.org/10.1016/j.tifs.2019.07.034</w:t>
        </w:r>
      </w:hyperlink>
      <w:r>
        <w:t xml:space="preserve">.</w:t>
      </w:r>
    </w:p>
    <w:bookmarkEnd w:id="250"/>
    <w:bookmarkStart w:id="251" w:name="ref-mediumChaincode"/>
    <w:p>
      <w:pPr>
        <w:pStyle w:val="Bibliography"/>
      </w:pPr>
      <w:r>
        <w:t xml:space="preserve">Kaur, Manpreet. 2020.</w:t>
      </w:r>
      <w:r>
        <w:t xml:space="preserve"> </w:t>
      </w:r>
      <w:r>
        <w:t xml:space="preserve">“Explained: Chaincode in Hyperledger Fabric.”</w:t>
      </w:r>
      <w:r>
        <w:t xml:space="preserve"> </w:t>
      </w:r>
      <w:r>
        <w:t xml:space="preserve">Medium.</w:t>
      </w:r>
    </w:p>
    <w:bookmarkEnd w:id="251"/>
    <w:bookmarkStart w:id="253"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52">
        <w:r>
          <w:rPr>
            <w:rStyle w:val="Hyperlink"/>
          </w:rPr>
          <w:t xml:space="preserve">https://doi.org/10.1145/1362542.1362545</w:t>
        </w:r>
      </w:hyperlink>
      <w:r>
        <w:t xml:space="preserve">.</w:t>
      </w:r>
    </w:p>
    <w:bookmarkEnd w:id="253"/>
    <w:bookmarkStart w:id="254"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54"/>
    <w:bookmarkStart w:id="256" w:name="ref-kormiltsyn2023privacyconflict"/>
    <w:p>
      <w:pPr>
        <w:pStyle w:val="Bibliography"/>
      </w:pPr>
      <w:r>
        <w:t xml:space="preserve">Kormiltsyn, Aleksandr, Vimal Dwivedi, Chibuzor Udokwu, and Alex Norta. 2023.</w:t>
      </w:r>
      <w:r>
        <w:t xml:space="preserve"> </w:t>
      </w:r>
      <w:r>
        <w:t xml:space="preserve">“Privacy-Conflict Resolution for Integrating Personal- and Electronic Health Records in Blockchain-Based Systems.”</w:t>
      </w:r>
      <w:r>
        <w:t xml:space="preserve"> </w:t>
      </w:r>
      <w:r>
        <w:rPr>
          <w:iCs/>
          <w:i/>
        </w:rPr>
        <w:t xml:space="preserve">Blockchain in Healthcare Today</w:t>
      </w:r>
      <w:r>
        <w:t xml:space="preserve">.</w:t>
      </w:r>
      <w:r>
        <w:t xml:space="preserve"> </w:t>
      </w:r>
      <w:hyperlink r:id="rId255">
        <w:r>
          <w:rPr>
            <w:rStyle w:val="Hyperlink"/>
          </w:rPr>
          <w:t xml:space="preserve">https://doi.org/10.30953/bhty.v6.276</w:t>
        </w:r>
      </w:hyperlink>
      <w:r>
        <w:t xml:space="preserve">.</w:t>
      </w:r>
    </w:p>
    <w:bookmarkEnd w:id="256"/>
    <w:bookmarkStart w:id="258" w:name="ref-krstic2020hyperledgerframeworks"/>
    <w:p>
      <w:pPr>
        <w:pStyle w:val="Bibliography"/>
      </w:pPr>
      <w:r>
        <w:t xml:space="preserve">Krstić, Marija, and Lazar Krstić. 2020.</w:t>
      </w:r>
      <w:r>
        <w:t xml:space="preserve"> </w:t>
      </w:r>
      <w:r>
        <w:t xml:space="preserve">“Hyperledger Frameworks with a Special Focus on Hyperledger Fabric.”</w:t>
      </w:r>
      <w:r>
        <w:t xml:space="preserve"> </w:t>
      </w:r>
      <w:r>
        <w:rPr>
          <w:iCs/>
          <w:i/>
        </w:rPr>
        <w:t xml:space="preserve">Vojnotehnicki Glasnik</w:t>
      </w:r>
      <w:r>
        <w:t xml:space="preserve">.</w:t>
      </w:r>
      <w:r>
        <w:t xml:space="preserve"> </w:t>
      </w:r>
      <w:hyperlink r:id="rId257">
        <w:r>
          <w:rPr>
            <w:rStyle w:val="Hyperlink"/>
          </w:rPr>
          <w:t xml:space="preserve">https://doi.org/10.5937/vojtehg68-26206</w:t>
        </w:r>
      </w:hyperlink>
      <w:r>
        <w:t xml:space="preserve">.</w:t>
      </w:r>
    </w:p>
    <w:bookmarkEnd w:id="258"/>
    <w:bookmarkStart w:id="260" w:name="ref-kumar2024collaborativenetworks"/>
    <w:p>
      <w:pPr>
        <w:pStyle w:val="Bibliography"/>
      </w:pPr>
      <w:r>
        <w:t xml:space="preserve">Kumar, Ajit, and Om Prakash Roy. 2024.</w:t>
      </w:r>
      <w:r>
        <w:t xml:space="preserve"> </w:t>
      </w:r>
      <w:r>
        <w:t xml:space="preserve">“Collaborative Networks: Integrating Blockchain for Enhanced Trust and Transparency.”</w:t>
      </w:r>
      <w:r>
        <w:t xml:space="preserve"> </w:t>
      </w:r>
      <w:r>
        <w:rPr>
          <w:iCs/>
          <w:i/>
        </w:rPr>
        <w:t xml:space="preserve">International Journal of Innovative Science and Research Technology (IJISRT)</w:t>
      </w:r>
      <w:r>
        <w:t xml:space="preserve">.</w:t>
      </w:r>
      <w:r>
        <w:t xml:space="preserve"> </w:t>
      </w:r>
      <w:hyperlink r:id="rId259">
        <w:r>
          <w:rPr>
            <w:rStyle w:val="Hyperlink"/>
          </w:rPr>
          <w:t xml:space="preserve">https://doi.org/10.38124/ijisrt/ijisrt24jul180</w:t>
        </w:r>
      </w:hyperlink>
      <w:r>
        <w:t xml:space="preserve">.</w:t>
      </w:r>
    </w:p>
    <w:bookmarkEnd w:id="260"/>
    <w:bookmarkStart w:id="262"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61">
        <w:r>
          <w:rPr>
            <w:rStyle w:val="Hyperlink"/>
          </w:rPr>
          <w:t xml:space="preserve">https://doi.org/10.1109/IOT.2025.11089136</w:t>
        </w:r>
      </w:hyperlink>
      <w:r>
        <w:t xml:space="preserve">.</w:t>
      </w:r>
    </w:p>
    <w:bookmarkEnd w:id="262"/>
    <w:bookmarkStart w:id="264" w:name="ref-kwadzode2025performancecomparison"/>
    <w:p>
      <w:pPr>
        <w:pStyle w:val="Bibliography"/>
      </w:pPr>
      <w:r>
        <w:t xml:space="preserve">Kwadzode, Dennis Deladem. 2025.</w:t>
      </w:r>
      <w:r>
        <w:t xml:space="preserve"> </w:t>
      </w:r>
      <w:r>
        <w:t xml:space="preserve">“Performance Comparison of Blockchain Platforms for Modeling Financial Transactions: A Case Study of Ethereum and Hyperledger Fabric.”</w:t>
      </w:r>
      <w:r>
        <w:t xml:space="preserve"> </w:t>
      </w:r>
      <w:r>
        <w:rPr>
          <w:iCs/>
          <w:i/>
        </w:rPr>
        <w:t xml:space="preserve">International Journal of Finance, Economics and Business</w:t>
      </w:r>
      <w:r>
        <w:t xml:space="preserve">.</w:t>
      </w:r>
      <w:r>
        <w:t xml:space="preserve"> </w:t>
      </w:r>
      <w:hyperlink r:id="rId263">
        <w:r>
          <w:rPr>
            <w:rStyle w:val="Hyperlink"/>
          </w:rPr>
          <w:t xml:space="preserve">https://doi.org/10.56225/ijfeb.v4i1.423</w:t>
        </w:r>
      </w:hyperlink>
      <w:r>
        <w:t xml:space="preserve">.</w:t>
      </w:r>
    </w:p>
    <w:bookmarkEnd w:id="264"/>
    <w:bookmarkStart w:id="266"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65">
        <w:r>
          <w:rPr>
            <w:rStyle w:val="Hyperlink"/>
          </w:rPr>
          <w:t xml:space="preserve">https://doi.org/10.1016/j.compind.2020.103187</w:t>
        </w:r>
      </w:hyperlink>
      <w:r>
        <w:t xml:space="preserve">.</w:t>
      </w:r>
    </w:p>
    <w:bookmarkEnd w:id="266"/>
    <w:bookmarkStart w:id="268"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67">
        <w:r>
          <w:rPr>
            <w:rStyle w:val="Hyperlink"/>
          </w:rPr>
          <w:t xml:space="preserve">https://doi.org/10.1016/j.jii.2018.01.005</w:t>
        </w:r>
      </w:hyperlink>
      <w:r>
        <w:t xml:space="preserve">.</w:t>
      </w:r>
    </w:p>
    <w:bookmarkEnd w:id="268"/>
    <w:bookmarkStart w:id="270"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69">
        <w:r>
          <w:rPr>
            <w:rStyle w:val="Hyperlink"/>
          </w:rPr>
          <w:t xml:space="preserve">https://doi.org/10.1109/JIOT.2020.2999323</w:t>
        </w:r>
      </w:hyperlink>
      <w:r>
        <w:t xml:space="preserve">.</w:t>
      </w:r>
    </w:p>
    <w:bookmarkEnd w:id="270"/>
    <w:bookmarkStart w:id="272"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71">
        <w:r>
          <w:rPr>
            <w:rStyle w:val="Hyperlink"/>
          </w:rPr>
          <w:t xml:space="preserve">https://doi.org/10.1145/3265689.3265692</w:t>
        </w:r>
      </w:hyperlink>
      <w:r>
        <w:t xml:space="preserve">.</w:t>
      </w:r>
    </w:p>
    <w:bookmarkEnd w:id="272"/>
    <w:bookmarkStart w:id="273"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71">
        <w:r>
          <w:rPr>
            <w:rStyle w:val="Hyperlink"/>
          </w:rPr>
          <w:t xml:space="preserve">https://doi.org/10.1145/3265689.3265692</w:t>
        </w:r>
      </w:hyperlink>
      <w:r>
        <w:t xml:space="preserve">.</w:t>
      </w:r>
    </w:p>
    <w:bookmarkEnd w:id="273"/>
    <w:bookmarkStart w:id="275" w:name="ref-sadath2024scalabilityperformance"/>
    <w:p>
      <w:pPr>
        <w:pStyle w:val="Bibliography"/>
      </w:pPr>
      <w:r>
        <w:t xml:space="preserve">Lipsa Sadath, MCA, MSc, Deepti Mehrotra, and Anand Kumar. 2024.</w:t>
      </w:r>
      <w:r>
        <w:t xml:space="preserve"> </w:t>
      </w:r>
      <w:r>
        <w:t xml:space="preserve">“Scalability Performance Analysis of Blockchain Using Hierarchical Model in Healthcare.”</w:t>
      </w:r>
      <w:r>
        <w:t xml:space="preserve"> </w:t>
      </w:r>
      <w:r>
        <w:rPr>
          <w:iCs/>
          <w:i/>
        </w:rPr>
        <w:t xml:space="preserve">Blockchain in Healthcare Today</w:t>
      </w:r>
      <w:r>
        <w:t xml:space="preserve">.</w:t>
      </w:r>
      <w:r>
        <w:t xml:space="preserve"> </w:t>
      </w:r>
      <w:hyperlink r:id="rId274">
        <w:r>
          <w:rPr>
            <w:rStyle w:val="Hyperlink"/>
          </w:rPr>
          <w:t xml:space="preserve">https://doi.org/10.30953/bhty.v7.295</w:t>
        </w:r>
      </w:hyperlink>
      <w:r>
        <w:t xml:space="preserve">.</w:t>
      </w:r>
    </w:p>
    <w:bookmarkEnd w:id="275"/>
    <w:bookmarkStart w:id="277"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76">
        <w:r>
          <w:rPr>
            <w:rStyle w:val="Hyperlink"/>
          </w:rPr>
          <w:t xml:space="preserve">https://doi.org/10.1109/MNET.2019.1800254</w:t>
        </w:r>
      </w:hyperlink>
      <w:r>
        <w:t xml:space="preserve">.</w:t>
      </w:r>
    </w:p>
    <w:bookmarkEnd w:id="277"/>
    <w:bookmarkStart w:id="279"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78">
        <w:r>
          <w:rPr>
            <w:rStyle w:val="Hyperlink"/>
          </w:rPr>
          <w:t xml:space="preserve">https://doi.org/10.1109/Blockchain55522.2022.00055</w:t>
        </w:r>
      </w:hyperlink>
      <w:r>
        <w:t xml:space="preserve">.</w:t>
      </w:r>
    </w:p>
    <w:bookmarkEnd w:id="279"/>
    <w:bookmarkStart w:id="281" w:name="ref-luo2023researchapplication"/>
    <w:p>
      <w:pPr>
        <w:pStyle w:val="Bibliography"/>
      </w:pPr>
      <w:r>
        <w:t xml:space="preserve">Luo, Qinnan. 2023.</w:t>
      </w:r>
      <w:r>
        <w:t xml:space="preserve"> </w:t>
      </w:r>
      <w:r>
        <w:t xml:space="preserve">“Research and Application of Chinese Remainder Theorem.”</w:t>
      </w:r>
      <w:r>
        <w:t xml:space="preserve"> </w:t>
      </w:r>
      <w:r>
        <w:rPr>
          <w:iCs/>
          <w:i/>
        </w:rPr>
        <w:t xml:space="preserve">Theoretical and Natural Science</w:t>
      </w:r>
      <w:r>
        <w:t xml:space="preserve">.</w:t>
      </w:r>
      <w:r>
        <w:t xml:space="preserve"> </w:t>
      </w:r>
      <w:hyperlink r:id="rId280">
        <w:r>
          <w:rPr>
            <w:rStyle w:val="Hyperlink"/>
          </w:rPr>
          <w:t xml:space="preserve">https://doi.org/10.54254/2753-8818/9/20240711</w:t>
        </w:r>
      </w:hyperlink>
      <w:r>
        <w:t xml:space="preserve">.</w:t>
      </w:r>
    </w:p>
    <w:bookmarkEnd w:id="281"/>
    <w:bookmarkStart w:id="283" w:name="ref-maiwada2025blockchainscalability"/>
    <w:p>
      <w:pPr>
        <w:pStyle w:val="Bibliography"/>
      </w:pPr>
      <w:r>
        <w:t xml:space="preserve">Maiwada, Umar Danjuma. 2025.</w:t>
      </w:r>
      <w:r>
        <w:t xml:space="preserve"> </w:t>
      </w:r>
      <w:r>
        <w:t xml:space="preserve">“Blockchain Scalability Analysis and Improvement of Bitcoin Network Through Enhanced Transaction Adjournment Techniques.”</w:t>
      </w:r>
      <w:r>
        <w:t xml:space="preserve"> </w:t>
      </w:r>
      <w:r>
        <w:rPr>
          <w:iCs/>
          <w:i/>
        </w:rPr>
        <w:t xml:space="preserve">Wasit Journal of Computer and Mathematics Science</w:t>
      </w:r>
      <w:r>
        <w:t xml:space="preserve">.</w:t>
      </w:r>
      <w:r>
        <w:t xml:space="preserve"> </w:t>
      </w:r>
      <w:hyperlink r:id="rId282">
        <w:r>
          <w:rPr>
            <w:rStyle w:val="Hyperlink"/>
          </w:rPr>
          <w:t xml:space="preserve">https://doi.org/10.31185/wjcms.298</w:t>
        </w:r>
      </w:hyperlink>
      <w:r>
        <w:t xml:space="preserve">.</w:t>
      </w:r>
    </w:p>
    <w:bookmarkEnd w:id="283"/>
    <w:bookmarkStart w:id="285" w:name="ref-maiwada2024techniquesimprove"/>
    <w:p>
      <w:pPr>
        <w:pStyle w:val="Bibliography"/>
      </w:pPr>
      <w:r>
        <w:t xml:space="preserve">Maiwada, Umar Danjuma, Muhammad Muntassir Yakubu, Abubakar Danjuma Maiwada, Jameel Shehu Yalli, and Izaddeen Kabir Yakasai. 2024.</w:t>
      </w:r>
      <w:r>
        <w:t xml:space="preserve"> </w:t>
      </w:r>
      <w:r>
        <w:t xml:space="preserve">“Techniques to Improve 5G Blockchain Scalability Issues Through an Analysis of a Blockchain Scalability.”</w:t>
      </w:r>
      <w:r>
        <w:t xml:space="preserve"> </w:t>
      </w:r>
      <w:r>
        <w:rPr>
          <w:iCs/>
          <w:i/>
        </w:rPr>
        <w:t xml:space="preserve">International Journal of Data Informatics and Intelligent Computing</w:t>
      </w:r>
      <w:r>
        <w:t xml:space="preserve">.</w:t>
      </w:r>
      <w:r>
        <w:t xml:space="preserve"> </w:t>
      </w:r>
      <w:hyperlink r:id="rId284">
        <w:r>
          <w:rPr>
            <w:rStyle w:val="Hyperlink"/>
          </w:rPr>
          <w:t xml:space="preserve">https://doi.org/10.59461/ijdiic.v3i4.134</w:t>
        </w:r>
      </w:hyperlink>
      <w:r>
        <w:t xml:space="preserve">.</w:t>
      </w:r>
    </w:p>
    <w:bookmarkEnd w:id="285"/>
    <w:bookmarkStart w:id="287"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86">
        <w:r>
          <w:rPr>
            <w:rStyle w:val="Hyperlink"/>
          </w:rPr>
          <w:t xml:space="preserve">https://doi.org/10.3390/su10093149</w:t>
        </w:r>
      </w:hyperlink>
      <w:r>
        <w:t xml:space="preserve">.</w:t>
      </w:r>
    </w:p>
    <w:bookmarkEnd w:id="287"/>
    <w:bookmarkStart w:id="289"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88">
        <w:r>
          <w:rPr>
            <w:rStyle w:val="Hyperlink"/>
          </w:rPr>
          <w:t xml:space="preserve">https://doi.org/10.1109/LCOMM.2008.080300</w:t>
        </w:r>
      </w:hyperlink>
      <w:r>
        <w:t xml:space="preserve">.</w:t>
      </w:r>
    </w:p>
    <w:bookmarkEnd w:id="289"/>
    <w:bookmarkStart w:id="291"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90">
        <w:r>
          <w:rPr>
            <w:rStyle w:val="Hyperlink"/>
          </w:rPr>
          <w:t xml:space="preserve">https://doi.org/10.1093/comjnl/bxp118</w:t>
        </w:r>
      </w:hyperlink>
      <w:r>
        <w:t xml:space="preserve">.</w:t>
      </w:r>
    </w:p>
    <w:bookmarkEnd w:id="291"/>
    <w:bookmarkStart w:id="293"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92">
        <w:r>
          <w:rPr>
            <w:rStyle w:val="Hyperlink"/>
          </w:rPr>
          <w:t xml:space="preserve">https://doi.org/10.1007/s11119-005-0681-8</w:t>
        </w:r>
      </w:hyperlink>
      <w:r>
        <w:t xml:space="preserve">.</w:t>
      </w:r>
    </w:p>
    <w:bookmarkEnd w:id="293"/>
    <w:bookmarkStart w:id="295" w:name="ref-melo2024unlockingblockchain"/>
    <w:p>
      <w:pPr>
        <w:pStyle w:val="Bibliography"/>
      </w:pPr>
      <w:r>
        <w:t xml:space="preserve">Melo, David, Saúl Eduardo Pomares-Hernández, Lil María Xibai Rodríguez-Henríquez, and Julio César Pérez-Sansalvador. 2024.</w:t>
      </w:r>
      <w:r>
        <w:t xml:space="preserve"> </w:t>
      </w:r>
      <w:r>
        <w:t xml:space="preserve">“Unlocking Blockchain UTXO Transactional Patterns and Their Effect on Storage and Throughput Trade-Offs.”</w:t>
      </w:r>
      <w:r>
        <w:t xml:space="preserve"> </w:t>
      </w:r>
      <w:r>
        <w:rPr>
          <w:iCs/>
          <w:i/>
        </w:rPr>
        <w:t xml:space="preserve">Computers</w:t>
      </w:r>
      <w:r>
        <w:t xml:space="preserve">.</w:t>
      </w:r>
      <w:r>
        <w:t xml:space="preserve"> </w:t>
      </w:r>
      <w:hyperlink r:id="rId294">
        <w:r>
          <w:rPr>
            <w:rStyle w:val="Hyperlink"/>
          </w:rPr>
          <w:t xml:space="preserve">https://doi.org/10.3390/computers13060146</w:t>
        </w:r>
      </w:hyperlink>
      <w:r>
        <w:t xml:space="preserve">.</w:t>
      </w:r>
    </w:p>
    <w:bookmarkEnd w:id="295"/>
    <w:bookmarkStart w:id="297"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96">
        <w:r>
          <w:rPr>
            <w:rStyle w:val="Hyperlink"/>
          </w:rPr>
          <w:t xml:space="preserve">https://doi.org/10.1007/3-540-48184-2_32</w:t>
        </w:r>
      </w:hyperlink>
      <w:r>
        <w:t xml:space="preserve">.</w:t>
      </w:r>
    </w:p>
    <w:bookmarkEnd w:id="297"/>
    <w:bookmarkStart w:id="299"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98">
        <w:r>
          <w:rPr>
            <w:rStyle w:val="Hyperlink"/>
          </w:rPr>
          <w:t xml:space="preserve">https://doi.org/10.3389/fpls.2016.01419</w:t>
        </w:r>
      </w:hyperlink>
      <w:r>
        <w:t xml:space="preserve">.</w:t>
      </w:r>
    </w:p>
    <w:bookmarkEnd w:id="299"/>
    <w:bookmarkStart w:id="301"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300">
        <w:r>
          <w:rPr>
            <w:rStyle w:val="Hyperlink"/>
          </w:rPr>
          <w:t xml:space="preserve">https://doi.org/10.3390/s21237964</w:t>
        </w:r>
      </w:hyperlink>
      <w:r>
        <w:t xml:space="preserve">.</w:t>
      </w:r>
    </w:p>
    <w:bookmarkEnd w:id="301"/>
    <w:bookmarkStart w:id="302"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302"/>
    <w:bookmarkStart w:id="304" w:name="ref-oktaviansyah2025hybridizinghensel"/>
    <w:p>
      <w:pPr>
        <w:pStyle w:val="Bibliography"/>
      </w:pPr>
      <w:r>
        <w:t xml:space="preserve">Oktaviansyah, Eka, Edi Kurniadi, and Dianne Amor Kusuma. 2025.</w:t>
      </w:r>
      <w:r>
        <w:t xml:space="preserve"> </w:t>
      </w:r>
      <w:r>
        <w:t xml:space="preserve">“HYBRIDIZING HENSEL’s LEMMA, FUNDAMENTAL THEOREM OF ARITHMETIC, AND CHINESE REMAINDER THEOREM FOR SOLVING POLYNOMIAL CONGRUENCES.”</w:t>
      </w:r>
      <w:r>
        <w:t xml:space="preserve"> </w:t>
      </w:r>
      <w:r>
        <w:rPr>
          <w:iCs/>
          <w:i/>
        </w:rPr>
        <w:t xml:space="preserve">BAREKENG: Jurnal Ilmu Matematika Dan Terapan</w:t>
      </w:r>
      <w:r>
        <w:t xml:space="preserve">.</w:t>
      </w:r>
      <w:r>
        <w:t xml:space="preserve"> </w:t>
      </w:r>
      <w:hyperlink r:id="rId303">
        <w:r>
          <w:rPr>
            <w:rStyle w:val="Hyperlink"/>
          </w:rPr>
          <w:t xml:space="preserve">https://doi.org/10.30598/barekengvol20iss1pp0853-0864</w:t>
        </w:r>
      </w:hyperlink>
      <w:r>
        <w:t xml:space="preserve">.</w:t>
      </w:r>
    </w:p>
    <w:bookmarkEnd w:id="304"/>
    <w:bookmarkStart w:id="305"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305"/>
    <w:bookmarkStart w:id="307"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306">
        <w:r>
          <w:rPr>
            <w:rStyle w:val="Hyperlink"/>
          </w:rPr>
          <w:t xml:space="preserve">https://doi.org/10.3390/s22134868</w:t>
        </w:r>
      </w:hyperlink>
      <w:r>
        <w:t xml:space="preserve">.</w:t>
      </w:r>
    </w:p>
    <w:bookmarkEnd w:id="307"/>
    <w:bookmarkStart w:id="308"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308"/>
    <w:bookmarkStart w:id="310"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309">
        <w:r>
          <w:rPr>
            <w:rStyle w:val="Hyperlink"/>
          </w:rPr>
          <w:t xml:space="preserve">https://doi.org/10.1016/j.agwat.2009.08.021</w:t>
        </w:r>
      </w:hyperlink>
      <w:r>
        <w:t xml:space="preserve">.</w:t>
      </w:r>
    </w:p>
    <w:bookmarkEnd w:id="310"/>
    <w:bookmarkStart w:id="312" w:name="ref-patel2023blockchainlayer"/>
    <w:p>
      <w:pPr>
        <w:pStyle w:val="Bibliography"/>
      </w:pPr>
      <w:r>
        <w:t xml:space="preserve">Patel, Ohm. 2023.</w:t>
      </w:r>
      <w:r>
        <w:t xml:space="preserve"> </w:t>
      </w:r>
      <w:r>
        <w:t xml:space="preserve">“Blockchain Layer 2 Rollups, Optimistic Vs Zero Knowledge.”</w:t>
      </w:r>
      <w:r>
        <w:t xml:space="preserve"> </w:t>
      </w:r>
      <w:r>
        <w:rPr>
          <w:iCs/>
          <w:i/>
        </w:rPr>
        <w:t xml:space="preserve">INTERNATIONAL JOURNAL OF ADVANCED RESEARCH IN ENGINEERING AND TECHNOLOGY</w:t>
      </w:r>
      <w:r>
        <w:t xml:space="preserve">.</w:t>
      </w:r>
      <w:r>
        <w:t xml:space="preserve"> </w:t>
      </w:r>
      <w:hyperlink r:id="rId311">
        <w:r>
          <w:rPr>
            <w:rStyle w:val="Hyperlink"/>
          </w:rPr>
          <w:t xml:space="preserve">https://doi.org/10.34218/ijaret.14.2.002</w:t>
        </w:r>
      </w:hyperlink>
      <w:r>
        <w:t xml:space="preserve">.</w:t>
      </w:r>
    </w:p>
    <w:bookmarkEnd w:id="312"/>
    <w:bookmarkStart w:id="314"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313">
        <w:r>
          <w:rPr>
            <w:rStyle w:val="Hyperlink"/>
          </w:rPr>
          <w:t xml:space="preserve">https://doi.org/10.1109/ACCESS.2022.3142563</w:t>
        </w:r>
      </w:hyperlink>
      <w:r>
        <w:t xml:space="preserve">.</w:t>
      </w:r>
    </w:p>
    <w:bookmarkEnd w:id="314"/>
    <w:bookmarkStart w:id="316" w:name="ref-pebriyanti2025evaluationscalability"/>
    <w:p>
      <w:pPr>
        <w:pStyle w:val="Bibliography"/>
      </w:pPr>
      <w:r>
        <w:t xml:space="preserve">Pebriyanti, Cahyani, and Galura Muhammad Suranegara. 2025.</w:t>
      </w:r>
      <w:r>
        <w:t xml:space="preserve"> </w:t>
      </w:r>
      <w:r>
        <w:t xml:space="preserve">“Evaluation of Scalability and Resilience of Hyperledger Fabric in Blockchain Implementation for Diploma Management.”</w:t>
      </w:r>
      <w:r>
        <w:t xml:space="preserve"> </w:t>
      </w:r>
      <w:r>
        <w:rPr>
          <w:iCs/>
          <w:i/>
        </w:rPr>
        <w:t xml:space="preserve">Journal of Applied Informatics and Computing</w:t>
      </w:r>
      <w:r>
        <w:t xml:space="preserve">.</w:t>
      </w:r>
      <w:r>
        <w:t xml:space="preserve"> </w:t>
      </w:r>
      <w:hyperlink r:id="rId315">
        <w:r>
          <w:rPr>
            <w:rStyle w:val="Hyperlink"/>
          </w:rPr>
          <w:t xml:space="preserve">https://doi.org/10.30871/jaic.v9i3.9262</w:t>
        </w:r>
      </w:hyperlink>
      <w:r>
        <w:t xml:space="preserve">.</w:t>
      </w:r>
    </w:p>
    <w:bookmarkEnd w:id="316"/>
    <w:bookmarkStart w:id="318"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317">
        <w:r>
          <w:rPr>
            <w:rStyle w:val="Hyperlink"/>
          </w:rPr>
          <w:t xml:space="preserve">https://doi.org/10.1016/S0378-3774(02)00075-6</w:t>
        </w:r>
      </w:hyperlink>
      <w:r>
        <w:t xml:space="preserve">.</w:t>
      </w:r>
    </w:p>
    <w:bookmarkEnd w:id="318"/>
    <w:bookmarkStart w:id="320"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319">
        <w:r>
          <w:rPr>
            <w:rStyle w:val="Hyperlink"/>
          </w:rPr>
          <w:t xml:space="preserve">https://doi.org/10.1016/S0065-2113(08)60513-1</w:t>
        </w:r>
      </w:hyperlink>
      <w:r>
        <w:t xml:space="preserve">.</w:t>
      </w:r>
    </w:p>
    <w:bookmarkEnd w:id="320"/>
    <w:bookmarkStart w:id="321"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321"/>
    <w:bookmarkStart w:id="323"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322">
        <w:r>
          <w:rPr>
            <w:rStyle w:val="Hyperlink"/>
          </w:rPr>
          <w:t xml:space="preserve">https://doi.org/10.1109/ISCAS.1994.408967</w:t>
        </w:r>
      </w:hyperlink>
      <w:r>
        <w:t xml:space="preserve">.</w:t>
      </w:r>
    </w:p>
    <w:bookmarkEnd w:id="323"/>
    <w:bookmarkStart w:id="325"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324">
        <w:r>
          <w:rPr>
            <w:rStyle w:val="Hyperlink"/>
          </w:rPr>
          <w:t xml:space="preserve">https://doi.org/10.1145/1394127.1394128</w:t>
        </w:r>
      </w:hyperlink>
      <w:r>
        <w:t xml:space="preserve">.</w:t>
      </w:r>
    </w:p>
    <w:bookmarkEnd w:id="325"/>
    <w:bookmarkStart w:id="327"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326">
        <w:r>
          <w:rPr>
            <w:rStyle w:val="Hyperlink"/>
          </w:rPr>
          <w:t xml:space="preserve">https://doi.org/10.1109/ACCESS.2022.3146851</w:t>
        </w:r>
      </w:hyperlink>
      <w:r>
        <w:t xml:space="preserve">.</w:t>
      </w:r>
    </w:p>
    <w:bookmarkEnd w:id="327"/>
    <w:bookmarkStart w:id="328"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328"/>
    <w:bookmarkStart w:id="330" w:name="ref-rajput2019eacmsemergency"/>
    <w:p>
      <w:pPr>
        <w:pStyle w:val="Bibliography"/>
      </w:pPr>
      <w:r>
        <w:t xml:space="preserve">Rajput, Ahmed Raza, Qianmu Li, Milad Taleby Ahvanooey, and Isma Masood. 2019.</w:t>
      </w:r>
      <w:r>
        <w:t xml:space="preserve"> </w:t>
      </w:r>
      <w:r>
        <w:t xml:space="preserve">“EACMS: Emergency Access Control Management System for Personal Health Record Based on Blockchain.”</w:t>
      </w:r>
      <w:r>
        <w:t xml:space="preserve"> </w:t>
      </w:r>
      <w:r>
        <w:rPr>
          <w:iCs/>
          <w:i/>
        </w:rPr>
        <w:t xml:space="preserve">IEEE Access</w:t>
      </w:r>
      <w:r>
        <w:t xml:space="preserve">.</w:t>
      </w:r>
      <w:r>
        <w:t xml:space="preserve"> </w:t>
      </w:r>
      <w:hyperlink r:id="rId329">
        <w:r>
          <w:rPr>
            <w:rStyle w:val="Hyperlink"/>
          </w:rPr>
          <w:t xml:space="preserve">https://doi.org/10.1109/access.2019.2917976</w:t>
        </w:r>
      </w:hyperlink>
      <w:r>
        <w:t xml:space="preserve">.</w:t>
      </w:r>
    </w:p>
    <w:bookmarkEnd w:id="330"/>
    <w:bookmarkStart w:id="332"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331">
        <w:r>
          <w:rPr>
            <w:rStyle w:val="Hyperlink"/>
          </w:rPr>
          <w:t xml:space="preserve">https://doi.org/10.1016/j.matpr.2021.06.253</w:t>
        </w:r>
      </w:hyperlink>
      <w:r>
        <w:t xml:space="preserve">.</w:t>
      </w:r>
    </w:p>
    <w:bookmarkEnd w:id="332"/>
    <w:bookmarkStart w:id="334"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333">
        <w:r>
          <w:rPr>
            <w:rStyle w:val="Hyperlink"/>
          </w:rPr>
          <w:t xml:space="preserve">https://doi.org/10.3389/frcmn.2025.1587402</w:t>
        </w:r>
      </w:hyperlink>
      <w:r>
        <w:t xml:space="preserve">.</w:t>
      </w:r>
    </w:p>
    <w:bookmarkEnd w:id="334"/>
    <w:bookmarkStart w:id="336"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335">
        <w:r>
          <w:rPr>
            <w:rStyle w:val="Hyperlink"/>
          </w:rPr>
          <w:t xml:space="preserve">https://doi.org/10.1016/j.future.2018.05.046</w:t>
        </w:r>
      </w:hyperlink>
      <w:r>
        <w:t xml:space="preserve">.</w:t>
      </w:r>
    </w:p>
    <w:bookmarkEnd w:id="336"/>
    <w:bookmarkStart w:id="338"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337">
        <w:r>
          <w:rPr>
            <w:rStyle w:val="Hyperlink"/>
          </w:rPr>
          <w:t xml:space="preserve">https://doi.org/10.3390/agriculture14071120</w:t>
        </w:r>
      </w:hyperlink>
      <w:r>
        <w:t xml:space="preserve">.</w:t>
      </w:r>
    </w:p>
    <w:bookmarkEnd w:id="338"/>
    <w:bookmarkStart w:id="340" w:name="ref-sahu2024exploringsecurity"/>
    <w:p>
      <w:pPr>
        <w:pStyle w:val="Bibliography"/>
      </w:pPr>
      <w:r>
        <w:t xml:space="preserve">Sahu, Swastik Kumar, and Kaushik Mazumdar. 2024.</w:t>
      </w:r>
      <w:r>
        <w:t xml:space="preserve"> </w:t>
      </w:r>
      <w:r>
        <w:t xml:space="preserve">“Exploring Security Threats and Solutions Techniques for Internet of Things (IoT): From Vulnerabilities to Vigilance.”</w:t>
      </w:r>
      <w:r>
        <w:t xml:space="preserve"> </w:t>
      </w:r>
      <w:r>
        <w:rPr>
          <w:iCs/>
          <w:i/>
        </w:rPr>
        <w:t xml:space="preserve">Frontiers in Artificial Intelligence</w:t>
      </w:r>
      <w:r>
        <w:t xml:space="preserve">.</w:t>
      </w:r>
      <w:r>
        <w:t xml:space="preserve"> </w:t>
      </w:r>
      <w:hyperlink r:id="rId339">
        <w:r>
          <w:rPr>
            <w:rStyle w:val="Hyperlink"/>
          </w:rPr>
          <w:t xml:space="preserve">https://doi.org/10.3389/frai.2024.1397480</w:t>
        </w:r>
      </w:hyperlink>
      <w:r>
        <w:t xml:space="preserve">.</w:t>
      </w:r>
    </w:p>
    <w:bookmarkEnd w:id="340"/>
    <w:bookmarkStart w:id="342" w:name="ref-salah2019blockchain"/>
    <w:p>
      <w:pPr>
        <w:pStyle w:val="Bibliography"/>
      </w:pPr>
      <w:r>
        <w:t xml:space="preserve">Salah, Khaled, Nishara Nizamuddin, Raja Jayaraman, and Mohammed Omar. 2019.</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341">
        <w:r>
          <w:rPr>
            <w:rStyle w:val="Hyperlink"/>
          </w:rPr>
          <w:t xml:space="preserve">https://doi.org/10.1109/ACCESS.2019.2918000</w:t>
        </w:r>
      </w:hyperlink>
      <w:r>
        <w:t xml:space="preserve">.</w:t>
      </w:r>
    </w:p>
    <w:bookmarkEnd w:id="342"/>
    <w:bookmarkStart w:id="343"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343"/>
    <w:bookmarkStart w:id="345"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344">
        <w:r>
          <w:rPr>
            <w:rStyle w:val="Hyperlink"/>
          </w:rPr>
          <w:t xml:space="preserve">https://doi.org/10.3390/s21041209</w:t>
        </w:r>
      </w:hyperlink>
      <w:r>
        <w:t xml:space="preserve">.</w:t>
      </w:r>
    </w:p>
    <w:bookmarkEnd w:id="345"/>
    <w:bookmarkStart w:id="347" w:name="ref-seethalakshmi2023chineseremainder"/>
    <w:p>
      <w:pPr>
        <w:pStyle w:val="Bibliography"/>
      </w:pPr>
      <w:r>
        <w:t xml:space="preserve">Seethalakshmi, Kayanattath, and Steven Spallone. 2023.</w:t>
      </w:r>
      <w:r>
        <w:t xml:space="preserve"> </w:t>
      </w:r>
      <w:r>
        <w:t xml:space="preserve">“A Chinese Remainder Theorem for Partitions.”</w:t>
      </w:r>
      <w:r>
        <w:t xml:space="preserve"> </w:t>
      </w:r>
      <w:r>
        <w:rPr>
          <w:iCs/>
          <w:i/>
        </w:rPr>
        <w:t xml:space="preserve">The Ramanujan Journal</w:t>
      </w:r>
      <w:r>
        <w:t xml:space="preserve">.</w:t>
      </w:r>
      <w:r>
        <w:t xml:space="preserve"> </w:t>
      </w:r>
      <w:hyperlink r:id="rId346">
        <w:r>
          <w:rPr>
            <w:rStyle w:val="Hyperlink"/>
          </w:rPr>
          <w:t xml:space="preserve">https://doi.org/10.1007/s11139-023-00699-0</w:t>
        </w:r>
      </w:hyperlink>
      <w:r>
        <w:t xml:space="preserve">.</w:t>
      </w:r>
    </w:p>
    <w:bookmarkEnd w:id="347"/>
    <w:bookmarkStart w:id="348" w:name="ref-semtech2015lorawan"/>
    <w:p>
      <w:pPr>
        <w:pStyle w:val="Bibliography"/>
      </w:pPr>
      <w:r>
        <w:t xml:space="preserve">Semtech Corporation. 2015.</w:t>
      </w:r>
      <w:r>
        <w:t xml:space="preserve"> </w:t>
      </w:r>
      <w:r>
        <w:rPr>
          <w:iCs/>
          <w:i/>
        </w:rPr>
        <w:t xml:space="preserve">LoRa Modem Designer’s Guide</w:t>
      </w:r>
      <w:r>
        <w:t xml:space="preserve">.</w:t>
      </w:r>
    </w:p>
    <w:bookmarkEnd w:id="348"/>
    <w:bookmarkStart w:id="350"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349">
        <w:r>
          <w:rPr>
            <w:rStyle w:val="Hyperlink"/>
          </w:rPr>
          <w:t xml:space="preserve">https://doi.org/10.1016/j.agwat.2005.04.008</w:t>
        </w:r>
      </w:hyperlink>
      <w:r>
        <w:t xml:space="preserve">.</w:t>
      </w:r>
    </w:p>
    <w:bookmarkEnd w:id="350"/>
    <w:bookmarkStart w:id="352"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351">
        <w:r>
          <w:rPr>
            <w:rStyle w:val="Hyperlink"/>
          </w:rPr>
          <w:t xml:space="preserve">https://doi.org/10.3745/JIPS.04.0022</w:t>
        </w:r>
      </w:hyperlink>
      <w:r>
        <w:t xml:space="preserve">.</w:t>
      </w:r>
    </w:p>
    <w:bookmarkEnd w:id="352"/>
    <w:bookmarkStart w:id="354"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353">
        <w:r>
          <w:rPr>
            <w:rStyle w:val="Hyperlink"/>
          </w:rPr>
          <w:t xml:space="preserve">https://doi.org/10.1109/JIOT.2020.2977767</w:t>
        </w:r>
      </w:hyperlink>
      <w:r>
        <w:t xml:space="preserve">.</w:t>
      </w:r>
    </w:p>
    <w:bookmarkEnd w:id="354"/>
    <w:bookmarkStart w:id="355"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355"/>
    <w:bookmarkStart w:id="357"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356">
        <w:r>
          <w:rPr>
            <w:rStyle w:val="Hyperlink"/>
          </w:rPr>
          <w:t xml:space="preserve">https://doi.org/10.21273/HORTTECH.16.2.0283</w:t>
        </w:r>
      </w:hyperlink>
      <w:r>
        <w:t xml:space="preserve">.</w:t>
      </w:r>
    </w:p>
    <w:bookmarkEnd w:id="357"/>
    <w:bookmarkStart w:id="359" w:name="ref-soussi2024smartsensors"/>
    <w:p>
      <w:pPr>
        <w:pStyle w:val="Bibliography"/>
      </w:pPr>
      <w:r>
        <w:t xml:space="preserve">Soussi, Abdellatif, Enrico Zero, Roberto Sacile, Daniele Trinchero, and Marco Fossa. 2024.</w:t>
      </w:r>
      <w:r>
        <w:t xml:space="preserve"> </w:t>
      </w:r>
      <w:r>
        <w:t xml:space="preserve">“Smart Sensors and Smart Data for Precision Agriculture: A Review.”</w:t>
      </w:r>
      <w:r>
        <w:t xml:space="preserve"> </w:t>
      </w:r>
      <w:r>
        <w:rPr>
          <w:iCs/>
          <w:i/>
        </w:rPr>
        <w:t xml:space="preserve">Sensors</w:t>
      </w:r>
      <w:r>
        <w:t xml:space="preserve">.</w:t>
      </w:r>
      <w:r>
        <w:t xml:space="preserve"> </w:t>
      </w:r>
      <w:hyperlink r:id="rId358">
        <w:r>
          <w:rPr>
            <w:rStyle w:val="Hyperlink"/>
          </w:rPr>
          <w:t xml:space="preserve">https://doi.org/10.3390/s24082647</w:t>
        </w:r>
      </w:hyperlink>
      <w:r>
        <w:t xml:space="preserve">.</w:t>
      </w:r>
    </w:p>
    <w:bookmarkEnd w:id="359"/>
    <w:bookmarkStart w:id="361"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360">
        <w:r>
          <w:rPr>
            <w:rStyle w:val="Hyperlink"/>
          </w:rPr>
          <w:t xml:space="preserve">https://doi.org/10.1109/SRDS.2017.36</w:t>
        </w:r>
      </w:hyperlink>
      <w:r>
        <w:t xml:space="preserve">.</w:t>
      </w:r>
    </w:p>
    <w:bookmarkEnd w:id="361"/>
    <w:bookmarkStart w:id="363" w:name="ref-tang2024feasibility"/>
    <w:p>
      <w:pPr>
        <w:pStyle w:val="Bibliography"/>
      </w:pPr>
      <w:r>
        <w:t xml:space="preserve">Tang, Andrews, Eric Tutu Tchao, Andrew Selasi Agbemenu, Eliel Keelson, Griffith Selorm Klogo, and Jerry John Kponyo. 2024.</w:t>
      </w:r>
      <w:r>
        <w:t xml:space="preserve"> </w:t>
      </w:r>
      <w:r>
        <w:t xml:space="preserve">“Assessing Blockchain and</w:t>
      </w:r>
      <w:r>
        <w:t xml:space="preserve"> </w:t>
      </w:r>
      <w:r>
        <w:t xml:space="preserve">IoT</w:t>
      </w:r>
      <w:r>
        <w:t xml:space="preserve"> </w:t>
      </w:r>
      <w:r>
        <w:t xml:space="preserve">Technologies for Agricultural Food Supply Chains in</w:t>
      </w:r>
      <w:r>
        <w:t xml:space="preserve"> </w:t>
      </w:r>
      <w:r>
        <w:t xml:space="preserve">Africa</w:t>
      </w:r>
      <w:r>
        <w:t xml:space="preserve">: A Feasibility Analysis.”</w:t>
      </w:r>
      <w:r>
        <w:t xml:space="preserve"> </w:t>
      </w:r>
      <w:r>
        <w:rPr>
          <w:iCs/>
          <w:i/>
        </w:rPr>
        <w:t xml:space="preserve">Heliyon</w:t>
      </w:r>
      <w:r>
        <w:t xml:space="preserve"> </w:t>
      </w:r>
      <w:r>
        <w:t xml:space="preserve">10 (15): e34584.</w:t>
      </w:r>
      <w:r>
        <w:t xml:space="preserve"> </w:t>
      </w:r>
      <w:hyperlink r:id="rId362">
        <w:r>
          <w:rPr>
            <w:rStyle w:val="Hyperlink"/>
          </w:rPr>
          <w:t xml:space="preserve">https://doi.org/10.1016/j.heliyon.2024.e34584</w:t>
        </w:r>
      </w:hyperlink>
      <w:r>
        <w:t xml:space="preserve">.</w:t>
      </w:r>
    </w:p>
    <w:bookmarkEnd w:id="363"/>
    <w:bookmarkStart w:id="365" w:name="ref-tang2019efficientauthentication"/>
    <w:p>
      <w:pPr>
        <w:pStyle w:val="Bibliography"/>
      </w:pPr>
      <w:r>
        <w:t xml:space="preserve">Tang, Fei, Shuai Ma, Yong Xiang, and Changlu Lin. 2019.</w:t>
      </w:r>
      <w:r>
        <w:t xml:space="preserve"> </w:t>
      </w:r>
      <w:r>
        <w:t xml:space="preserve">“An Efficient Authentication Scheme for Blockchain-Based Electronic Health Records.”</w:t>
      </w:r>
      <w:r>
        <w:t xml:space="preserve"> </w:t>
      </w:r>
      <w:r>
        <w:rPr>
          <w:iCs/>
          <w:i/>
        </w:rPr>
        <w:t xml:space="preserve">IEEE Access</w:t>
      </w:r>
      <w:r>
        <w:t xml:space="preserve">.</w:t>
      </w:r>
      <w:r>
        <w:t xml:space="preserve"> </w:t>
      </w:r>
      <w:hyperlink r:id="rId364">
        <w:r>
          <w:rPr>
            <w:rStyle w:val="Hyperlink"/>
          </w:rPr>
          <w:t xml:space="preserve">https://doi.org/10.1109/access.2019.2904300</w:t>
        </w:r>
      </w:hyperlink>
      <w:r>
        <w:t xml:space="preserve">.</w:t>
      </w:r>
    </w:p>
    <w:bookmarkEnd w:id="365"/>
    <w:bookmarkStart w:id="367" w:name="ref-tang2025applicationsblockchain"/>
    <w:p>
      <w:pPr>
        <w:pStyle w:val="Bibliography"/>
      </w:pPr>
      <w:r>
        <w:t xml:space="preserve">Tang, Jiaohui. 2025.</w:t>
      </w:r>
      <w:r>
        <w:t xml:space="preserve"> </w:t>
      </w:r>
      <w:r>
        <w:t xml:space="preserve">“Applications of Blockchain Technology for Enhancing Traceability and Food Safety Management in the Beef Supply Chain.”</w:t>
      </w:r>
      <w:r>
        <w:t xml:space="preserve"> </w:t>
      </w:r>
      <w:r>
        <w:rPr>
          <w:iCs/>
          <w:i/>
        </w:rPr>
        <w:t xml:space="preserve">Emirates Journal of Food and Agriculture</w:t>
      </w:r>
      <w:r>
        <w:t xml:space="preserve">.</w:t>
      </w:r>
      <w:r>
        <w:t xml:space="preserve"> </w:t>
      </w:r>
      <w:hyperlink r:id="rId366">
        <w:r>
          <w:rPr>
            <w:rStyle w:val="Hyperlink"/>
          </w:rPr>
          <w:t xml:space="preserve">https://doi.org/10.3897/ejfa.2025.168820</w:t>
        </w:r>
      </w:hyperlink>
      <w:r>
        <w:t xml:space="preserve">.</w:t>
      </w:r>
    </w:p>
    <w:bookmarkEnd w:id="367"/>
    <w:bookmarkStart w:id="369" w:name="ref-orderingServiceDoc"/>
    <w:p>
      <w:pPr>
        <w:pStyle w:val="Bibliography"/>
      </w:pPr>
      <w:r>
        <w:t xml:space="preserve">Team, Hyperledger Fabric. 2024.</w:t>
      </w:r>
      <w:r>
        <w:t xml:space="preserve"> </w:t>
      </w:r>
      <w:r>
        <w:t xml:space="preserve">“Ordering Service Documentation.”</w:t>
      </w:r>
      <w:r>
        <w:t xml:space="preserve"> </w:t>
      </w:r>
      <w:hyperlink r:id="rId368">
        <w:r>
          <w:rPr>
            <w:rStyle w:val="Hyperlink"/>
          </w:rPr>
          <w:t xml:space="preserve">https://hyperledger-fabric.readthedocs.io/en/latest/orderer/ordering_service.html</w:t>
        </w:r>
      </w:hyperlink>
      <w:r>
        <w:t xml:space="preserve">.</w:t>
      </w:r>
    </w:p>
    <w:bookmarkEnd w:id="369"/>
    <w:bookmarkStart w:id="371"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370">
        <w:r>
          <w:rPr>
            <w:rStyle w:val="Hyperlink"/>
          </w:rPr>
          <w:t xml:space="preserve">https://doi.org/10.1109/MASCOTS.2018.00034</w:t>
        </w:r>
      </w:hyperlink>
      <w:r>
        <w:t xml:space="preserve">.</w:t>
      </w:r>
    </w:p>
    <w:bookmarkEnd w:id="371"/>
    <w:bookmarkStart w:id="373"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372">
        <w:r>
          <w:rPr>
            <w:rStyle w:val="Hyperlink"/>
          </w:rPr>
          <w:t xml:space="preserve">https://doi.org/10.1109/ICSSSM.2016.7538424</w:t>
        </w:r>
      </w:hyperlink>
      <w:r>
        <w:t xml:space="preserve">.</w:t>
      </w:r>
    </w:p>
    <w:bookmarkEnd w:id="373"/>
    <w:bookmarkStart w:id="375"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374">
        <w:r>
          <w:rPr>
            <w:rStyle w:val="Hyperlink"/>
          </w:rPr>
          <w:t xml:space="preserve">https://doi.org/10.1109/ICASI.2017.7988632</w:t>
        </w:r>
      </w:hyperlink>
      <w:r>
        <w:t xml:space="preserve">.</w:t>
      </w:r>
    </w:p>
    <w:bookmarkEnd w:id="375"/>
    <w:bookmarkStart w:id="376"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372">
        <w:r>
          <w:rPr>
            <w:rStyle w:val="Hyperlink"/>
          </w:rPr>
          <w:t xml:space="preserve">https://doi.org/10.1109/ICSSSM.2016.7538424</w:t>
        </w:r>
      </w:hyperlink>
      <w:r>
        <w:t xml:space="preserve">.</w:t>
      </w:r>
    </w:p>
    <w:bookmarkEnd w:id="376"/>
    <w:bookmarkStart w:id="377" w:name="ref-tian2017agri"/>
    <w:p>
      <w:pPr>
        <w:pStyle w:val="Bibliography"/>
      </w:pPr>
      <w:r>
        <w:t xml:space="preserve">———. 2017.</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377"/>
    <w:bookmarkStart w:id="379"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378">
        <w:r>
          <w:rPr>
            <w:rStyle w:val="Hyperlink"/>
          </w:rPr>
          <w:t xml:space="preserve">https://doi.org/10.1016/j.eja.2006.08.004</w:t>
        </w:r>
      </w:hyperlink>
      <w:r>
        <w:t xml:space="preserve">.</w:t>
      </w:r>
    </w:p>
    <w:bookmarkEnd w:id="379"/>
    <w:bookmarkStart w:id="380"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80"/>
    <w:bookmarkStart w:id="382"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81">
        <w:r>
          <w:rPr>
            <w:rStyle w:val="Hyperlink"/>
          </w:rPr>
          <w:t xml:space="preserve">https://doi.org/10.3390/telecom5040051</w:t>
        </w:r>
      </w:hyperlink>
      <w:r>
        <w:t xml:space="preserve">.</w:t>
      </w:r>
    </w:p>
    <w:bookmarkEnd w:id="382"/>
    <w:bookmarkStart w:id="384"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83">
        <w:r>
          <w:rPr>
            <w:rStyle w:val="Hyperlink"/>
          </w:rPr>
          <w:t xml:space="preserve">https://doi.org/10.1016/j.biosystemseng.2017.09.007</w:t>
        </w:r>
      </w:hyperlink>
      <w:r>
        <w:t xml:space="preserve">.</w:t>
      </w:r>
    </w:p>
    <w:bookmarkEnd w:id="384"/>
    <w:bookmarkStart w:id="386" w:name="ref-un_water2023"/>
    <w:p>
      <w:pPr>
        <w:pStyle w:val="Bibliography"/>
      </w:pPr>
      <w:r>
        <w:t xml:space="preserve">United Nations World Water Development Report. 2023.</w:t>
      </w:r>
      <w:r>
        <w:t xml:space="preserve"> </w:t>
      </w:r>
      <w:r>
        <w:t xml:space="preserve">“Water for a Sustainable World.”</w:t>
      </w:r>
      <w:r>
        <w:t xml:space="preserve"> </w:t>
      </w:r>
      <w:hyperlink r:id="rId385">
        <w:r>
          <w:rPr>
            <w:rStyle w:val="Hyperlink"/>
          </w:rPr>
          <w:t xml:space="preserve">https://www.unesco.org/reports/wwdr</w:t>
        </w:r>
      </w:hyperlink>
      <w:r>
        <w:t xml:space="preserve">.</w:t>
      </w:r>
    </w:p>
    <w:bookmarkEnd w:id="386"/>
    <w:bookmarkStart w:id="388"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87">
        <w:r>
          <w:rPr>
            <w:rStyle w:val="Hyperlink"/>
          </w:rPr>
          <w:t xml:space="preserve">https://doi.org/10.1016/j.compag.2020.105709</w:t>
        </w:r>
      </w:hyperlink>
      <w:r>
        <w:t xml:space="preserve">.</w:t>
      </w:r>
    </w:p>
    <w:bookmarkEnd w:id="388"/>
    <w:bookmarkStart w:id="390"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89">
        <w:r>
          <w:rPr>
            <w:rStyle w:val="Hyperlink"/>
          </w:rPr>
          <w:t xml:space="preserve">https://doi.org/10.2136/vzj2012.0160</w:t>
        </w:r>
      </w:hyperlink>
      <w:r>
        <w:t xml:space="preserve">.</w:t>
      </w:r>
    </w:p>
    <w:bookmarkEnd w:id="390"/>
    <w:bookmarkStart w:id="392"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91">
        <w:r>
          <w:rPr>
            <w:rStyle w:val="Hyperlink"/>
          </w:rPr>
          <w:t xml:space="preserve">https://doi.org/10.1016/j.agsy.2020.103046</w:t>
        </w:r>
      </w:hyperlink>
      <w:r>
        <w:t xml:space="preserve">.</w:t>
      </w:r>
    </w:p>
    <w:bookmarkEnd w:id="392"/>
    <w:bookmarkStart w:id="394" w:name="ref-vidhya2021crt"/>
    <w:p>
      <w:pPr>
        <w:pStyle w:val="Bibliography"/>
      </w:pPr>
      <w:r>
        <w:t xml:space="preserve">Vidhya, P., and R. Brindha. 2021.</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93">
        <w:r>
          <w:rPr>
            <w:rStyle w:val="Hyperlink"/>
          </w:rPr>
          <w:t xml:space="preserve">https://doi.org/10.5120/ijca2021921556</w:t>
        </w:r>
      </w:hyperlink>
      <w:r>
        <w:t xml:space="preserve">.</w:t>
      </w:r>
    </w:p>
    <w:bookmarkEnd w:id="394"/>
    <w:bookmarkStart w:id="396"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95">
        <w:r>
          <w:rPr>
            <w:rStyle w:val="Hyperlink"/>
          </w:rPr>
          <w:t xml:space="preserve">https://doi.org/10.3390/s23146332</w:t>
        </w:r>
      </w:hyperlink>
      <w:r>
        <w:t xml:space="preserve">.</w:t>
      </w:r>
    </w:p>
    <w:bookmarkEnd w:id="396"/>
    <w:bookmarkStart w:id="398"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97">
        <w:r>
          <w:rPr>
            <w:rStyle w:val="Hyperlink"/>
          </w:rPr>
          <w:t xml:space="preserve">https://doi.org/10.1016/j.compag.2005.09.003</w:t>
        </w:r>
      </w:hyperlink>
      <w:r>
        <w:t xml:space="preserve">.</w:t>
      </w:r>
    </w:p>
    <w:bookmarkEnd w:id="398"/>
    <w:bookmarkStart w:id="400"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99">
        <w:r>
          <w:rPr>
            <w:rStyle w:val="Hyperlink"/>
          </w:rPr>
          <w:t xml:space="preserve">https://doi.org/10.1002/advs.202503102</w:t>
        </w:r>
      </w:hyperlink>
      <w:r>
        <w:t xml:space="preserve">.</w:t>
      </w:r>
    </w:p>
    <w:bookmarkEnd w:id="400"/>
    <w:bookmarkStart w:id="402"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401">
        <w:r>
          <w:rPr>
            <w:rStyle w:val="Hyperlink"/>
          </w:rPr>
          <w:t xml:space="preserve">https://doi.org/10.1109/COMST.2020.2970550</w:t>
        </w:r>
      </w:hyperlink>
      <w:r>
        <w:t xml:space="preserve">.</w:t>
      </w:r>
    </w:p>
    <w:bookmarkEnd w:id="402"/>
    <w:bookmarkStart w:id="404"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403">
        <w:r>
          <w:rPr>
            <w:rStyle w:val="Hyperlink"/>
          </w:rPr>
          <w:t xml:space="preserve">https://doi.org/10.1186/s13007-025-01387-4</w:t>
        </w:r>
      </w:hyperlink>
      <w:r>
        <w:t xml:space="preserve">.</w:t>
      </w:r>
    </w:p>
    <w:bookmarkEnd w:id="404"/>
    <w:bookmarkStart w:id="406"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405">
        <w:r>
          <w:rPr>
            <w:rStyle w:val="Hyperlink"/>
          </w:rPr>
          <w:t xml:space="preserve">https://doi.org/10.1109/MNET.011.2000111</w:t>
        </w:r>
      </w:hyperlink>
      <w:r>
        <w:t xml:space="preserve">.</w:t>
      </w:r>
    </w:p>
    <w:bookmarkEnd w:id="406"/>
    <w:bookmarkStart w:id="408"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407">
        <w:r>
          <w:rPr>
            <w:rStyle w:val="Hyperlink"/>
          </w:rPr>
          <w:t xml:space="preserve">https://doi.org/10.1109/ICSA.2016.15</w:t>
        </w:r>
      </w:hyperlink>
      <w:r>
        <w:t xml:space="preserve">.</w:t>
      </w:r>
    </w:p>
    <w:bookmarkEnd w:id="408"/>
    <w:bookmarkStart w:id="410" w:name="ref-yavari2020blockchain"/>
    <w:p>
      <w:pPr>
        <w:pStyle w:val="Bibliography"/>
      </w:pPr>
      <w:r>
        <w:t xml:space="preserve">Yavari, Mostafa, Masoumeh Safkhani, Saru Kumari, Sachin Kumar, and Chien-Ming Chen. 2020.</w:t>
      </w:r>
      <w:r>
        <w:t xml:space="preserve"> </w:t>
      </w:r>
      <w:r>
        <w:t xml:space="preserve">“An Improved Blockchain-Based Authentication Protocol for IoT Network Management.”</w:t>
      </w:r>
      <w:r>
        <w:t xml:space="preserve"> </w:t>
      </w:r>
      <w:r>
        <w:rPr>
          <w:iCs/>
          <w:i/>
        </w:rPr>
        <w:t xml:space="preserve">Security and Communication Networks</w:t>
      </w:r>
      <w:r>
        <w:t xml:space="preserve"> </w:t>
      </w:r>
      <w:r>
        <w:t xml:space="preserve">2020: 1–16.</w:t>
      </w:r>
      <w:r>
        <w:t xml:space="preserve"> </w:t>
      </w:r>
      <w:hyperlink r:id="rId409">
        <w:r>
          <w:rPr>
            <w:rStyle w:val="Hyperlink"/>
          </w:rPr>
          <w:t xml:space="preserve">https://doi.org/10.1155/2020/8875217</w:t>
        </w:r>
      </w:hyperlink>
      <w:r>
        <w:t xml:space="preserve">.</w:t>
      </w:r>
    </w:p>
    <w:bookmarkEnd w:id="410"/>
    <w:bookmarkStart w:id="412" w:name="ref-yavuz2025reversibledata"/>
    <w:p>
      <w:pPr>
        <w:pStyle w:val="Bibliography"/>
      </w:pPr>
      <w:r>
        <w:t xml:space="preserve">Yavuz, Erdem. 2025.</w:t>
      </w:r>
      <w:r>
        <w:t xml:space="preserve"> </w:t>
      </w:r>
      <w:r>
        <w:t xml:space="preserve">“Reversible Data Hiding in Encrypted Images Using Chaos Theory and Chinese Remainder Theorem.”</w:t>
      </w:r>
      <w:r>
        <w:t xml:space="preserve"> </w:t>
      </w:r>
      <w:r>
        <w:rPr>
          <w:iCs/>
          <w:i/>
        </w:rPr>
        <w:t xml:space="preserve">Pattern Analysis and Applications</w:t>
      </w:r>
      <w:r>
        <w:t xml:space="preserve">.</w:t>
      </w:r>
      <w:r>
        <w:t xml:space="preserve"> </w:t>
      </w:r>
      <w:hyperlink r:id="rId411">
        <w:r>
          <w:rPr>
            <w:rStyle w:val="Hyperlink"/>
          </w:rPr>
          <w:t xml:space="preserve">https://doi.org/10.1007/s10044-025-01495-w</w:t>
        </w:r>
      </w:hyperlink>
      <w:r>
        <w:t xml:space="preserve">.</w:t>
      </w:r>
    </w:p>
    <w:bookmarkEnd w:id="412"/>
    <w:bookmarkStart w:id="414"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413">
        <w:r>
          <w:rPr>
            <w:rStyle w:val="Hyperlink"/>
          </w:rPr>
          <w:t xml:space="preserve">https://doi.org/10.1007/s11276-016-1357-1</w:t>
        </w:r>
      </w:hyperlink>
      <w:r>
        <w:t xml:space="preserve">.</w:t>
      </w:r>
    </w:p>
    <w:bookmarkEnd w:id="414"/>
    <w:bookmarkStart w:id="416"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415">
        <w:r>
          <w:rPr>
            <w:rStyle w:val="Hyperlink"/>
          </w:rPr>
          <w:t xml:space="preserve">https://doi.org/10.1145/3293611.3331591</w:t>
        </w:r>
      </w:hyperlink>
      <w:r>
        <w:t xml:space="preserve">.</w:t>
      </w:r>
    </w:p>
    <w:bookmarkEnd w:id="416"/>
    <w:bookmarkStart w:id="418" w:name="ref-yousif2026enablingprivacy"/>
    <w:p>
      <w:pPr>
        <w:pStyle w:val="Bibliography"/>
      </w:pPr>
      <w:r>
        <w:t xml:space="preserve">Yousif, Mohammed, Omar Alsaffar, and Siddeeq Ameen. 2026.</w:t>
      </w:r>
      <w:r>
        <w:t xml:space="preserve"> </w:t>
      </w:r>
      <w:r>
        <w:t xml:space="preserve">“Enabling Privacy-Preserving External Sharing of Electronic Medical Records Through a Tripartite Hybrid Blockchain Architecture.”</w:t>
      </w:r>
      <w:r>
        <w:t xml:space="preserve"> </w:t>
      </w:r>
      <w:r>
        <w:rPr>
          <w:iCs/>
          <w:i/>
        </w:rPr>
        <w:t xml:space="preserve">Journal of Applied Science and Technology Trends</w:t>
      </w:r>
      <w:r>
        <w:t xml:space="preserve">.</w:t>
      </w:r>
      <w:r>
        <w:t xml:space="preserve"> </w:t>
      </w:r>
      <w:hyperlink r:id="rId417">
        <w:r>
          <w:rPr>
            <w:rStyle w:val="Hyperlink"/>
          </w:rPr>
          <w:t xml:space="preserve">https://doi.org/10.38094/jastt7031075</w:t>
        </w:r>
      </w:hyperlink>
      <w:r>
        <w:t xml:space="preserve">.</w:t>
      </w:r>
    </w:p>
    <w:bookmarkEnd w:id="418"/>
    <w:bookmarkStart w:id="420"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419">
        <w:r>
          <w:rPr>
            <w:rStyle w:val="Hyperlink"/>
          </w:rPr>
          <w:t xml:space="preserve">https://doi.org/10.1016/j.atech.2022.100053</w:t>
        </w:r>
      </w:hyperlink>
      <w:r>
        <w:t xml:space="preserve">.</w:t>
      </w:r>
    </w:p>
    <w:bookmarkEnd w:id="420"/>
    <w:bookmarkStart w:id="422"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421">
        <w:r>
          <w:rPr>
            <w:rStyle w:val="Hyperlink"/>
          </w:rPr>
          <w:t xml:space="preserve">https://doi.org/10.1016/S0168-1699(02)00096-0</w:t>
        </w:r>
      </w:hyperlink>
      <w:r>
        <w:t xml:space="preserve">.</w:t>
      </w:r>
    </w:p>
    <w:bookmarkEnd w:id="422"/>
    <w:bookmarkStart w:id="424"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423">
        <w:r>
          <w:rPr>
            <w:rStyle w:val="Hyperlink"/>
          </w:rPr>
          <w:t xml:space="preserve">https://doi.org/10.1109/IEMCON.2019.8936228</w:t>
        </w:r>
      </w:hyperlink>
      <w:r>
        <w:t xml:space="preserve">.</w:t>
      </w:r>
    </w:p>
    <w:bookmarkEnd w:id="424"/>
    <w:bookmarkStart w:id="425"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425"/>
    <w:bookmarkStart w:id="427" w:name="X3a1a1ffd1988ab5b498a839fb3ac062106b17da"/>
    <w:p>
      <w:pPr>
        <w:pStyle w:val="Bibliography"/>
      </w:pPr>
      <w:r>
        <w:t xml:space="preserve">Zulkarnain, Muhammad Muaz, Nabilah Ramli, and Anis Nurashikin Nordin. 2025.</w:t>
      </w:r>
      <w:r>
        <w:t xml:space="preserve"> </w:t>
      </w:r>
      <w:r>
        <w:t xml:space="preserve">“Performance Benchmarking of Hyperledger Fabric on Heterogeneous Hardware for IoT Applications.”</w:t>
      </w:r>
      <w:r>
        <w:t xml:space="preserve"> </w:t>
      </w:r>
      <w:r>
        <w:rPr>
          <w:iCs/>
          <w:i/>
        </w:rPr>
        <w:t xml:space="preserve">IIUM Engineering Journal</w:t>
      </w:r>
      <w:r>
        <w:t xml:space="preserve">.</w:t>
      </w:r>
      <w:r>
        <w:t xml:space="preserve"> </w:t>
      </w:r>
      <w:hyperlink r:id="rId426">
        <w:r>
          <w:rPr>
            <w:rStyle w:val="Hyperlink"/>
          </w:rPr>
          <w:t xml:space="preserve">https://doi.org/10.31436/iiumej.v26i3.3610</w:t>
        </w:r>
      </w:hyperlink>
      <w:r>
        <w:t xml:space="preserve">.</w:t>
      </w:r>
    </w:p>
    <w:bookmarkEnd w:id="427"/>
    <w:bookmarkStart w:id="429"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428">
        <w:r>
          <w:rPr>
            <w:rStyle w:val="Hyperlink"/>
          </w:rPr>
          <w:t xml:space="preserve">https://doi.org/10.1109/SPW.2015.27</w:t>
        </w:r>
      </w:hyperlink>
      <w:r>
        <w:t xml:space="preserve">.</w:t>
      </w:r>
    </w:p>
    <w:bookmarkEnd w:id="429"/>
    <w:bookmarkEnd w:id="430"/>
    <w:bookmarkEnd w:id="431"/>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91" Target="media/rId91.png" /><Relationship Type="http://schemas.openxmlformats.org/officeDocument/2006/relationships/image" Id="rId72" Target="media/rId72.png" /><Relationship Type="http://schemas.openxmlformats.org/officeDocument/2006/relationships/hyperlink" Id="rId181" Target="http://www.fao.org/3/a-i6583e.pdf" TargetMode="External" /><Relationship Type="http://schemas.openxmlformats.org/officeDocument/2006/relationships/hyperlink" Id="rId241" Target="https://blog.csdn.net/Cris_Jay/article/details/147540172" TargetMode="External" /><Relationship Type="http://schemas.openxmlformats.org/officeDocument/2006/relationships/hyperlink" Id="rId167" Target="https://deepwiki.com/esp-rs/esp-hal/8.3-cache-management-and-memory-barriers" TargetMode="External" /><Relationship Type="http://schemas.openxmlformats.org/officeDocument/2006/relationships/hyperlink" Id="rId399" Target="https://doi.org/10.1002/advs.202503102" TargetMode="External" /><Relationship Type="http://schemas.openxmlformats.org/officeDocument/2006/relationships/hyperlink" Id="rId155" Target="https://doi.org/10.1002/ird.2492" TargetMode="External" /><Relationship Type="http://schemas.openxmlformats.org/officeDocument/2006/relationships/hyperlink" Id="rId208" Target="https://doi.org/10.1002/nem.2099" TargetMode="External" /><Relationship Type="http://schemas.openxmlformats.org/officeDocument/2006/relationships/hyperlink" Id="rId296" Target="https://doi.org/10.1007/3-540-48184-2_32" TargetMode="External" /><Relationship Type="http://schemas.openxmlformats.org/officeDocument/2006/relationships/hyperlink" Id="rId411" Target="https://doi.org/10.1007/s10044-025-01495-w" TargetMode="External" /><Relationship Type="http://schemas.openxmlformats.org/officeDocument/2006/relationships/hyperlink" Id="rId292" Target="https://doi.org/10.1007/s11119-005-0681-8" TargetMode="External" /><Relationship Type="http://schemas.openxmlformats.org/officeDocument/2006/relationships/hyperlink" Id="rId346" Target="https://doi.org/10.1007/s11139-023-00699-0" TargetMode="External" /><Relationship Type="http://schemas.openxmlformats.org/officeDocument/2006/relationships/hyperlink" Id="rId237" Target="https://doi.org/10.1007/s11269-006-9111-6" TargetMode="External" /><Relationship Type="http://schemas.openxmlformats.org/officeDocument/2006/relationships/hyperlink" Id="rId413" Target="https://doi.org/10.1007/s11276-016-1357-1" TargetMode="External" /><Relationship Type="http://schemas.openxmlformats.org/officeDocument/2006/relationships/hyperlink" Id="rId319" Target="https://doi.org/10.1016/S0065-2113(08)60513-1" TargetMode="External" /><Relationship Type="http://schemas.openxmlformats.org/officeDocument/2006/relationships/hyperlink" Id="rId421" Target="https://doi.org/10.1016/S0168-1699(02)00096-0" TargetMode="External" /><Relationship Type="http://schemas.openxmlformats.org/officeDocument/2006/relationships/hyperlink" Id="rId317" Target="https://doi.org/10.1016/S0378-3774(02)00075-6" TargetMode="External" /><Relationship Type="http://schemas.openxmlformats.org/officeDocument/2006/relationships/hyperlink" Id="rId391" Target="https://doi.org/10.1016/j.agsy.2020.103046" TargetMode="External" /><Relationship Type="http://schemas.openxmlformats.org/officeDocument/2006/relationships/hyperlink" Id="rId349" Target="https://doi.org/10.1016/j.agwat.2005.04.008" TargetMode="External" /><Relationship Type="http://schemas.openxmlformats.org/officeDocument/2006/relationships/hyperlink" Id="rId309" Target="https://doi.org/10.1016/j.agwat.2009.08.021" TargetMode="External" /><Relationship Type="http://schemas.openxmlformats.org/officeDocument/2006/relationships/hyperlink" Id="rId161" Target="https://doi.org/10.1016/j.agwat.2010.01.025" TargetMode="External" /><Relationship Type="http://schemas.openxmlformats.org/officeDocument/2006/relationships/hyperlink" Id="rId235" Target="https://doi.org/10.1016/j.agwat.2015.03.014" TargetMode="External" /><Relationship Type="http://schemas.openxmlformats.org/officeDocument/2006/relationships/hyperlink" Id="rId419" Target="https://doi.org/10.1016/j.atech.2022.100053" TargetMode="External" /><Relationship Type="http://schemas.openxmlformats.org/officeDocument/2006/relationships/hyperlink" Id="rId243" Target="https://doi.org/10.1016/j.atech.2025.101242" TargetMode="External" /><Relationship Type="http://schemas.openxmlformats.org/officeDocument/2006/relationships/hyperlink" Id="rId106" Target="https://doi.org/10.1016/j.atech.2025.101654" TargetMode="External" /><Relationship Type="http://schemas.openxmlformats.org/officeDocument/2006/relationships/hyperlink" Id="rId383" Target="https://doi.org/10.1016/j.biosystemseng.2017.09.007" TargetMode="External" /><Relationship Type="http://schemas.openxmlformats.org/officeDocument/2006/relationships/hyperlink" Id="rId137" Target="https://doi.org/10.1016/j.comcom.2020.10.009" TargetMode="External" /><Relationship Type="http://schemas.openxmlformats.org/officeDocument/2006/relationships/hyperlink" Id="rId397" Target="https://doi.org/10.1016/j.compag.2005.09.003" TargetMode="External" /><Relationship Type="http://schemas.openxmlformats.org/officeDocument/2006/relationships/hyperlink" Id="rId150" Target="https://doi.org/10.1016/j.compag.2018.05.012" TargetMode="External" /><Relationship Type="http://schemas.openxmlformats.org/officeDocument/2006/relationships/hyperlink" Id="rId199" Target="https://doi.org/10.1016/j.compag.2018.09.040" TargetMode="External" /><Relationship Type="http://schemas.openxmlformats.org/officeDocument/2006/relationships/hyperlink" Id="rId95" Target="https://doi.org/10.1016/j.compag.2020.105441" TargetMode="External" /><Relationship Type="http://schemas.openxmlformats.org/officeDocument/2006/relationships/hyperlink" Id="rId387" Target="https://doi.org/10.1016/j.compag.2020.105709" TargetMode="External" /><Relationship Type="http://schemas.openxmlformats.org/officeDocument/2006/relationships/hyperlink" Id="rId265" Target="https://doi.org/10.1016/j.compind.2020.103187" TargetMode="External" /><Relationship Type="http://schemas.openxmlformats.org/officeDocument/2006/relationships/hyperlink" Id="rId211" Target="https://doi.org/10.1016/j.cose.2018.06.004" TargetMode="External" /><Relationship Type="http://schemas.openxmlformats.org/officeDocument/2006/relationships/hyperlink" Id="rId118" Target="https://doi.org/10.1016/j.csi.2011.03.004" TargetMode="External" /><Relationship Type="http://schemas.openxmlformats.org/officeDocument/2006/relationships/hyperlink" Id="rId378" Target="https://doi.org/10.1016/j.eja.2006.08.004" TargetMode="External" /><Relationship Type="http://schemas.openxmlformats.org/officeDocument/2006/relationships/hyperlink" Id="rId135" Target="https://doi.org/10.1016/j.future.2015.09.021" TargetMode="External" /><Relationship Type="http://schemas.openxmlformats.org/officeDocument/2006/relationships/hyperlink" Id="rId335" Target="https://doi.org/10.1016/j.future.2018.05.046" TargetMode="External" /><Relationship Type="http://schemas.openxmlformats.org/officeDocument/2006/relationships/hyperlink" Id="rId362" Target="https://doi.org/10.1016/j.heliyon.2024.e34584" TargetMode="External" /><Relationship Type="http://schemas.openxmlformats.org/officeDocument/2006/relationships/hyperlink" Id="rId129" Target="https://doi.org/10.1016/j.jhydrol.2007.06.032" TargetMode="External" /><Relationship Type="http://schemas.openxmlformats.org/officeDocument/2006/relationships/hyperlink" Id="rId267" Target="https://doi.org/10.1016/j.jii.2018.01.005" TargetMode="External" /><Relationship Type="http://schemas.openxmlformats.org/officeDocument/2006/relationships/hyperlink" Id="rId331" Target="https://doi.org/10.1016/j.matpr.2021.06.253" TargetMode="External" /><Relationship Type="http://schemas.openxmlformats.org/officeDocument/2006/relationships/hyperlink" Id="rId247" Target="https://doi.org/10.1016/j.psep.2018.05.009" TargetMode="External" /><Relationship Type="http://schemas.openxmlformats.org/officeDocument/2006/relationships/hyperlink" Id="rId144" Target="https://doi.org/10.1016/j.tele.2018.11.006" TargetMode="External" /><Relationship Type="http://schemas.openxmlformats.org/officeDocument/2006/relationships/hyperlink" Id="rId249" Target="https://doi.org/10.1016/j.tifs.2019.07.034" TargetMode="External" /><Relationship Type="http://schemas.openxmlformats.org/officeDocument/2006/relationships/hyperlink" Id="rId187" Target="https://doi.org/10.1016/j.trac.2018.08.011" TargetMode="External" /><Relationship Type="http://schemas.openxmlformats.org/officeDocument/2006/relationships/hyperlink" Id="rId102" Target="https://doi.org/10.1038/s41598-025-92842-8" TargetMode="External" /><Relationship Type="http://schemas.openxmlformats.org/officeDocument/2006/relationships/hyperlink" Id="rId142" Target="https://doi.org/10.1049/iet-wss.2013.0025" TargetMode="External" /><Relationship Type="http://schemas.openxmlformats.org/officeDocument/2006/relationships/hyperlink" Id="rId290" Target="https://doi.org/10.1093/comjnl/bxp118" TargetMode="External" /><Relationship Type="http://schemas.openxmlformats.org/officeDocument/2006/relationships/hyperlink" Id="rId172" Target="https://doi.org/10.1093/jxb/erl165" TargetMode="External" /><Relationship Type="http://schemas.openxmlformats.org/officeDocument/2006/relationships/hyperlink" Id="rId206" Target="https://doi.org/10.1109/40.877952" TargetMode="External" /><Relationship Type="http://schemas.openxmlformats.org/officeDocument/2006/relationships/hyperlink" Id="rId341" Target="https://doi.org/10.1109/ACCESS.2019.2918000" TargetMode="External" /><Relationship Type="http://schemas.openxmlformats.org/officeDocument/2006/relationships/hyperlink" Id="rId170" Target="https://doi.org/10.1109/ACCESS.2019.2949703" TargetMode="External" /><Relationship Type="http://schemas.openxmlformats.org/officeDocument/2006/relationships/hyperlink" Id="rId176" Target="https://doi.org/10.1109/ACCESS.2020.2973178" TargetMode="External" /><Relationship Type="http://schemas.openxmlformats.org/officeDocument/2006/relationships/hyperlink" Id="rId120" Target="https://doi.org/10.1109/ACCESS.2021.3129552" TargetMode="External" /><Relationship Type="http://schemas.openxmlformats.org/officeDocument/2006/relationships/hyperlink" Id="rId313" Target="https://doi.org/10.1109/ACCESS.2022.3142563" TargetMode="External" /><Relationship Type="http://schemas.openxmlformats.org/officeDocument/2006/relationships/hyperlink" Id="rId326" Target="https://doi.org/10.1109/ACCESS.2022.3146851" TargetMode="External" /><Relationship Type="http://schemas.openxmlformats.org/officeDocument/2006/relationships/hyperlink" Id="rId225" Target="https://doi.org/10.1109/ACCESS.2022.3208440" TargetMode="External" /><Relationship Type="http://schemas.openxmlformats.org/officeDocument/2006/relationships/hyperlink" Id="rId278" Target="https://doi.org/10.1109/Blockchain55522.2022.00055" TargetMode="External" /><Relationship Type="http://schemas.openxmlformats.org/officeDocument/2006/relationships/hyperlink" Id="rId163" Target="https://doi.org/10.1109/COMST.2017.2694144" TargetMode="External" /><Relationship Type="http://schemas.openxmlformats.org/officeDocument/2006/relationships/hyperlink" Id="rId401" Target="https://doi.org/10.1109/COMST.2020.2970550" TargetMode="External" /><Relationship Type="http://schemas.openxmlformats.org/officeDocument/2006/relationships/hyperlink" Id="rId125" Target="https://doi.org/10.1109/DSN.2014.43" TargetMode="External" /><Relationship Type="http://schemas.openxmlformats.org/officeDocument/2006/relationships/hyperlink" Id="rId220" Target="https://doi.org/10.1109/HICSS.2000.926982" TargetMode="External" /><Relationship Type="http://schemas.openxmlformats.org/officeDocument/2006/relationships/hyperlink" Id="rId374" Target="https://doi.org/10.1109/ICASI.2017.7988632" TargetMode="External" /><Relationship Type="http://schemas.openxmlformats.org/officeDocument/2006/relationships/hyperlink" Id="rId245" Target="https://doi.org/10.1109/ICDCECE65353.2025.11035330" TargetMode="External" /><Relationship Type="http://schemas.openxmlformats.org/officeDocument/2006/relationships/hyperlink" Id="rId407" Target="https://doi.org/10.1109/ICSA.2016.15" TargetMode="External" /><Relationship Type="http://schemas.openxmlformats.org/officeDocument/2006/relationships/hyperlink" Id="rId372" Target="https://doi.org/10.1109/ICSSSM.2016.7538424" TargetMode="External" /><Relationship Type="http://schemas.openxmlformats.org/officeDocument/2006/relationships/hyperlink" Id="rId423" Target="https://doi.org/10.1109/IEMCON.2019.8936228" TargetMode="External" /><Relationship Type="http://schemas.openxmlformats.org/officeDocument/2006/relationships/hyperlink" Id="rId261" Target="https://doi.org/10.1109/IOT.2025.11089136" TargetMode="External" /><Relationship Type="http://schemas.openxmlformats.org/officeDocument/2006/relationships/hyperlink" Id="rId322" Target="https://doi.org/10.1109/ISCAS.1994.408967" TargetMode="External" /><Relationship Type="http://schemas.openxmlformats.org/officeDocument/2006/relationships/hyperlink" Id="rId185" Target="https://doi.org/10.1109/JIOT.2017.2767291" TargetMode="External" /><Relationship Type="http://schemas.openxmlformats.org/officeDocument/2006/relationships/hyperlink" Id="rId353" Target="https://doi.org/10.1109/JIOT.2020.2977767" TargetMode="External" /><Relationship Type="http://schemas.openxmlformats.org/officeDocument/2006/relationships/hyperlink" Id="rId174" Target="https://doi.org/10.1109/JIOT.2020.2984478" TargetMode="External" /><Relationship Type="http://schemas.openxmlformats.org/officeDocument/2006/relationships/hyperlink" Id="rId269" Target="https://doi.org/10.1109/JIOT.2020.2999323" TargetMode="External" /><Relationship Type="http://schemas.openxmlformats.org/officeDocument/2006/relationships/hyperlink" Id="rId288" Target="https://doi.org/10.1109/LCOMM.2008.080300" TargetMode="External" /><Relationship Type="http://schemas.openxmlformats.org/officeDocument/2006/relationships/hyperlink" Id="rId370" Target="https://doi.org/10.1109/MASCOTS.2018.00034" TargetMode="External" /><Relationship Type="http://schemas.openxmlformats.org/officeDocument/2006/relationships/hyperlink" Id="rId97" Target="https://doi.org/10.1109/MCOM.2017.1600613" TargetMode="External" /><Relationship Type="http://schemas.openxmlformats.org/officeDocument/2006/relationships/hyperlink" Id="rId405" Target="https://doi.org/10.1109/MNET.011.2000111" TargetMode="External" /><Relationship Type="http://schemas.openxmlformats.org/officeDocument/2006/relationships/hyperlink" Id="rId276" Target="https://doi.org/10.1109/MNET.2019.1800254" TargetMode="External" /><Relationship Type="http://schemas.openxmlformats.org/officeDocument/2006/relationships/hyperlink" Id="rId165" Target="https://doi.org/10.1109/PERCOMW.2017.7917634" TargetMode="External" /><Relationship Type="http://schemas.openxmlformats.org/officeDocument/2006/relationships/hyperlink" Id="rId428" Target="https://doi.org/10.1109/SPW.2015.27" TargetMode="External" /><Relationship Type="http://schemas.openxmlformats.org/officeDocument/2006/relationships/hyperlink" Id="rId360" Target="https://doi.org/10.1109/SRDS.2017.36" TargetMode="External" /><Relationship Type="http://schemas.openxmlformats.org/officeDocument/2006/relationships/hyperlink" Id="rId191" Target="https://doi.org/10.1109/TEC.1959.5219515" TargetMode="External" /><Relationship Type="http://schemas.openxmlformats.org/officeDocument/2006/relationships/hyperlink" Id="rId364" Target="https://doi.org/10.1109/access.2019.2904300" TargetMode="External" /><Relationship Type="http://schemas.openxmlformats.org/officeDocument/2006/relationships/hyperlink" Id="rId329" Target="https://doi.org/10.1109/access.2019.2917976" TargetMode="External" /><Relationship Type="http://schemas.openxmlformats.org/officeDocument/2006/relationships/hyperlink" Id="rId116" Target="https://doi.org/10.1109/comst.2024.3430368" TargetMode="External" /><Relationship Type="http://schemas.openxmlformats.org/officeDocument/2006/relationships/hyperlink" Id="rId215" Target="https://doi.org/10.1111/exsy.13382" TargetMode="External" /><Relationship Type="http://schemas.openxmlformats.org/officeDocument/2006/relationships/hyperlink" Id="rId195" Target="https://doi.org/10.1126/science.1183899" TargetMode="External" /><Relationship Type="http://schemas.openxmlformats.org/officeDocument/2006/relationships/hyperlink" Id="rId157" Target="https://doi.org/10.1142/2893" TargetMode="External" /><Relationship Type="http://schemas.openxmlformats.org/officeDocument/2006/relationships/hyperlink" Id="rId252" Target="https://doi.org/10.1145/1362542.1362545" TargetMode="External" /><Relationship Type="http://schemas.openxmlformats.org/officeDocument/2006/relationships/hyperlink" Id="rId324" Target="https://doi.org/10.1145/1394127.1394128" TargetMode="External" /><Relationship Type="http://schemas.openxmlformats.org/officeDocument/2006/relationships/hyperlink" Id="rId104" Target="https://doi.org/10.1145/1465482.1465560" TargetMode="External" /><Relationship Type="http://schemas.openxmlformats.org/officeDocument/2006/relationships/hyperlink" Id="rId131" Target="https://doi.org/10.1145/2988287.2989163" TargetMode="External" /><Relationship Type="http://schemas.openxmlformats.org/officeDocument/2006/relationships/hyperlink" Id="rId201" Target="https://doi.org/10.1145/301250.301308" TargetMode="External" /><Relationship Type="http://schemas.openxmlformats.org/officeDocument/2006/relationships/hyperlink" Id="rId108" Target="https://doi.org/10.1145/3190508.3190538" TargetMode="External" /><Relationship Type="http://schemas.openxmlformats.org/officeDocument/2006/relationships/hyperlink" Id="rId271" Target="https://doi.org/10.1145/3265689.3265692" TargetMode="External" /><Relationship Type="http://schemas.openxmlformats.org/officeDocument/2006/relationships/hyperlink" Id="rId415" Target="https://doi.org/10.1145/3293611.3331591" TargetMode="External" /><Relationship Type="http://schemas.openxmlformats.org/officeDocument/2006/relationships/hyperlink" Id="rId197" Target="https://doi.org/10.1145/564585.564601" TargetMode="External" /><Relationship Type="http://schemas.openxmlformats.org/officeDocument/2006/relationships/hyperlink" Id="rId409" Target="https://doi.org/10.1155/2020/8875217" TargetMode="External" /><Relationship Type="http://schemas.openxmlformats.org/officeDocument/2006/relationships/hyperlink" Id="rId403" Target="https://doi.org/10.1186/s13007-025-01387-4" TargetMode="External" /><Relationship Type="http://schemas.openxmlformats.org/officeDocument/2006/relationships/hyperlink" Id="rId193" Target="https://doi.org/10.18174/426747" TargetMode="External" /><Relationship Type="http://schemas.openxmlformats.org/officeDocument/2006/relationships/hyperlink" Id="rId183" Target="https://doi.org/10.21203/rs.3.rs-9070688/v1" TargetMode="External" /><Relationship Type="http://schemas.openxmlformats.org/officeDocument/2006/relationships/hyperlink" Id="rId231" Target="https://doi.org/10.21273/HORTSCI15060-20" TargetMode="External" /><Relationship Type="http://schemas.openxmlformats.org/officeDocument/2006/relationships/hyperlink" Id="rId356" Target="https://doi.org/10.21273/HORTTECH.16.2.0283" TargetMode="External" /><Relationship Type="http://schemas.openxmlformats.org/officeDocument/2006/relationships/hyperlink" Id="rId389" Target="https://doi.org/10.2136/vzj2012.0160" TargetMode="External" /><Relationship Type="http://schemas.openxmlformats.org/officeDocument/2006/relationships/hyperlink" Id="rId127" Target="https://doi.org/10.22765/pastj.20250003" TargetMode="External" /><Relationship Type="http://schemas.openxmlformats.org/officeDocument/2006/relationships/hyperlink" Id="rId303" Target="https://doi.org/10.30598/barekengvol20iss1pp0853-0864" TargetMode="External" /><Relationship Type="http://schemas.openxmlformats.org/officeDocument/2006/relationships/hyperlink" Id="rId315" Target="https://doi.org/10.30871/jaic.v9i3.9262" TargetMode="External" /><Relationship Type="http://schemas.openxmlformats.org/officeDocument/2006/relationships/hyperlink" Id="rId255" Target="https://doi.org/10.30953/bhty.v6.276" TargetMode="External" /><Relationship Type="http://schemas.openxmlformats.org/officeDocument/2006/relationships/hyperlink" Id="rId274" Target="https://doi.org/10.30953/bhty.v7.295" TargetMode="External" /><Relationship Type="http://schemas.openxmlformats.org/officeDocument/2006/relationships/hyperlink" Id="rId282" Target="https://doi.org/10.31185/wjcms.298" TargetMode="External" /><Relationship Type="http://schemas.openxmlformats.org/officeDocument/2006/relationships/hyperlink" Id="rId426" Target="https://doi.org/10.31436/iiumej.v26i3.3610" TargetMode="External" /><Relationship Type="http://schemas.openxmlformats.org/officeDocument/2006/relationships/hyperlink" Id="rId239" Target="https://doi.org/10.3389/fbloc.2026.1766232" TargetMode="External" /><Relationship Type="http://schemas.openxmlformats.org/officeDocument/2006/relationships/hyperlink" Id="rId298" Target="https://doi.org/10.3389/fpls.2016.01419" TargetMode="External" /><Relationship Type="http://schemas.openxmlformats.org/officeDocument/2006/relationships/hyperlink" Id="rId339" Target="https://doi.org/10.3389/frai.2024.1397480" TargetMode="External" /><Relationship Type="http://schemas.openxmlformats.org/officeDocument/2006/relationships/hyperlink" Id="rId333" Target="https://doi.org/10.3389/frcmn.2025.1587402" TargetMode="External" /><Relationship Type="http://schemas.openxmlformats.org/officeDocument/2006/relationships/hyperlink" Id="rId139" Target="https://doi.org/10.3390/agriculture11100927" TargetMode="External" /><Relationship Type="http://schemas.openxmlformats.org/officeDocument/2006/relationships/hyperlink" Id="rId337" Target="https://doi.org/10.3390/agriculture14071120" TargetMode="External" /><Relationship Type="http://schemas.openxmlformats.org/officeDocument/2006/relationships/hyperlink" Id="rId294" Target="https://doi.org/10.3390/computers13060146" TargetMode="External" /><Relationship Type="http://schemas.openxmlformats.org/officeDocument/2006/relationships/hyperlink" Id="rId178" Target="https://doi.org/10.3390/s16071141" TargetMode="External" /><Relationship Type="http://schemas.openxmlformats.org/officeDocument/2006/relationships/hyperlink" Id="rId218" Target="https://doi.org/10.3390/s18113995" TargetMode="External" /><Relationship Type="http://schemas.openxmlformats.org/officeDocument/2006/relationships/hyperlink" Id="rId213" Target="https://doi.org/10.3390/s19102228" TargetMode="External" /><Relationship Type="http://schemas.openxmlformats.org/officeDocument/2006/relationships/hyperlink" Id="rId189" Target="https://doi.org/10.3390/s20041042" TargetMode="External" /><Relationship Type="http://schemas.openxmlformats.org/officeDocument/2006/relationships/hyperlink" Id="rId344" Target="https://doi.org/10.3390/s21041209" TargetMode="External" /><Relationship Type="http://schemas.openxmlformats.org/officeDocument/2006/relationships/hyperlink" Id="rId300" Target="https://doi.org/10.3390/s21237964" TargetMode="External" /><Relationship Type="http://schemas.openxmlformats.org/officeDocument/2006/relationships/hyperlink" Id="rId306" Target="https://doi.org/10.3390/s22134868" TargetMode="External" /><Relationship Type="http://schemas.openxmlformats.org/officeDocument/2006/relationships/hyperlink" Id="rId159" Target="https://doi.org/10.3390/s22205981" TargetMode="External" /><Relationship Type="http://schemas.openxmlformats.org/officeDocument/2006/relationships/hyperlink" Id="rId133" Target="https://doi.org/10.3390/s23115342" TargetMode="External" /><Relationship Type="http://schemas.openxmlformats.org/officeDocument/2006/relationships/hyperlink" Id="rId395" Target="https://doi.org/10.3390/s23146332" TargetMode="External" /><Relationship Type="http://schemas.openxmlformats.org/officeDocument/2006/relationships/hyperlink" Id="rId99" Target="https://doi.org/10.3390/s23187992" TargetMode="External" /><Relationship Type="http://schemas.openxmlformats.org/officeDocument/2006/relationships/hyperlink" Id="rId358" Target="https://doi.org/10.3390/s24082647" TargetMode="External" /><Relationship Type="http://schemas.openxmlformats.org/officeDocument/2006/relationships/hyperlink" Id="rId204" Target="https://doi.org/10.3390/s25175302" TargetMode="External" /><Relationship Type="http://schemas.openxmlformats.org/officeDocument/2006/relationships/hyperlink" Id="rId148" Target="https://doi.org/10.3390/s25196027" TargetMode="External" /><Relationship Type="http://schemas.openxmlformats.org/officeDocument/2006/relationships/hyperlink" Id="rId286" Target="https://doi.org/10.3390/su10093149" TargetMode="External" /><Relationship Type="http://schemas.openxmlformats.org/officeDocument/2006/relationships/hyperlink" Id="rId381" Target="https://doi.org/10.3390/telecom5040051" TargetMode="External" /><Relationship Type="http://schemas.openxmlformats.org/officeDocument/2006/relationships/hyperlink" Id="rId311" Target="https://doi.org/10.34218/ijaret.14.2.002" TargetMode="External" /><Relationship Type="http://schemas.openxmlformats.org/officeDocument/2006/relationships/hyperlink" Id="rId351" Target="https://doi.org/10.3745/JIPS.04.0022" TargetMode="External" /><Relationship Type="http://schemas.openxmlformats.org/officeDocument/2006/relationships/hyperlink" Id="rId417" Target="https://doi.org/10.38094/jastt7031075" TargetMode="External" /><Relationship Type="http://schemas.openxmlformats.org/officeDocument/2006/relationships/hyperlink" Id="rId259" Target="https://doi.org/10.38124/ijisrt/ijisrt24jul180" TargetMode="External" /><Relationship Type="http://schemas.openxmlformats.org/officeDocument/2006/relationships/hyperlink" Id="rId366" Target="https://doi.org/10.3897/ejfa.2025.168820" TargetMode="External" /><Relationship Type="http://schemas.openxmlformats.org/officeDocument/2006/relationships/hyperlink" Id="rId393" Target="https://doi.org/10.5120/ijca2021921556" TargetMode="External" /><Relationship Type="http://schemas.openxmlformats.org/officeDocument/2006/relationships/hyperlink" Id="rId122" Target="https://doi.org/10.54105/ijcns.a1426.04010524" TargetMode="External" /><Relationship Type="http://schemas.openxmlformats.org/officeDocument/2006/relationships/hyperlink" Id="rId280" Target="https://doi.org/10.54254/2753-8818/9/20240711" TargetMode="External" /><Relationship Type="http://schemas.openxmlformats.org/officeDocument/2006/relationships/hyperlink" Id="rId263" Target="https://doi.org/10.56225/ijfeb.v4i1.423" TargetMode="External" /><Relationship Type="http://schemas.openxmlformats.org/officeDocument/2006/relationships/hyperlink" Id="rId257" Target="https://doi.org/10.5937/vojtehg68-26206" TargetMode="External" /><Relationship Type="http://schemas.openxmlformats.org/officeDocument/2006/relationships/hyperlink" Id="rId284" Target="https://doi.org/10.59461/ijdiic.v3i4.134" TargetMode="External" /><Relationship Type="http://schemas.openxmlformats.org/officeDocument/2006/relationships/hyperlink" Id="rId227" Target="https://doi.org/10.61538/huria.v33i2.2111" TargetMode="External" /><Relationship Type="http://schemas.openxmlformats.org/officeDocument/2006/relationships/hyperlink" Id="rId222" Target="https://doi.org/10.63345/sjaibt.v2.i1.102" TargetMode="External" /><Relationship Type="http://schemas.openxmlformats.org/officeDocument/2006/relationships/hyperlink" Id="rId368" Target="https://hyperledger-fabric.readthedocs.io/en/latest/orderer/ordering_service.html" TargetMode="External" /><Relationship Type="http://schemas.openxmlformats.org/officeDocument/2006/relationships/hyperlink" Id="rId229" Target="https://hyperledger-fabric.readthedocs.io/en/release-2.2/msp-identity-validity-rules.html" TargetMode="External" /><Relationship Type="http://schemas.openxmlformats.org/officeDocument/2006/relationships/hyperlink" Id="rId153" Target="https://stackoverflow.com/questions/40054218/what-if-dictionary-size-in-lzw-algorithm-is-full" TargetMode="External" /><Relationship Type="http://schemas.openxmlformats.org/officeDocument/2006/relationships/hyperlink" Id="rId233" Target="https://www.ibm.com/docs/en/blockchain-platform" TargetMode="External" /><Relationship Type="http://schemas.openxmlformats.org/officeDocument/2006/relationships/hyperlink" Id="rId385"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81" Target="http://www.fao.org/3/a-i6583e.pdf" TargetMode="External" /><Relationship Type="http://schemas.openxmlformats.org/officeDocument/2006/relationships/hyperlink" Id="rId241" Target="https://blog.csdn.net/Cris_Jay/article/details/147540172" TargetMode="External" /><Relationship Type="http://schemas.openxmlformats.org/officeDocument/2006/relationships/hyperlink" Id="rId167" Target="https://deepwiki.com/esp-rs/esp-hal/8.3-cache-management-and-memory-barriers" TargetMode="External" /><Relationship Type="http://schemas.openxmlformats.org/officeDocument/2006/relationships/hyperlink" Id="rId399" Target="https://doi.org/10.1002/advs.202503102" TargetMode="External" /><Relationship Type="http://schemas.openxmlformats.org/officeDocument/2006/relationships/hyperlink" Id="rId155" Target="https://doi.org/10.1002/ird.2492" TargetMode="External" /><Relationship Type="http://schemas.openxmlformats.org/officeDocument/2006/relationships/hyperlink" Id="rId208" Target="https://doi.org/10.1002/nem.2099" TargetMode="External" /><Relationship Type="http://schemas.openxmlformats.org/officeDocument/2006/relationships/hyperlink" Id="rId296" Target="https://doi.org/10.1007/3-540-48184-2_32" TargetMode="External" /><Relationship Type="http://schemas.openxmlformats.org/officeDocument/2006/relationships/hyperlink" Id="rId411" Target="https://doi.org/10.1007/s10044-025-01495-w" TargetMode="External" /><Relationship Type="http://schemas.openxmlformats.org/officeDocument/2006/relationships/hyperlink" Id="rId292" Target="https://doi.org/10.1007/s11119-005-0681-8" TargetMode="External" /><Relationship Type="http://schemas.openxmlformats.org/officeDocument/2006/relationships/hyperlink" Id="rId346" Target="https://doi.org/10.1007/s11139-023-00699-0" TargetMode="External" /><Relationship Type="http://schemas.openxmlformats.org/officeDocument/2006/relationships/hyperlink" Id="rId237" Target="https://doi.org/10.1007/s11269-006-9111-6" TargetMode="External" /><Relationship Type="http://schemas.openxmlformats.org/officeDocument/2006/relationships/hyperlink" Id="rId413" Target="https://doi.org/10.1007/s11276-016-1357-1" TargetMode="External" /><Relationship Type="http://schemas.openxmlformats.org/officeDocument/2006/relationships/hyperlink" Id="rId319" Target="https://doi.org/10.1016/S0065-2113(08)60513-1" TargetMode="External" /><Relationship Type="http://schemas.openxmlformats.org/officeDocument/2006/relationships/hyperlink" Id="rId421" Target="https://doi.org/10.1016/S0168-1699(02)00096-0" TargetMode="External" /><Relationship Type="http://schemas.openxmlformats.org/officeDocument/2006/relationships/hyperlink" Id="rId317" Target="https://doi.org/10.1016/S0378-3774(02)00075-6" TargetMode="External" /><Relationship Type="http://schemas.openxmlformats.org/officeDocument/2006/relationships/hyperlink" Id="rId391" Target="https://doi.org/10.1016/j.agsy.2020.103046" TargetMode="External" /><Relationship Type="http://schemas.openxmlformats.org/officeDocument/2006/relationships/hyperlink" Id="rId349" Target="https://doi.org/10.1016/j.agwat.2005.04.008" TargetMode="External" /><Relationship Type="http://schemas.openxmlformats.org/officeDocument/2006/relationships/hyperlink" Id="rId309" Target="https://doi.org/10.1016/j.agwat.2009.08.021" TargetMode="External" /><Relationship Type="http://schemas.openxmlformats.org/officeDocument/2006/relationships/hyperlink" Id="rId161" Target="https://doi.org/10.1016/j.agwat.2010.01.025" TargetMode="External" /><Relationship Type="http://schemas.openxmlformats.org/officeDocument/2006/relationships/hyperlink" Id="rId235" Target="https://doi.org/10.1016/j.agwat.2015.03.014" TargetMode="External" /><Relationship Type="http://schemas.openxmlformats.org/officeDocument/2006/relationships/hyperlink" Id="rId419" Target="https://doi.org/10.1016/j.atech.2022.100053" TargetMode="External" /><Relationship Type="http://schemas.openxmlformats.org/officeDocument/2006/relationships/hyperlink" Id="rId243" Target="https://doi.org/10.1016/j.atech.2025.101242" TargetMode="External" /><Relationship Type="http://schemas.openxmlformats.org/officeDocument/2006/relationships/hyperlink" Id="rId106" Target="https://doi.org/10.1016/j.atech.2025.101654" TargetMode="External" /><Relationship Type="http://schemas.openxmlformats.org/officeDocument/2006/relationships/hyperlink" Id="rId383" Target="https://doi.org/10.1016/j.biosystemseng.2017.09.007" TargetMode="External" /><Relationship Type="http://schemas.openxmlformats.org/officeDocument/2006/relationships/hyperlink" Id="rId137" Target="https://doi.org/10.1016/j.comcom.2020.10.009" TargetMode="External" /><Relationship Type="http://schemas.openxmlformats.org/officeDocument/2006/relationships/hyperlink" Id="rId397" Target="https://doi.org/10.1016/j.compag.2005.09.003" TargetMode="External" /><Relationship Type="http://schemas.openxmlformats.org/officeDocument/2006/relationships/hyperlink" Id="rId150" Target="https://doi.org/10.1016/j.compag.2018.05.012" TargetMode="External" /><Relationship Type="http://schemas.openxmlformats.org/officeDocument/2006/relationships/hyperlink" Id="rId199" Target="https://doi.org/10.1016/j.compag.2018.09.040" TargetMode="External" /><Relationship Type="http://schemas.openxmlformats.org/officeDocument/2006/relationships/hyperlink" Id="rId95" Target="https://doi.org/10.1016/j.compag.2020.105441" TargetMode="External" /><Relationship Type="http://schemas.openxmlformats.org/officeDocument/2006/relationships/hyperlink" Id="rId387" Target="https://doi.org/10.1016/j.compag.2020.105709" TargetMode="External" /><Relationship Type="http://schemas.openxmlformats.org/officeDocument/2006/relationships/hyperlink" Id="rId265" Target="https://doi.org/10.1016/j.compind.2020.103187" TargetMode="External" /><Relationship Type="http://schemas.openxmlformats.org/officeDocument/2006/relationships/hyperlink" Id="rId211" Target="https://doi.org/10.1016/j.cose.2018.06.004" TargetMode="External" /><Relationship Type="http://schemas.openxmlformats.org/officeDocument/2006/relationships/hyperlink" Id="rId118" Target="https://doi.org/10.1016/j.csi.2011.03.004" TargetMode="External" /><Relationship Type="http://schemas.openxmlformats.org/officeDocument/2006/relationships/hyperlink" Id="rId378" Target="https://doi.org/10.1016/j.eja.2006.08.004" TargetMode="External" /><Relationship Type="http://schemas.openxmlformats.org/officeDocument/2006/relationships/hyperlink" Id="rId135" Target="https://doi.org/10.1016/j.future.2015.09.021" TargetMode="External" /><Relationship Type="http://schemas.openxmlformats.org/officeDocument/2006/relationships/hyperlink" Id="rId335" Target="https://doi.org/10.1016/j.future.2018.05.046" TargetMode="External" /><Relationship Type="http://schemas.openxmlformats.org/officeDocument/2006/relationships/hyperlink" Id="rId362" Target="https://doi.org/10.1016/j.heliyon.2024.e34584" TargetMode="External" /><Relationship Type="http://schemas.openxmlformats.org/officeDocument/2006/relationships/hyperlink" Id="rId129" Target="https://doi.org/10.1016/j.jhydrol.2007.06.032" TargetMode="External" /><Relationship Type="http://schemas.openxmlformats.org/officeDocument/2006/relationships/hyperlink" Id="rId267" Target="https://doi.org/10.1016/j.jii.2018.01.005" TargetMode="External" /><Relationship Type="http://schemas.openxmlformats.org/officeDocument/2006/relationships/hyperlink" Id="rId331" Target="https://doi.org/10.1016/j.matpr.2021.06.253" TargetMode="External" /><Relationship Type="http://schemas.openxmlformats.org/officeDocument/2006/relationships/hyperlink" Id="rId247" Target="https://doi.org/10.1016/j.psep.2018.05.009" TargetMode="External" /><Relationship Type="http://schemas.openxmlformats.org/officeDocument/2006/relationships/hyperlink" Id="rId144" Target="https://doi.org/10.1016/j.tele.2018.11.006" TargetMode="External" /><Relationship Type="http://schemas.openxmlformats.org/officeDocument/2006/relationships/hyperlink" Id="rId249" Target="https://doi.org/10.1016/j.tifs.2019.07.034" TargetMode="External" /><Relationship Type="http://schemas.openxmlformats.org/officeDocument/2006/relationships/hyperlink" Id="rId187" Target="https://doi.org/10.1016/j.trac.2018.08.011" TargetMode="External" /><Relationship Type="http://schemas.openxmlformats.org/officeDocument/2006/relationships/hyperlink" Id="rId102" Target="https://doi.org/10.1038/s41598-025-92842-8" TargetMode="External" /><Relationship Type="http://schemas.openxmlformats.org/officeDocument/2006/relationships/hyperlink" Id="rId142" Target="https://doi.org/10.1049/iet-wss.2013.0025" TargetMode="External" /><Relationship Type="http://schemas.openxmlformats.org/officeDocument/2006/relationships/hyperlink" Id="rId290" Target="https://doi.org/10.1093/comjnl/bxp118" TargetMode="External" /><Relationship Type="http://schemas.openxmlformats.org/officeDocument/2006/relationships/hyperlink" Id="rId172" Target="https://doi.org/10.1093/jxb/erl165" TargetMode="External" /><Relationship Type="http://schemas.openxmlformats.org/officeDocument/2006/relationships/hyperlink" Id="rId206" Target="https://doi.org/10.1109/40.877952" TargetMode="External" /><Relationship Type="http://schemas.openxmlformats.org/officeDocument/2006/relationships/hyperlink" Id="rId341" Target="https://doi.org/10.1109/ACCESS.2019.2918000" TargetMode="External" /><Relationship Type="http://schemas.openxmlformats.org/officeDocument/2006/relationships/hyperlink" Id="rId170" Target="https://doi.org/10.1109/ACCESS.2019.2949703" TargetMode="External" /><Relationship Type="http://schemas.openxmlformats.org/officeDocument/2006/relationships/hyperlink" Id="rId176" Target="https://doi.org/10.1109/ACCESS.2020.2973178" TargetMode="External" /><Relationship Type="http://schemas.openxmlformats.org/officeDocument/2006/relationships/hyperlink" Id="rId120" Target="https://doi.org/10.1109/ACCESS.2021.3129552" TargetMode="External" /><Relationship Type="http://schemas.openxmlformats.org/officeDocument/2006/relationships/hyperlink" Id="rId313" Target="https://doi.org/10.1109/ACCESS.2022.3142563" TargetMode="External" /><Relationship Type="http://schemas.openxmlformats.org/officeDocument/2006/relationships/hyperlink" Id="rId326" Target="https://doi.org/10.1109/ACCESS.2022.3146851" TargetMode="External" /><Relationship Type="http://schemas.openxmlformats.org/officeDocument/2006/relationships/hyperlink" Id="rId225" Target="https://doi.org/10.1109/ACCESS.2022.3208440" TargetMode="External" /><Relationship Type="http://schemas.openxmlformats.org/officeDocument/2006/relationships/hyperlink" Id="rId278" Target="https://doi.org/10.1109/Blockchain55522.2022.00055" TargetMode="External" /><Relationship Type="http://schemas.openxmlformats.org/officeDocument/2006/relationships/hyperlink" Id="rId163" Target="https://doi.org/10.1109/COMST.2017.2694144" TargetMode="External" /><Relationship Type="http://schemas.openxmlformats.org/officeDocument/2006/relationships/hyperlink" Id="rId401" Target="https://doi.org/10.1109/COMST.2020.2970550" TargetMode="External" /><Relationship Type="http://schemas.openxmlformats.org/officeDocument/2006/relationships/hyperlink" Id="rId125" Target="https://doi.org/10.1109/DSN.2014.43" TargetMode="External" /><Relationship Type="http://schemas.openxmlformats.org/officeDocument/2006/relationships/hyperlink" Id="rId220" Target="https://doi.org/10.1109/HICSS.2000.926982" TargetMode="External" /><Relationship Type="http://schemas.openxmlformats.org/officeDocument/2006/relationships/hyperlink" Id="rId374" Target="https://doi.org/10.1109/ICASI.2017.7988632" TargetMode="External" /><Relationship Type="http://schemas.openxmlformats.org/officeDocument/2006/relationships/hyperlink" Id="rId245" Target="https://doi.org/10.1109/ICDCECE65353.2025.11035330" TargetMode="External" /><Relationship Type="http://schemas.openxmlformats.org/officeDocument/2006/relationships/hyperlink" Id="rId407" Target="https://doi.org/10.1109/ICSA.2016.15" TargetMode="External" /><Relationship Type="http://schemas.openxmlformats.org/officeDocument/2006/relationships/hyperlink" Id="rId372" Target="https://doi.org/10.1109/ICSSSM.2016.7538424" TargetMode="External" /><Relationship Type="http://schemas.openxmlformats.org/officeDocument/2006/relationships/hyperlink" Id="rId423" Target="https://doi.org/10.1109/IEMCON.2019.8936228" TargetMode="External" /><Relationship Type="http://schemas.openxmlformats.org/officeDocument/2006/relationships/hyperlink" Id="rId261" Target="https://doi.org/10.1109/IOT.2025.11089136" TargetMode="External" /><Relationship Type="http://schemas.openxmlformats.org/officeDocument/2006/relationships/hyperlink" Id="rId322" Target="https://doi.org/10.1109/ISCAS.1994.408967" TargetMode="External" /><Relationship Type="http://schemas.openxmlformats.org/officeDocument/2006/relationships/hyperlink" Id="rId185" Target="https://doi.org/10.1109/JIOT.2017.2767291" TargetMode="External" /><Relationship Type="http://schemas.openxmlformats.org/officeDocument/2006/relationships/hyperlink" Id="rId353" Target="https://doi.org/10.1109/JIOT.2020.2977767" TargetMode="External" /><Relationship Type="http://schemas.openxmlformats.org/officeDocument/2006/relationships/hyperlink" Id="rId174" Target="https://doi.org/10.1109/JIOT.2020.2984478" TargetMode="External" /><Relationship Type="http://schemas.openxmlformats.org/officeDocument/2006/relationships/hyperlink" Id="rId269" Target="https://doi.org/10.1109/JIOT.2020.2999323" TargetMode="External" /><Relationship Type="http://schemas.openxmlformats.org/officeDocument/2006/relationships/hyperlink" Id="rId288" Target="https://doi.org/10.1109/LCOMM.2008.080300" TargetMode="External" /><Relationship Type="http://schemas.openxmlformats.org/officeDocument/2006/relationships/hyperlink" Id="rId370" Target="https://doi.org/10.1109/MASCOTS.2018.00034" TargetMode="External" /><Relationship Type="http://schemas.openxmlformats.org/officeDocument/2006/relationships/hyperlink" Id="rId97" Target="https://doi.org/10.1109/MCOM.2017.1600613" TargetMode="External" /><Relationship Type="http://schemas.openxmlformats.org/officeDocument/2006/relationships/hyperlink" Id="rId405" Target="https://doi.org/10.1109/MNET.011.2000111" TargetMode="External" /><Relationship Type="http://schemas.openxmlformats.org/officeDocument/2006/relationships/hyperlink" Id="rId276" Target="https://doi.org/10.1109/MNET.2019.1800254" TargetMode="External" /><Relationship Type="http://schemas.openxmlformats.org/officeDocument/2006/relationships/hyperlink" Id="rId165" Target="https://doi.org/10.1109/PERCOMW.2017.7917634" TargetMode="External" /><Relationship Type="http://schemas.openxmlformats.org/officeDocument/2006/relationships/hyperlink" Id="rId428" Target="https://doi.org/10.1109/SPW.2015.27" TargetMode="External" /><Relationship Type="http://schemas.openxmlformats.org/officeDocument/2006/relationships/hyperlink" Id="rId360" Target="https://doi.org/10.1109/SRDS.2017.36" TargetMode="External" /><Relationship Type="http://schemas.openxmlformats.org/officeDocument/2006/relationships/hyperlink" Id="rId191" Target="https://doi.org/10.1109/TEC.1959.5219515" TargetMode="External" /><Relationship Type="http://schemas.openxmlformats.org/officeDocument/2006/relationships/hyperlink" Id="rId364" Target="https://doi.org/10.1109/access.2019.2904300" TargetMode="External" /><Relationship Type="http://schemas.openxmlformats.org/officeDocument/2006/relationships/hyperlink" Id="rId329" Target="https://doi.org/10.1109/access.2019.2917976" TargetMode="External" /><Relationship Type="http://schemas.openxmlformats.org/officeDocument/2006/relationships/hyperlink" Id="rId116" Target="https://doi.org/10.1109/comst.2024.3430368" TargetMode="External" /><Relationship Type="http://schemas.openxmlformats.org/officeDocument/2006/relationships/hyperlink" Id="rId215" Target="https://doi.org/10.1111/exsy.13382" TargetMode="External" /><Relationship Type="http://schemas.openxmlformats.org/officeDocument/2006/relationships/hyperlink" Id="rId195" Target="https://doi.org/10.1126/science.1183899" TargetMode="External" /><Relationship Type="http://schemas.openxmlformats.org/officeDocument/2006/relationships/hyperlink" Id="rId157" Target="https://doi.org/10.1142/2893" TargetMode="External" /><Relationship Type="http://schemas.openxmlformats.org/officeDocument/2006/relationships/hyperlink" Id="rId252" Target="https://doi.org/10.1145/1362542.1362545" TargetMode="External" /><Relationship Type="http://schemas.openxmlformats.org/officeDocument/2006/relationships/hyperlink" Id="rId324" Target="https://doi.org/10.1145/1394127.1394128" TargetMode="External" /><Relationship Type="http://schemas.openxmlformats.org/officeDocument/2006/relationships/hyperlink" Id="rId104" Target="https://doi.org/10.1145/1465482.1465560" TargetMode="External" /><Relationship Type="http://schemas.openxmlformats.org/officeDocument/2006/relationships/hyperlink" Id="rId131" Target="https://doi.org/10.1145/2988287.2989163" TargetMode="External" /><Relationship Type="http://schemas.openxmlformats.org/officeDocument/2006/relationships/hyperlink" Id="rId201" Target="https://doi.org/10.1145/301250.301308" TargetMode="External" /><Relationship Type="http://schemas.openxmlformats.org/officeDocument/2006/relationships/hyperlink" Id="rId108" Target="https://doi.org/10.1145/3190508.3190538" TargetMode="External" /><Relationship Type="http://schemas.openxmlformats.org/officeDocument/2006/relationships/hyperlink" Id="rId271" Target="https://doi.org/10.1145/3265689.3265692" TargetMode="External" /><Relationship Type="http://schemas.openxmlformats.org/officeDocument/2006/relationships/hyperlink" Id="rId415" Target="https://doi.org/10.1145/3293611.3331591" TargetMode="External" /><Relationship Type="http://schemas.openxmlformats.org/officeDocument/2006/relationships/hyperlink" Id="rId197" Target="https://doi.org/10.1145/564585.564601" TargetMode="External" /><Relationship Type="http://schemas.openxmlformats.org/officeDocument/2006/relationships/hyperlink" Id="rId409" Target="https://doi.org/10.1155/2020/8875217" TargetMode="External" /><Relationship Type="http://schemas.openxmlformats.org/officeDocument/2006/relationships/hyperlink" Id="rId403" Target="https://doi.org/10.1186/s13007-025-01387-4" TargetMode="External" /><Relationship Type="http://schemas.openxmlformats.org/officeDocument/2006/relationships/hyperlink" Id="rId193" Target="https://doi.org/10.18174/426747" TargetMode="External" /><Relationship Type="http://schemas.openxmlformats.org/officeDocument/2006/relationships/hyperlink" Id="rId183" Target="https://doi.org/10.21203/rs.3.rs-9070688/v1" TargetMode="External" /><Relationship Type="http://schemas.openxmlformats.org/officeDocument/2006/relationships/hyperlink" Id="rId231" Target="https://doi.org/10.21273/HORTSCI15060-20" TargetMode="External" /><Relationship Type="http://schemas.openxmlformats.org/officeDocument/2006/relationships/hyperlink" Id="rId356" Target="https://doi.org/10.21273/HORTTECH.16.2.0283" TargetMode="External" /><Relationship Type="http://schemas.openxmlformats.org/officeDocument/2006/relationships/hyperlink" Id="rId389" Target="https://doi.org/10.2136/vzj2012.0160" TargetMode="External" /><Relationship Type="http://schemas.openxmlformats.org/officeDocument/2006/relationships/hyperlink" Id="rId127" Target="https://doi.org/10.22765/pastj.20250003" TargetMode="External" /><Relationship Type="http://schemas.openxmlformats.org/officeDocument/2006/relationships/hyperlink" Id="rId303" Target="https://doi.org/10.30598/barekengvol20iss1pp0853-0864" TargetMode="External" /><Relationship Type="http://schemas.openxmlformats.org/officeDocument/2006/relationships/hyperlink" Id="rId315" Target="https://doi.org/10.30871/jaic.v9i3.9262" TargetMode="External" /><Relationship Type="http://schemas.openxmlformats.org/officeDocument/2006/relationships/hyperlink" Id="rId255" Target="https://doi.org/10.30953/bhty.v6.276" TargetMode="External" /><Relationship Type="http://schemas.openxmlformats.org/officeDocument/2006/relationships/hyperlink" Id="rId274" Target="https://doi.org/10.30953/bhty.v7.295" TargetMode="External" /><Relationship Type="http://schemas.openxmlformats.org/officeDocument/2006/relationships/hyperlink" Id="rId282" Target="https://doi.org/10.31185/wjcms.298" TargetMode="External" /><Relationship Type="http://schemas.openxmlformats.org/officeDocument/2006/relationships/hyperlink" Id="rId426" Target="https://doi.org/10.31436/iiumej.v26i3.3610" TargetMode="External" /><Relationship Type="http://schemas.openxmlformats.org/officeDocument/2006/relationships/hyperlink" Id="rId239" Target="https://doi.org/10.3389/fbloc.2026.1766232" TargetMode="External" /><Relationship Type="http://schemas.openxmlformats.org/officeDocument/2006/relationships/hyperlink" Id="rId298" Target="https://doi.org/10.3389/fpls.2016.01419" TargetMode="External" /><Relationship Type="http://schemas.openxmlformats.org/officeDocument/2006/relationships/hyperlink" Id="rId339" Target="https://doi.org/10.3389/frai.2024.1397480" TargetMode="External" /><Relationship Type="http://schemas.openxmlformats.org/officeDocument/2006/relationships/hyperlink" Id="rId333" Target="https://doi.org/10.3389/frcmn.2025.1587402" TargetMode="External" /><Relationship Type="http://schemas.openxmlformats.org/officeDocument/2006/relationships/hyperlink" Id="rId139" Target="https://doi.org/10.3390/agriculture11100927" TargetMode="External" /><Relationship Type="http://schemas.openxmlformats.org/officeDocument/2006/relationships/hyperlink" Id="rId337" Target="https://doi.org/10.3390/agriculture14071120" TargetMode="External" /><Relationship Type="http://schemas.openxmlformats.org/officeDocument/2006/relationships/hyperlink" Id="rId294" Target="https://doi.org/10.3390/computers13060146" TargetMode="External" /><Relationship Type="http://schemas.openxmlformats.org/officeDocument/2006/relationships/hyperlink" Id="rId178" Target="https://doi.org/10.3390/s16071141" TargetMode="External" /><Relationship Type="http://schemas.openxmlformats.org/officeDocument/2006/relationships/hyperlink" Id="rId218" Target="https://doi.org/10.3390/s18113995" TargetMode="External" /><Relationship Type="http://schemas.openxmlformats.org/officeDocument/2006/relationships/hyperlink" Id="rId213" Target="https://doi.org/10.3390/s19102228" TargetMode="External" /><Relationship Type="http://schemas.openxmlformats.org/officeDocument/2006/relationships/hyperlink" Id="rId189" Target="https://doi.org/10.3390/s20041042" TargetMode="External" /><Relationship Type="http://schemas.openxmlformats.org/officeDocument/2006/relationships/hyperlink" Id="rId344" Target="https://doi.org/10.3390/s21041209" TargetMode="External" /><Relationship Type="http://schemas.openxmlformats.org/officeDocument/2006/relationships/hyperlink" Id="rId300" Target="https://doi.org/10.3390/s21237964" TargetMode="External" /><Relationship Type="http://schemas.openxmlformats.org/officeDocument/2006/relationships/hyperlink" Id="rId306" Target="https://doi.org/10.3390/s22134868" TargetMode="External" /><Relationship Type="http://schemas.openxmlformats.org/officeDocument/2006/relationships/hyperlink" Id="rId159" Target="https://doi.org/10.3390/s22205981" TargetMode="External" /><Relationship Type="http://schemas.openxmlformats.org/officeDocument/2006/relationships/hyperlink" Id="rId133" Target="https://doi.org/10.3390/s23115342" TargetMode="External" /><Relationship Type="http://schemas.openxmlformats.org/officeDocument/2006/relationships/hyperlink" Id="rId395" Target="https://doi.org/10.3390/s23146332" TargetMode="External" /><Relationship Type="http://schemas.openxmlformats.org/officeDocument/2006/relationships/hyperlink" Id="rId99" Target="https://doi.org/10.3390/s23187992" TargetMode="External" /><Relationship Type="http://schemas.openxmlformats.org/officeDocument/2006/relationships/hyperlink" Id="rId358" Target="https://doi.org/10.3390/s24082647" TargetMode="External" /><Relationship Type="http://schemas.openxmlformats.org/officeDocument/2006/relationships/hyperlink" Id="rId204" Target="https://doi.org/10.3390/s25175302" TargetMode="External" /><Relationship Type="http://schemas.openxmlformats.org/officeDocument/2006/relationships/hyperlink" Id="rId148" Target="https://doi.org/10.3390/s25196027" TargetMode="External" /><Relationship Type="http://schemas.openxmlformats.org/officeDocument/2006/relationships/hyperlink" Id="rId286" Target="https://doi.org/10.3390/su10093149" TargetMode="External" /><Relationship Type="http://schemas.openxmlformats.org/officeDocument/2006/relationships/hyperlink" Id="rId381" Target="https://doi.org/10.3390/telecom5040051" TargetMode="External" /><Relationship Type="http://schemas.openxmlformats.org/officeDocument/2006/relationships/hyperlink" Id="rId311" Target="https://doi.org/10.34218/ijaret.14.2.002" TargetMode="External" /><Relationship Type="http://schemas.openxmlformats.org/officeDocument/2006/relationships/hyperlink" Id="rId351" Target="https://doi.org/10.3745/JIPS.04.0022" TargetMode="External" /><Relationship Type="http://schemas.openxmlformats.org/officeDocument/2006/relationships/hyperlink" Id="rId417" Target="https://doi.org/10.38094/jastt7031075" TargetMode="External" /><Relationship Type="http://schemas.openxmlformats.org/officeDocument/2006/relationships/hyperlink" Id="rId259" Target="https://doi.org/10.38124/ijisrt/ijisrt24jul180" TargetMode="External" /><Relationship Type="http://schemas.openxmlformats.org/officeDocument/2006/relationships/hyperlink" Id="rId366" Target="https://doi.org/10.3897/ejfa.2025.168820" TargetMode="External" /><Relationship Type="http://schemas.openxmlformats.org/officeDocument/2006/relationships/hyperlink" Id="rId393" Target="https://doi.org/10.5120/ijca2021921556" TargetMode="External" /><Relationship Type="http://schemas.openxmlformats.org/officeDocument/2006/relationships/hyperlink" Id="rId122" Target="https://doi.org/10.54105/ijcns.a1426.04010524" TargetMode="External" /><Relationship Type="http://schemas.openxmlformats.org/officeDocument/2006/relationships/hyperlink" Id="rId280" Target="https://doi.org/10.54254/2753-8818/9/20240711" TargetMode="External" /><Relationship Type="http://schemas.openxmlformats.org/officeDocument/2006/relationships/hyperlink" Id="rId263" Target="https://doi.org/10.56225/ijfeb.v4i1.423" TargetMode="External" /><Relationship Type="http://schemas.openxmlformats.org/officeDocument/2006/relationships/hyperlink" Id="rId257" Target="https://doi.org/10.5937/vojtehg68-26206" TargetMode="External" /><Relationship Type="http://schemas.openxmlformats.org/officeDocument/2006/relationships/hyperlink" Id="rId284" Target="https://doi.org/10.59461/ijdiic.v3i4.134" TargetMode="External" /><Relationship Type="http://schemas.openxmlformats.org/officeDocument/2006/relationships/hyperlink" Id="rId227" Target="https://doi.org/10.61538/huria.v33i2.2111" TargetMode="External" /><Relationship Type="http://schemas.openxmlformats.org/officeDocument/2006/relationships/hyperlink" Id="rId222" Target="https://doi.org/10.63345/sjaibt.v2.i1.102" TargetMode="External" /><Relationship Type="http://schemas.openxmlformats.org/officeDocument/2006/relationships/hyperlink" Id="rId368" Target="https://hyperledger-fabric.readthedocs.io/en/latest/orderer/ordering_service.html" TargetMode="External" /><Relationship Type="http://schemas.openxmlformats.org/officeDocument/2006/relationships/hyperlink" Id="rId229" Target="https://hyperledger-fabric.readthedocs.io/en/release-2.2/msp-identity-validity-rules.html" TargetMode="External" /><Relationship Type="http://schemas.openxmlformats.org/officeDocument/2006/relationships/hyperlink" Id="rId153" Target="https://stackoverflow.com/questions/40054218/what-if-dictionary-size-in-lzw-algorithm-is-full" TargetMode="External" /><Relationship Type="http://schemas.openxmlformats.org/officeDocument/2006/relationships/hyperlink" Id="rId233" Target="https://www.ibm.com/docs/en/blockchain-platform" TargetMode="External" /><Relationship Type="http://schemas.openxmlformats.org/officeDocument/2006/relationships/hyperlink" Id="rId385"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2026-08-18T00:49:18Z</dcterms:created>
  <dcterms:modified xsi:type="dcterms:W3CDTF">2026-08-18T00:49:18Z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