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Project Model Canvas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 projeto inteiro em uma página, construído em grupo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03 · Iniciação · PMBOK: fora do PMBOK — Finocchio (2013)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Monte em uma oficina com a equipe, depois do Business Case e antes do TAP. Use notas curtas; preencha na ordem numerada (por quê → o quê → quem → como → quando e quanto).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03_project_model_canvas.pdf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01 Canvas de Ideação · 02 Business Case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04 Termo de Abertura do Projeto · 05 Registro de Premissas e Restrições · 06 Registro das Partes Interessadas · 21 Registro de Riscos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  <w:pageBreakBefore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🧩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Canvas do projeto</w:t>
      </w:r>
    </w:p>
    <w:p>
      <w:pPr>
        <w:spacing w:after="4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20"/>
          <w:u w:val="none"/>
        </w:rPr>
        <w:t>Por quê?  ·  O quê?  ·  Quem?  ·  Como?  ·  Quando e quanto?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5" w:type="dxa"/>
        <w:tblLayout w:type="fixed"/>
      </w:tblPr>
      <w:tblGrid>
        <w:gridCol w:w="2935"/>
        <w:gridCol w:w="2935"/>
        <w:gridCol w:w="2935"/>
        <w:gridCol w:w="2935"/>
        <w:gridCol w:w="2935"/>
      </w:tblGrid>
      <w:tr>
        <w:trPr>
          <w:trHeight w:val="1488" w:hRule="atLeast"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1. Justificativas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Problema atual (passado)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4. Produto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O que será entregue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6. Stakeholders externos e fatores externos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Quem ou o que afeta de fora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8. Premissas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O que se supõe verdadeiro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11. Riscos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Eventos incertos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</w:tr>
      <w:tr>
        <w:trPr>
          <w:trHeight w:val="1488" w:hRule="atLeast"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2. Objetivo SMART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Específico, mensurável, atingível, relevante, com prazo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  <w:vMerge w:val="restart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5. Requisitos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O que o produto precisa ter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  <w:vMerge w:val="restart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7. Equipe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Quem faz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9. Grupos de entregas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Substantivos, não verbos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12. Linha do tempo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Marcos principais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</w:tr>
      <w:tr>
        <w:trPr>
          <w:trHeight w:val="1488" w:hRule="atLeast"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3. Benefícios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O que melhora depois (futuro)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  <w:vMerge/>
          </w:tcPr>
          <w:p/>
        </w:tc>
        <w:tc>
          <w:tcPr>
            <w:tcW w:w="2935" w:type="dxa"/>
            <w:vMerge/>
          </w:tcPr>
          <w:p/>
        </w:tc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10. Restrições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Limites de prazo, custo, regra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13. Custos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5"/>
                <w:u w:val="none"/>
              </w:rPr>
              <w:t>Ordem de grandeza</w:t>
            </w:r>
          </w:p>
          <w:p>
            <w:pPr>
              <w:spacing w:after="0" w:before="0"/>
              <w:ind w:firstLine="0"/>
            </w:pPr>
            <w:sdt>
              <w:sdtPr>
                <w:rPr>
                  <w:rFonts w:ascii="Lexend" w:hAnsi="Lexend" w:cs="Lexend" w:eastAsia="Lexend"/>
                  <w:color w:val="FFFFFF"/>
                  <w:sz w:val="18"/>
                </w:rPr>
                <w:id w:val="101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8"/>
                  </w:rPr>
                  <w:t xml:space="preserve">Escreva aqui.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sdt>
        <w:sdtPr>
          <w:rPr>
            <w:rFonts w:ascii="Segoe UI Symbol" w:hAnsi="Segoe UI Symbol" w:cs="Segoe UI Symbol" w:eastAsia="Segoe UI Symbol"/>
            <w:color w:val="FFFF00"/>
          </w:r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cs="Segoe UI Symbol" w:eastAsia="Segoe UI Symbol"/>
              <w:color w:val="614AD3"/>
              <w:sz w:val="22"/>
            </w:rPr>
            <w:t>☐</w:t>
          </w:r>
        </w:sdtContent>
      </w:sdt>
      <w:r>
        <w:rPr>
          <w:rFonts w:ascii="Lexend" w:hAnsi="Lexend" w:cs="Lexend" w:eastAsia="Lexend"/>
          <w:b w:val="0"/>
          <w:i w:val="0"/>
          <w:color w:val="FFFFFF"/>
          <w:u w:val="none"/>
        </w:rPr>
        <w:t xml:space="preserve">  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O objetivo tem número e prazo.</w:t>
      </w:r>
    </w:p>
    <w:p>
      <w:pPr>
        <w:spacing w:after="60"/>
      </w:pPr>
      <w:sdt>
        <w:sdtPr>
          <w:rPr>
            <w:rFonts w:ascii="Segoe UI Symbol" w:hAnsi="Segoe UI Symbol" w:cs="Segoe UI Symbol" w:eastAsia="Segoe UI Symbol"/>
            <w:color w:val="FFFF00"/>
          </w:r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cs="Segoe UI Symbol" w:eastAsia="Segoe UI Symbol"/>
              <w:color w:val="614AD3"/>
              <w:sz w:val="22"/>
            </w:rPr>
            <w:t>☐</w:t>
          </w:r>
        </w:sdtContent>
      </w:sdt>
      <w:r>
        <w:rPr>
          <w:rFonts w:ascii="Lexend" w:hAnsi="Lexend" w:cs="Lexend" w:eastAsia="Lexend"/>
          <w:b w:val="0"/>
          <w:i w:val="0"/>
          <w:color w:val="FFFFFF"/>
          <w:u w:val="none"/>
        </w:rPr>
        <w:t xml:space="preserve">  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Os grupos de entregas são substantivos.</w:t>
      </w:r>
    </w:p>
    <w:p>
      <w:pPr>
        <w:spacing w:after="60"/>
      </w:pPr>
      <w:sdt>
        <w:sdtPr>
          <w:rPr>
            <w:rFonts w:ascii="Segoe UI Symbol" w:hAnsi="Segoe UI Symbol" w:cs="Segoe UI Symbol" w:eastAsia="Segoe UI Symbol"/>
            <w:color w:val="FFFF00"/>
          </w:r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cs="Segoe UI Symbol" w:eastAsia="Segoe UI Symbol"/>
              <w:color w:val="614AD3"/>
              <w:sz w:val="22"/>
            </w:rPr>
            <w:t>☐</w:t>
          </w:r>
        </w:sdtContent>
      </w:sdt>
      <w:r>
        <w:rPr>
          <w:rFonts w:ascii="Lexend" w:hAnsi="Lexend" w:cs="Lexend" w:eastAsia="Lexend"/>
          <w:b w:val="0"/>
          <w:i w:val="0"/>
          <w:color w:val="FFFFFF"/>
          <w:u w:val="none"/>
        </w:rPr>
        <w:t xml:space="preserve">  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Cada risco tem relação com uma premissa, restrição ou entrega.</w:t>
      </w:r>
    </w:p>
    <w:p>
      <w:pPr>
        <w:spacing w:after="60"/>
      </w:pPr>
      <w:sdt>
        <w:sdtPr>
          <w:rPr>
            <w:rFonts w:ascii="Segoe UI Symbol" w:hAnsi="Segoe UI Symbol" w:cs="Segoe UI Symbol" w:eastAsia="Segoe UI Symbol"/>
            <w:color w:val="FFFF00"/>
          </w:rPr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Segoe UI Symbol" w:hAnsi="Segoe UI Symbol" w:cs="Segoe UI Symbol" w:eastAsia="Segoe UI Symbol"/>
              <w:color w:val="614AD3"/>
              <w:sz w:val="22"/>
            </w:rPr>
            <w:t>☐</w:t>
          </w:r>
        </w:sdtContent>
      </w:sdt>
      <w:r>
        <w:rPr>
          <w:rFonts w:ascii="Lexend" w:hAnsi="Lexend" w:cs="Lexend" w:eastAsia="Lexend"/>
          <w:b w:val="0"/>
          <w:i w:val="0"/>
          <w:color w:val="FFFFFF"/>
          <w:u w:val="none"/>
        </w:rPr>
        <w:t xml:space="preserve">  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O canvas será transformado em TAP.</w:t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Model Canvas — for_code</dc:title>
  <dc:subject>Modelo 03 · Iniciação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