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Diagrama de Rede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Sequencia as atividades e revela o caminho crítico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18 · Planejamento · PMBOK: 6.3 Sequenciar as Atividades · CPM (6.5)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das estimativas. Liste as atividades de modo que as predecessoras venham antes; o caminho crítico é a sequência com folga zero.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18_diagrama_de_rede.pdf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13 Lista de Atividades · 14 Lista de Marcos · 17 Estimativa das Atividades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19 Cronograma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🕸️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Rede de atividades</w:t>
      </w:r>
    </w:p>
    <w:p>
      <w:r>
        <w:rPr>
          <w:rFonts w:ascii="Lexend" w:hAnsi="Lexend" w:cs="Lexend" w:eastAsia="Lexend"/>
          <w:b/>
          <w:i w:val="0"/>
          <w:color w:val="FFFFFF"/>
          <w:sz w:val="20"/>
          <w:u w:val="none"/>
        </w:rPr>
        <w:t>Como se lê cada caixa (notação AON — atividade no nó):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3600" w:type="dxa"/>
        <w:tblLayout w:type="fixed"/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ES</w:t>
            </w:r>
          </w:p>
        </w:tc>
        <w:tc>
          <w:tcPr>
            <w:tcW w:w="120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Duração</w:t>
            </w:r>
          </w:p>
        </w:tc>
        <w:tc>
          <w:tcPr>
            <w:tcW w:w="120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EF</w:t>
            </w:r>
          </w:p>
        </w:tc>
      </w:tr>
      <w:tr>
        <w:tc>
          <w:tcPr>
            <w:tcW w:w="3600" w:type="dxa"/>
            <w:gridSpan w:val="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Nome da atividade (código da EAP)</w:t>
            </w:r>
          </w:p>
        </w:tc>
      </w:tr>
      <w:tr>
        <w:tc>
          <w:tcPr>
            <w:tcW w:w="120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LS</w:t>
            </w:r>
          </w:p>
        </w:tc>
        <w:tc>
          <w:tcPr>
            <w:tcW w:w="120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Folga</w:t>
            </w:r>
          </w:p>
        </w:tc>
        <w:tc>
          <w:tcPr>
            <w:tcW w:w="120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8"/>
                <w:u w:val="none"/>
              </w:rPr>
              <w:t>LF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  <w:numPr>
          <w:ilvl w:val="0"/>
          <w:numId w:val="90"/>
        </w:numPr>
      </w:pPr>
      <w:r>
        <w:rPr>
          <w:rFonts w:ascii="Lexend" w:hAnsi="Lexend" w:cs="Lexend" w:eastAsia="Lexend"/>
          <w:b/>
          <w:i w:val="0"/>
          <w:color w:val="FFFFFF"/>
          <w:u w:val="none"/>
        </w:rPr>
        <w:t>ES/EF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: início e término mais cedo — passagem de ida, da esquerda para a direita.</w:t>
      </w:r>
    </w:p>
    <w:p>
      <w:pPr>
        <w:spacing w:after="60"/>
        <w:numPr>
          <w:ilvl w:val="0"/>
          <w:numId w:val="90"/>
        </w:numPr>
      </w:pPr>
      <w:r>
        <w:rPr>
          <w:rFonts w:ascii="Lexend" w:hAnsi="Lexend" w:cs="Lexend" w:eastAsia="Lexend"/>
          <w:b/>
          <w:i w:val="0"/>
          <w:color w:val="FFFFFF"/>
          <w:u w:val="none"/>
        </w:rPr>
        <w:t>LS/LF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: início e término mais tarde — passagem de volta, da direita para a esquerda.</w:t>
      </w:r>
    </w:p>
    <w:p>
      <w:pPr>
        <w:spacing w:after="60"/>
        <w:numPr>
          <w:ilvl w:val="0"/>
          <w:numId w:val="90"/>
        </w:numPr>
      </w:pPr>
      <w:r>
        <w:rPr>
          <w:rFonts w:ascii="Lexend" w:hAnsi="Lexend" w:cs="Lexend" w:eastAsia="Lexend"/>
          <w:b/>
          <w:i w:val="0"/>
          <w:color w:val="FFFFFF"/>
          <w:u w:val="none"/>
        </w:rPr>
        <w:t>Folga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= LS − ES. Folga zero = </w:t>
      </w:r>
      <w:r>
        <w:rPr>
          <w:rFonts w:ascii="Lexend" w:hAnsi="Lexend" w:cs="Lexend" w:eastAsia="Lexend"/>
          <w:b w:val="0"/>
          <w:i w:val="0"/>
          <w:color w:val="FFFF00"/>
          <w:u w:val="none"/>
        </w:rPr>
        <w:t>caminho crítico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.</w:t>
      </w:r>
    </w:p>
    <w:p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>Desenhe as caixas e setas com as formas do Word, ou use a versão .xlsx, que calcula ES, EF, LS, LF e folga sozinha a partir da tabela abaixo.</w:t>
      </w:r>
    </w:p>
    <w:p>
      <w:pPr>
        <w:pStyle w:val="Heading2"/>
      </w:pPr>
      <w:r>
        <w:rPr>
          <w:rFonts w:ascii="Lexend" w:hAnsi="Lexend" w:cs="Lexend" w:eastAsia="Lexend"/>
          <w:b w:val="0"/>
          <w:i w:val="0"/>
          <w:color w:val="614AD3"/>
          <w:sz w:val="32"/>
          <w:u w:val="none"/>
        </w:rPr>
        <w:t>Cálculo das datas e folgas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0" w:type="dxa"/>
        <w:tblLayout w:type="fixed"/>
      </w:tblPr>
      <w:tblGrid>
        <w:gridCol w:w="491"/>
        <w:gridCol w:w="1123"/>
        <w:gridCol w:w="3651"/>
        <w:gridCol w:w="1123"/>
        <w:gridCol w:w="983"/>
        <w:gridCol w:w="983"/>
        <w:gridCol w:w="983"/>
        <w:gridCol w:w="842"/>
        <w:gridCol w:w="842"/>
        <w:gridCol w:w="842"/>
        <w:gridCol w:w="842"/>
        <w:gridCol w:w="842"/>
        <w:gridCol w:w="1123"/>
      </w:tblGrid>
      <w:tr>
        <w:trPr>
          <w:tblHeader/>
        </w:trPr>
        <w:tc>
          <w:tcPr>
            <w:tcW w:w="49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112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</w:t>
            </w:r>
          </w:p>
        </w:tc>
        <w:tc>
          <w:tcPr>
            <w:tcW w:w="365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Atividade</w:t>
            </w:r>
          </w:p>
        </w:tc>
        <w:tc>
          <w:tcPr>
            <w:tcW w:w="112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Duração</w:t>
            </w:r>
          </w:p>
        </w:tc>
        <w:tc>
          <w:tcPr>
            <w:tcW w:w="98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Pred. 1</w:t>
            </w:r>
          </w:p>
        </w:tc>
        <w:tc>
          <w:tcPr>
            <w:tcW w:w="98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Pred. 2</w:t>
            </w:r>
          </w:p>
        </w:tc>
        <w:tc>
          <w:tcPr>
            <w:tcW w:w="98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Pred. 3</w:t>
            </w:r>
          </w:p>
        </w:tc>
        <w:tc>
          <w:tcPr>
            <w:tcW w:w="8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ES</w:t>
            </w:r>
          </w:p>
        </w:tc>
        <w:tc>
          <w:tcPr>
            <w:tcW w:w="8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EF</w:t>
            </w:r>
          </w:p>
        </w:tc>
        <w:tc>
          <w:tcPr>
            <w:tcW w:w="8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LS</w:t>
            </w:r>
          </w:p>
        </w:tc>
        <w:tc>
          <w:tcPr>
            <w:tcW w:w="8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LF</w:t>
            </w:r>
          </w:p>
        </w:tc>
        <w:tc>
          <w:tcPr>
            <w:tcW w:w="8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Folga</w:t>
            </w:r>
          </w:p>
        </w:tc>
        <w:tc>
          <w:tcPr>
            <w:tcW w:w="112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Crítica?</w:t>
            </w:r>
          </w:p>
        </w:tc>
      </w:tr>
      <w:tr>
        <w:tc>
          <w:tcPr>
            <w:tcW w:w="49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EAP (ex.: 1.1)</w:t>
            </w: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dias ou semanas</w:t>
            </w: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código</w:t>
            </w: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código</w:t>
            </w: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código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7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8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9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10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11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12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13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14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15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4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16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3651" w:type="dxa"/>
          </w:tcPr>
          <w:p>
            <w:pPr>
              <w:spacing w:after="0" w:before="0"/>
              <w:ind w:firstLine="0"/>
            </w:pP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983" w:type="dxa"/>
          </w:tcPr>
          <w:p>
            <w:pPr>
              <w:spacing w:after="0" w:before="0"/>
              <w:ind w:firstLine="0"/>
            </w:pP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23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Rede — for_code</dc:title>
  <dc:subject>Modelo 18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