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Plano da Qualidade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Os padrões das entregas, como medi-los e o que verificar antes do aceite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20 · Planejamento · PMBOK: 8.1 Planejar o Gerenciamento da Qualidade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Depois dos requisitos e da EAP. O checklist é aplicado a cada entrega, antes de pedir o aceite.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20_plano_da_qualidade.pdf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08 Documentação de Requisitos · 09 Matriz de Rastreabilidade de Requisitos · 10 Declaração do Escopo · 12 Dicionário da EAP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22 Planilha de Custos do Projeto · 25 Plano de Gerenciamento do Projeto · 33 Termo de Aceite de Entrega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🏅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Padrões e objetivos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Padrões aplicáveis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Normas, guias de estilo, manual da marca…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Objetivos de qualidade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"bem feito" significa neste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Papéis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Quem revisa e quem aprova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Métricas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361"/>
        <w:gridCol w:w="2269"/>
        <w:gridCol w:w="2682"/>
        <w:gridCol w:w="1237"/>
        <w:gridCol w:w="1134"/>
        <w:gridCol w:w="1341"/>
      </w:tblGrid>
      <w:tr>
        <w:trPr>
          <w:tblHeader/>
        </w:trPr>
        <w:tc>
          <w:tcPr>
            <w:tcW w:w="36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226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Métrica</w:t>
            </w:r>
          </w:p>
        </w:tc>
        <w:tc>
          <w:tcPr>
            <w:tcW w:w="26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Fórmula ou como medir</w:t>
            </w:r>
          </w:p>
        </w:tc>
        <w:tc>
          <w:tcPr>
            <w:tcW w:w="123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Meta</w:t>
            </w:r>
          </w:p>
        </w:tc>
        <w:tc>
          <w:tcPr>
            <w:tcW w:w="113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Frequência</w:t>
            </w:r>
          </w:p>
        </w:tc>
        <w:tc>
          <w:tcPr>
            <w:tcW w:w="134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</w:tr>
      <w:tr>
        <w:trPr>
          <w:cantSplit/>
          <w:trHeight w:val="380" w:hRule="atLeast"/>
        </w:trPr>
        <w:tc>
          <w:tcPr>
            <w:tcW w:w="36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2269" w:type="dxa"/>
          </w:tcPr>
          <w:p>
            <w:pPr>
              <w:spacing w:after="0" w:before="0"/>
              <w:ind w:firstLine="0"/>
            </w:pPr>
          </w:p>
        </w:tc>
        <w:tc>
          <w:tcPr>
            <w:tcW w:w="2682" w:type="dxa"/>
          </w:tcPr>
          <w:p>
            <w:pPr>
              <w:spacing w:after="0" w:before="0"/>
              <w:ind w:firstLine="0"/>
            </w:pPr>
          </w:p>
        </w:tc>
        <w:tc>
          <w:tcPr>
            <w:tcW w:w="12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2269" w:type="dxa"/>
          </w:tcPr>
          <w:p>
            <w:pPr>
              <w:spacing w:after="0" w:before="0"/>
              <w:ind w:firstLine="0"/>
            </w:pPr>
          </w:p>
        </w:tc>
        <w:tc>
          <w:tcPr>
            <w:tcW w:w="2682" w:type="dxa"/>
          </w:tcPr>
          <w:p>
            <w:pPr>
              <w:spacing w:after="0" w:before="0"/>
              <w:ind w:firstLine="0"/>
            </w:pPr>
          </w:p>
        </w:tc>
        <w:tc>
          <w:tcPr>
            <w:tcW w:w="12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2269" w:type="dxa"/>
          </w:tcPr>
          <w:p>
            <w:pPr>
              <w:spacing w:after="0" w:before="0"/>
              <w:ind w:firstLine="0"/>
            </w:pPr>
          </w:p>
        </w:tc>
        <w:tc>
          <w:tcPr>
            <w:tcW w:w="2682" w:type="dxa"/>
          </w:tcPr>
          <w:p>
            <w:pPr>
              <w:spacing w:after="0" w:before="0"/>
              <w:ind w:firstLine="0"/>
            </w:pPr>
          </w:p>
        </w:tc>
        <w:tc>
          <w:tcPr>
            <w:tcW w:w="12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2269" w:type="dxa"/>
          </w:tcPr>
          <w:p>
            <w:pPr>
              <w:spacing w:after="0" w:before="0"/>
              <w:ind w:firstLine="0"/>
            </w:pPr>
          </w:p>
        </w:tc>
        <w:tc>
          <w:tcPr>
            <w:tcW w:w="2682" w:type="dxa"/>
          </w:tcPr>
          <w:p>
            <w:pPr>
              <w:spacing w:after="0" w:before="0"/>
              <w:ind w:firstLine="0"/>
            </w:pPr>
          </w:p>
        </w:tc>
        <w:tc>
          <w:tcPr>
            <w:tcW w:w="12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2269" w:type="dxa"/>
          </w:tcPr>
          <w:p>
            <w:pPr>
              <w:spacing w:after="0" w:before="0"/>
              <w:ind w:firstLine="0"/>
            </w:pPr>
          </w:p>
        </w:tc>
        <w:tc>
          <w:tcPr>
            <w:tcW w:w="2682" w:type="dxa"/>
          </w:tcPr>
          <w:p>
            <w:pPr>
              <w:spacing w:after="0" w:before="0"/>
              <w:ind w:firstLine="0"/>
            </w:pPr>
          </w:p>
        </w:tc>
        <w:tc>
          <w:tcPr>
            <w:tcW w:w="12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6</w:t>
            </w:r>
          </w:p>
        </w:tc>
        <w:tc>
          <w:tcPr>
            <w:tcW w:w="2269" w:type="dxa"/>
          </w:tcPr>
          <w:p>
            <w:pPr>
              <w:spacing w:after="0" w:before="0"/>
              <w:ind w:firstLine="0"/>
            </w:pPr>
          </w:p>
        </w:tc>
        <w:tc>
          <w:tcPr>
            <w:tcW w:w="2682" w:type="dxa"/>
          </w:tcPr>
          <w:p>
            <w:pPr>
              <w:spacing w:after="0" w:before="0"/>
              <w:ind w:firstLine="0"/>
            </w:pPr>
          </w:p>
        </w:tc>
        <w:tc>
          <w:tcPr>
            <w:tcW w:w="1237" w:type="dxa"/>
          </w:tcPr>
          <w:p>
            <w:pPr>
              <w:spacing w:after="0" w:before="0"/>
              <w:ind w:firstLine="0"/>
            </w:pPr>
          </w:p>
        </w:tc>
        <w:tc>
          <w:tcPr>
            <w:tcW w:w="1134" w:type="dxa"/>
          </w:tcPr>
          <w:p>
            <w:pPr>
              <w:spacing w:after="0" w:before="0"/>
              <w:ind w:firstLine="0"/>
            </w:pPr>
          </w:p>
        </w:tc>
        <w:tc>
          <w:tcPr>
            <w:tcW w:w="1341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☑️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Checklist por entrega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1805"/>
        <w:gridCol w:w="3209"/>
        <w:gridCol w:w="702"/>
        <w:gridCol w:w="2005"/>
        <w:gridCol w:w="1303"/>
      </w:tblGrid>
      <w:tr>
        <w:trPr>
          <w:tblHeader/>
        </w:trPr>
        <w:tc>
          <w:tcPr>
            <w:tcW w:w="180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Entrega</w:t>
            </w:r>
          </w:p>
        </w:tc>
        <w:tc>
          <w:tcPr>
            <w:tcW w:w="320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Item verificado</w:t>
            </w:r>
          </w:p>
        </w:tc>
        <w:tc>
          <w:tcPr>
            <w:tcW w:w="70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OK?</w:t>
            </w:r>
          </w:p>
        </w:tc>
        <w:tc>
          <w:tcPr>
            <w:tcW w:w="200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Evidência</w:t>
            </w:r>
          </w:p>
        </w:tc>
        <w:tc>
          <w:tcPr>
            <w:tcW w:w="130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Quem verificou</w:t>
            </w:r>
          </w:p>
        </w:tc>
      </w:tr>
      <w:tr>
        <w:tc>
          <w:tcPr>
            <w:tcW w:w="180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código da EAP</w:t>
            </w: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805" w:type="dxa"/>
          </w:tcPr>
          <w:p>
            <w:pPr>
              <w:spacing w:after="0" w:before="0"/>
              <w:ind w:firstLine="0"/>
            </w:pPr>
          </w:p>
        </w:tc>
        <w:tc>
          <w:tcPr>
            <w:tcW w:w="3209" w:type="dxa"/>
          </w:tcPr>
          <w:p>
            <w:pPr>
              <w:spacing w:after="0" w:before="0"/>
              <w:ind w:firstLine="0"/>
            </w:pPr>
          </w:p>
        </w:tc>
        <w:tc>
          <w:tcPr>
            <w:tcW w:w="7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3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Tratamento de não conformidades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acontece quando um item falha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da Qualidade — for_code</dc:title>
  <dc:subject>Modelo 20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